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2022-12-19 nutarimu Nr. 13P-231-(7.1.2.) pakeistas Aprašas taikomas teisėjų veiklos vertinimo procedūroms, paskelbtoms nuo 2023 m. sausio 1 d.</w:t>
          </w:r>
        </w:p>
        <w:p>
          <w:pPr>
            <w:pStyle w:val="PlainText"/>
            <w:rPr>
              <w:rFonts w:ascii="Times New Roman" w:eastAsia="MS Mincho" w:hAnsi="Times New Roman"/>
              <w:sz w:val="20"/>
              <w:i/>
              <w:iCs/>
            </w:rPr>
          </w:pPr>
          <w:r>
            <w:rPr>
              <w:rFonts w:ascii="Times New Roman" w:eastAsia="MS Mincho" w:hAnsi="Times New Roman"/>
              <w:sz w:val="20"/>
              <w:i/>
              <w:iCs/>
            </w:rPr>
            <w:t>Teisėjų taryba,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pPr>
            <w:pStyle w:val="PlainText"/>
            <w:rPr>
              <w:rFonts w:ascii="Times New Roman" w:eastAsia="MS Mincho" w:hAnsi="Times New Roman"/>
              <w:sz w:val="20"/>
              <w:i/>
              <w:iCs/>
            </w:rPr>
          </w:pPr>
          <w:r>
            <w:rPr>
              <w:rFonts w:ascii="Times New Roman" w:eastAsia="MS Mincho" w:hAnsi="Times New Roman"/>
              <w:sz w:val="20"/>
              <w:i/>
              <w:iCs/>
            </w:rPr>
            <w:t>Dėl Teisėjų tarybos 2014 m. spalio 31 d. nutarimo Nr. 13P-135-(7.1.2) „Dėl Teisėjų veiklos vertinimo tvarkos aprašo patvirtinimo“ pakeitimo</w:t>
          </w:r>
        </w:p>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cd12f2d8b0814767ac7c672b7bf49796"/>
        <w:lock w:val="sdtLocked"/>
        <w:richText/>
      </w:sdtPr>
      <w:sdtContent>
        <w:p>
          <w:pPr>
            <w:tabs>
              <w:tab w:val="left" w:pos="187"/>
            </w:tabs>
            <w:ind w:firstLine="6804"/>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709" w:footer="709" w:gutter="0"/>
              <w:pgNumType w:start="1"/>
              <w:cols w:space="1296"/>
              <w:titlePg/>
              <w:docGrid w:linePitch="360"/>
            </w:sectPr>
          </w:pPr>
        </w:p>
        <w:p>
          <w:pPr>
            <w:tabs>
              <w:tab w:val="left" w:pos="187"/>
            </w:tabs>
            <w:ind w:firstLine="5812"/>
            <w:rPr>
              <w:szCs w:val="24"/>
            </w:rPr>
          </w:pPr>
          <w:r>
            <w:rPr>
              <w:szCs w:val="24"/>
            </w:rPr>
            <w:t>PATVIRTINTA</w:t>
          </w:r>
        </w:p>
        <w:p>
          <w:pPr>
            <w:tabs>
              <w:tab w:val="left" w:pos="187"/>
            </w:tabs>
            <w:ind w:firstLine="5812"/>
            <w:rPr>
              <w:szCs w:val="24"/>
            </w:rPr>
          </w:pPr>
          <w:r>
            <w:rPr>
              <w:szCs w:val="24"/>
            </w:rPr>
            <w:t>Teisėjų tarybos</w:t>
          </w:r>
        </w:p>
        <w:p>
          <w:pPr>
            <w:tabs>
              <w:tab w:val="left" w:pos="187"/>
            </w:tabs>
            <w:ind w:firstLine="5812"/>
            <w:rPr>
              <w:szCs w:val="24"/>
            </w:rPr>
          </w:pPr>
          <w:r>
            <w:rPr>
              <w:szCs w:val="24"/>
            </w:rPr>
            <w:t xml:space="preserve">2014 m. spalio 31 d. </w:t>
          </w:r>
        </w:p>
        <w:p>
          <w:pPr>
            <w:tabs>
              <w:tab w:val="left" w:pos="187"/>
            </w:tabs>
            <w:ind w:firstLine="5812"/>
            <w:rPr>
              <w:szCs w:val="24"/>
            </w:rPr>
          </w:pPr>
          <w:r>
            <w:rPr>
              <w:szCs w:val="24"/>
            </w:rPr>
            <w:t>nutarimu Nr. 13P-135-(7.1.2)</w:t>
          </w:r>
        </w:p>
        <w:p>
          <w:pPr>
            <w:tabs>
              <w:tab w:val="left" w:pos="0"/>
              <w:tab w:val="left" w:pos="6804"/>
            </w:tabs>
            <w:ind w:firstLine="5812"/>
            <w:rPr>
              <w:szCs w:val="24"/>
            </w:rPr>
          </w:pPr>
          <w:r>
            <w:rPr>
              <w:szCs w:val="24"/>
            </w:rPr>
            <w:t xml:space="preserve">(Teisėjų tarybos 2019 m. rugsėjo 27 d. </w:t>
          </w:r>
        </w:p>
        <w:p>
          <w:pPr>
            <w:tabs>
              <w:tab w:val="left" w:pos="0"/>
              <w:tab w:val="left" w:pos="6804"/>
            </w:tabs>
            <w:ind w:firstLine="5812"/>
            <w:rPr>
              <w:szCs w:val="24"/>
            </w:rPr>
          </w:pPr>
          <w:r>
            <w:rPr>
              <w:szCs w:val="24"/>
            </w:rPr>
            <w:t>redakcija Nr. 13P- 159-(7.1.2 ))</w:t>
          </w:r>
        </w:p>
        <w:p>
          <w:pPr>
            <w:tabs>
              <w:tab w:val="left" w:pos="187"/>
            </w:tabs>
            <w:jc w:val="center"/>
            <w:rPr>
              <w:b/>
              <w:szCs w:val="24"/>
            </w:rPr>
          </w:pPr>
        </w:p>
        <w:p>
          <w:pPr>
            <w:tabs>
              <w:tab w:val="left" w:pos="187"/>
            </w:tabs>
            <w:jc w:val="center"/>
            <w:rPr>
              <w:b/>
              <w:szCs w:val="24"/>
            </w:rPr>
          </w:pPr>
        </w:p>
        <w:sdt>
          <w:sdtPr>
            <w:alias w:val="Pavadinimas"/>
            <w:tag w:val="title_cd12f2d8b0814767ac7c672b7bf49796"/>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07153f84cfcb4da5839e411e41853e22"/>
            <w:lock w:val="sdtLocked"/>
            <w:richText/>
          </w:sdtPr>
          <w:sdtContent>
            <w:p>
              <w:pPr>
                <w:tabs>
                  <w:tab w:val="left" w:pos="187"/>
                </w:tabs>
                <w:jc w:val="center"/>
                <w:rPr>
                  <w:b/>
                  <w:szCs w:val="24"/>
                </w:rPr>
              </w:pPr>
              <w:sdt>
                <w:sdtPr>
                  <w:alias w:val="Numeris"/>
                  <w:tag w:val="nr_07153f84cfcb4da5839e411e41853e22"/>
                  <w:lock w:val="sdtLocked"/>
                  <w:richText/>
                </w:sdtPr>
                <w:sdtContent>
                  <w:r>
                    <w:rPr>
                      <w:b/>
                      <w:szCs w:val="24"/>
                    </w:rPr>
                    <w:t>I</w:t>
                  </w:r>
                </w:sdtContent>
              </w:sdt>
              <w:r>
                <w:rPr>
                  <w:b/>
                  <w:szCs w:val="24"/>
                </w:rPr>
                <w:t xml:space="preserve">. </w:t>
              </w:r>
              <w:sdt>
                <w:sdtPr>
                  <w:alias w:val="Pavadinimas"/>
                  <w:tag w:val="title_07153f84cfcb4da5839e411e41853e22"/>
                  <w:lock w:val="sdtLocked"/>
                  <w:richText/>
                </w:sdtPr>
                <w:sdtContent>
                  <w:r>
                    <w:rPr>
                      <w:b/>
                      <w:szCs w:val="24"/>
                    </w:rPr>
                    <w:t>BENDROSIOS NUOSTATOS</w:t>
                  </w:r>
                </w:sdtContent>
              </w:sdt>
            </w:p>
            <w:p>
              <w:pPr>
                <w:tabs>
                  <w:tab w:val="left" w:pos="187"/>
                </w:tabs>
                <w:ind w:firstLine="935"/>
                <w:jc w:val="both"/>
                <w:rPr>
                  <w:szCs w:val="24"/>
                </w:rPr>
              </w:pPr>
            </w:p>
            <w:sdt>
              <w:sdtPr>
                <w:alias w:val="1 p."/>
                <w:tag w:val="part_a4f204ecaa264b6cb72f8663de614028"/>
                <w:lock w:val="sdtLocked"/>
                <w:richText/>
              </w:sdtPr>
              <w:sdtContent>
                <w:p>
                  <w:pPr>
                    <w:tabs>
                      <w:tab w:val="left" w:pos="187"/>
                    </w:tabs>
                    <w:ind w:firstLine="851"/>
                    <w:jc w:val="both"/>
                    <w:rPr>
                      <w:szCs w:val="24"/>
                    </w:rPr>
                  </w:pPr>
                  <w:sdt>
                    <w:sdtPr>
                      <w:alias w:val="Numeris"/>
                      <w:tag w:val="nr_a4f204ecaa264b6cb72f8663de614028"/>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c0600ed8c3f441d8a6b2596c4d67125e"/>
                <w:lock w:val="sdtLocked"/>
                <w:richText/>
              </w:sdtPr>
              <w:sdtContent>
                <w:p>
                  <w:pPr>
                    <w:tabs>
                      <w:tab w:val="left" w:pos="187"/>
                    </w:tabs>
                    <w:ind w:firstLine="851"/>
                    <w:jc w:val="both"/>
                    <w:rPr>
                      <w:szCs w:val="24"/>
                    </w:rPr>
                  </w:pPr>
                  <w:sdt>
                    <w:sdtPr>
                      <w:alias w:val="Numeris"/>
                      <w:tag w:val="nr_c0600ed8c3f441d8a6b2596c4d67125e"/>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b8566d6505a44e33af17fc43c4c83f98"/>
                <w:lock w:val="sdtLocked"/>
                <w:richText/>
              </w:sdtPr>
              <w:sdtContent>
                <w:p>
                  <w:pPr>
                    <w:tabs>
                      <w:tab w:val="left" w:pos="187"/>
                    </w:tabs>
                    <w:ind w:firstLine="851"/>
                    <w:jc w:val="both"/>
                    <w:rPr>
                      <w:szCs w:val="24"/>
                    </w:rPr>
                  </w:pPr>
                  <w:sdt>
                    <w:sdtPr>
                      <w:alias w:val="Numeris"/>
                      <w:tag w:val="nr_b8566d6505a44e33af17fc43c4c83f98"/>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cdd24b0be9e1434dbefd3eadaff346ee"/>
            <w:lock w:val="sdtLocked"/>
            <w:richText/>
          </w:sdtPr>
          <w:sdtContent>
            <w:p>
              <w:pPr>
                <w:tabs>
                  <w:tab w:val="left" w:pos="187"/>
                </w:tabs>
                <w:jc w:val="center"/>
                <w:rPr>
                  <w:b/>
                  <w:szCs w:val="24"/>
                </w:rPr>
              </w:pPr>
              <w:sdt>
                <w:sdtPr>
                  <w:alias w:val="Numeris"/>
                  <w:tag w:val="nr_cdd24b0be9e1434dbefd3eadaff346ee"/>
                  <w:lock w:val="sdtLocked"/>
                  <w:richText/>
                </w:sdtPr>
                <w:sdtContent>
                  <w:r>
                    <w:rPr>
                      <w:b/>
                      <w:szCs w:val="24"/>
                    </w:rPr>
                    <w:t>II</w:t>
                  </w:r>
                </w:sdtContent>
              </w:sdt>
              <w:r>
                <w:rPr>
                  <w:b/>
                  <w:szCs w:val="24"/>
                </w:rPr>
                <w:t xml:space="preserve">. </w:t>
              </w:r>
              <w:sdt>
                <w:sdtPr>
                  <w:alias w:val="Pavadinimas"/>
                  <w:tag w:val="title_cdd24b0be9e1434dbefd3eadaff346ee"/>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0dfbd720827942c59d677df73e6abaff"/>
                <w:lock w:val="sdtLocked"/>
                <w:richText/>
              </w:sdtPr>
              <w:sdtContent>
                <w:p>
                  <w:pPr>
                    <w:ind w:firstLine="851"/>
                    <w:jc w:val="both"/>
                    <w:rPr>
                      <w:szCs w:val="24"/>
                      <w:lang w:eastAsia="lt-LT"/>
                    </w:rPr>
                  </w:pPr>
                  <w:sdt>
                    <w:sdtPr>
                      <w:alias w:val="Numeris"/>
                      <w:tag w:val="nr_0dfbd720827942c59d677df73e6abaff"/>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p."/>
                    <w:tag w:val="part_33e13d4de8a44b1fb24a00f0d31e376f"/>
                    <w:lock w:val="sdtLocked"/>
                    <w:richText/>
                  </w:sdtPr>
                  <w:sdtContent>
                    <w:p>
                      <w:pPr>
                        <w:ind w:firstLine="851"/>
                        <w:jc w:val="both"/>
                        <w:rPr>
                          <w:szCs w:val="24"/>
                          <w:lang w:eastAsia="lt-LT"/>
                        </w:rPr>
                      </w:pPr>
                      <w:sdt>
                        <w:sdtPr>
                          <w:alias w:val="Numeris"/>
                          <w:tag w:val="nr_33e13d4de8a44b1fb24a00f0d31e376f"/>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p."/>
                    <w:tag w:val="part_f85fae0eb7ed4cc3a5a7c17fb52eaa9e"/>
                    <w:lock w:val="sdtLocked"/>
                    <w:richText/>
                  </w:sdtPr>
                  <w:sdtContent>
                    <w:p>
                      <w:pPr>
                        <w:ind w:firstLine="851"/>
                        <w:jc w:val="both"/>
                        <w:rPr>
                          <w:szCs w:val="24"/>
                          <w:lang w:eastAsia="lt-LT"/>
                        </w:rPr>
                      </w:pPr>
                      <w:sdt>
                        <w:sdtPr>
                          <w:alias w:val="Numeris"/>
                          <w:tag w:val="nr_f85fae0eb7ed4cc3a5a7c17fb52eaa9e"/>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76999b5516c948f99e9f8d9fe58dcdc3"/>
                <w:lock w:val="sdtLocked"/>
                <w:richText/>
              </w:sdtPr>
              <w:sdtContent>
                <w:p>
                  <w:pPr>
                    <w:tabs>
                      <w:tab w:val="left" w:pos="187"/>
                    </w:tabs>
                    <w:ind w:firstLine="851"/>
                    <w:jc w:val="both"/>
                    <w:rPr>
                      <w:strike/>
                      <w:szCs w:val="24"/>
                    </w:rPr>
                  </w:pPr>
                  <w:sdt>
                    <w:sdtPr>
                      <w:alias w:val="Numeris"/>
                      <w:tag w:val="nr_76999b5516c948f99e9f8d9fe58dcdc3"/>
                      <w:lock w:val="sdtLocked"/>
                      <w:richText/>
                    </w:sdtPr>
                    <w:sdtContent>
                      <w:r>
                        <w:rPr>
                          <w:szCs w:val="24"/>
                        </w:rPr>
                        <w:t>5</w:t>
                      </w:r>
                    </w:sdtContent>
                  </w:sdt>
                  <w:r>
                    <w:rPr>
                      <w:szCs w:val="24"/>
                    </w:rPr>
                    <w:t>. Periodinis teisėjų veiklos vertinimas atliekamas Teismų įstatymo 91</w:t>
                  </w:r>
                  <w:r>
                    <w:rPr>
                      <w:szCs w:val="24"/>
                      <w:vertAlign w:val="superscript"/>
                    </w:rPr>
                    <w:t>2</w:t>
                  </w:r>
                  <w:r>
                    <w:rPr>
                      <w:szCs w:val="24"/>
                    </w:rPr>
                    <w:t xml:space="preserve"> straipsnio 2 dalyje nustatytais terminais.</w:t>
                  </w:r>
                </w:p>
              </w:sdtContent>
            </w:sdt>
            <w:sdt>
              <w:sdtPr>
                <w:alias w:val="6 p."/>
                <w:tag w:val="part_ce80863476e949fe9402dabe1ae7584f"/>
                <w:lock w:val="sdtLocked"/>
                <w:richText/>
              </w:sdtPr>
              <w:sdtContent>
                <w:p>
                  <w:pPr>
                    <w:tabs>
                      <w:tab w:val="left" w:pos="187"/>
                    </w:tabs>
                    <w:ind w:firstLine="851"/>
                    <w:jc w:val="both"/>
                    <w:rPr>
                      <w:szCs w:val="24"/>
                    </w:rPr>
                  </w:pPr>
                  <w:sdt>
                    <w:sdtPr>
                      <w:alias w:val="Numeris"/>
                      <w:tag w:val="nr_ce80863476e949fe9402dabe1ae7584f"/>
                      <w:lock w:val="sdtLocked"/>
                      <w:richText/>
                    </w:sdtPr>
                    <w:sdtContent>
                      <w:r>
                        <w:rPr>
                          <w:szCs w:val="24"/>
                        </w:rPr>
                        <w:t>6</w:t>
                      </w:r>
                    </w:sdtContent>
                  </w:sdt>
                  <w:r>
                    <w:rPr>
                      <w:szCs w:val="24"/>
                    </w:rPr>
                    <w:t>. Neeilinis teisėjo veiklos vertinimas atliekamas Teismų įstatymo 91</w:t>
                  </w:r>
                  <w:r>
                    <w:rPr>
                      <w:szCs w:val="24"/>
                      <w:vertAlign w:val="superscript"/>
                    </w:rPr>
                    <w:t>2</w:t>
                  </w:r>
                  <w:r>
                    <w:rPr>
                      <w:szCs w:val="24"/>
                    </w:rPr>
                    <w:t xml:space="preserve"> straipsnio 3 dalyje nustatytais pagrindais ir tvarka. </w:t>
                  </w:r>
                </w:p>
              </w:sdtContent>
            </w:sdt>
            <w:sdt>
              <w:sdtPr>
                <w:alias w:val="7 p."/>
                <w:tag w:val="part_7428e4ddef1545ea81829719d8eab046"/>
                <w:lock w:val="sdtLocked"/>
                <w:richText/>
              </w:sdtPr>
              <w:sdtContent>
                <w:p>
                  <w:pPr>
                    <w:tabs>
                      <w:tab w:val="left" w:pos="187"/>
                    </w:tabs>
                    <w:ind w:firstLine="851"/>
                    <w:jc w:val="both"/>
                    <w:rPr>
                      <w:szCs w:val="24"/>
                    </w:rPr>
                  </w:pPr>
                  <w:sdt>
                    <w:sdtPr>
                      <w:alias w:val="Numeris"/>
                      <w:tag w:val="nr_7428e4ddef1545ea81829719d8eab046"/>
                      <w:lock w:val="sdtLocked"/>
                      <w:richText/>
                    </w:sdtPr>
                    <w:sdtContent>
                      <w:r>
                        <w:rPr>
                          <w:szCs w:val="24"/>
                        </w:rPr>
                        <w:t>7</w:t>
                      </w:r>
                    </w:sdtContent>
                  </w:sdt>
                  <w:r>
                    <w:rPr>
                      <w:szCs w:val="24"/>
                    </w:rPr>
                    <w:t>. Teisę inicijuoti neeilinį teisėjų veiklos vertinimą turi:</w:t>
                  </w:r>
                </w:p>
                <w:sdt>
                  <w:sdtPr>
                    <w:alias w:val="7.1 pp."/>
                    <w:tag w:val="part_dc5a62d9e1dc49cf95f6dd489adb4ccf"/>
                    <w:lock w:val="sdtLocked"/>
                    <w:richText/>
                  </w:sdtPr>
                  <w:sdtContent>
                    <w:p>
                      <w:pPr>
                        <w:tabs>
                          <w:tab w:val="left" w:pos="187"/>
                        </w:tabs>
                        <w:ind w:firstLine="851"/>
                        <w:jc w:val="both"/>
                        <w:rPr>
                          <w:szCs w:val="24"/>
                        </w:rPr>
                      </w:pPr>
                      <w:sdt>
                        <w:sdtPr>
                          <w:alias w:val="Numeris"/>
                          <w:tag w:val="nr_dc5a62d9e1dc49cf95f6dd489adb4ccf"/>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p."/>
                    <w:tag w:val="part_58fce993220a4f779cd76633a445c6ac"/>
                    <w:lock w:val="sdtLocked"/>
                    <w:richText/>
                  </w:sdtPr>
                  <w:sdtContent>
                    <w:p>
                      <w:pPr>
                        <w:tabs>
                          <w:tab w:val="left" w:pos="187"/>
                        </w:tabs>
                        <w:ind w:firstLine="851"/>
                        <w:jc w:val="both"/>
                        <w:rPr>
                          <w:szCs w:val="24"/>
                        </w:rPr>
                      </w:pPr>
                      <w:sdt>
                        <w:sdtPr>
                          <w:alias w:val="Numeris"/>
                          <w:tag w:val="nr_58fce993220a4f779cd76633a445c6ac"/>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p."/>
                    <w:tag w:val="part_438efe115cf24f7690ae87addab4a59f"/>
                    <w:lock w:val="sdtLocked"/>
                    <w:richText/>
                  </w:sdtPr>
                  <w:sdtContent>
                    <w:p>
                      <w:pPr>
                        <w:tabs>
                          <w:tab w:val="left" w:pos="187"/>
                        </w:tabs>
                        <w:ind w:firstLine="851"/>
                        <w:jc w:val="both"/>
                        <w:rPr>
                          <w:szCs w:val="24"/>
                        </w:rPr>
                      </w:pPr>
                      <w:sdt>
                        <w:sdtPr>
                          <w:alias w:val="Numeris"/>
                          <w:tag w:val="nr_438efe115cf24f7690ae87addab4a59f"/>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p."/>
                    <w:tag w:val="part_0c1104a2054f4c9f8bbdf25327c65520"/>
                    <w:lock w:val="sdtLocked"/>
                    <w:richText/>
                  </w:sdtPr>
                  <w:sdtContent>
                    <w:p>
                      <w:pPr>
                        <w:tabs>
                          <w:tab w:val="left" w:pos="187"/>
                        </w:tabs>
                        <w:ind w:firstLine="851"/>
                        <w:jc w:val="both"/>
                        <w:rPr>
                          <w:szCs w:val="24"/>
                        </w:rPr>
                      </w:pPr>
                      <w:sdt>
                        <w:sdtPr>
                          <w:alias w:val="Numeris"/>
                          <w:tag w:val="nr_0c1104a2054f4c9f8bbdf25327c65520"/>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jc w:val="both"/>
                        <w:rPr>
                          <w:b/>
                          <w:szCs w:val="24"/>
                        </w:rPr>
                      </w:pPr>
                    </w:p>
                  </w:sdtContent>
                </w:sdt>
              </w:sdtContent>
            </w:sdt>
          </w:sdtContent>
        </w:sdt>
        <w:sdt>
          <w:sdtPr>
            <w:alias w:val="skyrius"/>
            <w:tag w:val="part_f74fa5e01c5546fe8ef91bdf2915c22b"/>
            <w:lock w:val="sdtLocked"/>
            <w:richText/>
          </w:sdtPr>
          <w:sdtContent>
            <w:p>
              <w:pPr>
                <w:tabs>
                  <w:tab w:val="left" w:pos="187"/>
                </w:tabs>
                <w:jc w:val="center"/>
                <w:rPr>
                  <w:b/>
                  <w:szCs w:val="24"/>
                </w:rPr>
              </w:pPr>
              <w:sdt>
                <w:sdtPr>
                  <w:alias w:val="Numeris"/>
                  <w:tag w:val="nr_f74fa5e01c5546fe8ef91bdf2915c22b"/>
                  <w:lock w:val="sdtLocked"/>
                  <w:richText/>
                </w:sdtPr>
                <w:sdtContent>
                  <w:r>
                    <w:rPr>
                      <w:b/>
                      <w:szCs w:val="24"/>
                    </w:rPr>
                    <w:t>III</w:t>
                  </w:r>
                </w:sdtContent>
              </w:sdt>
              <w:r>
                <w:rPr>
                  <w:b/>
                  <w:szCs w:val="24"/>
                </w:rPr>
                <w:t xml:space="preserve">. </w:t>
              </w:r>
              <w:sdt>
                <w:sdtPr>
                  <w:alias w:val="Pavadinimas"/>
                  <w:tag w:val="title_f74fa5e01c5546fe8ef91bdf2915c22b"/>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ccda676618f24b8aaf1f83b4dd3a6bcd"/>
                <w:lock w:val="sdtLocked"/>
                <w:richText/>
              </w:sdtPr>
              <w:sdtContent>
                <w:p>
                  <w:pPr>
                    <w:tabs>
                      <w:tab w:val="left" w:pos="187"/>
                    </w:tabs>
                    <w:ind w:firstLine="851"/>
                    <w:jc w:val="both"/>
                    <w:rPr>
                      <w:szCs w:val="24"/>
                    </w:rPr>
                  </w:pPr>
                  <w:sdt>
                    <w:sdtPr>
                      <w:alias w:val="Numeris"/>
                      <w:tag w:val="nr_ccda676618f24b8aaf1f83b4dd3a6bcd"/>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c4384113c1f14b4190d07c5b6883ac60"/>
                <w:lock w:val="sdtLocked"/>
                <w:richText/>
              </w:sdtPr>
              <w:sdtContent>
                <w:p>
                  <w:pPr>
                    <w:tabs>
                      <w:tab w:val="left" w:pos="187"/>
                    </w:tabs>
                    <w:ind w:firstLine="851"/>
                    <w:jc w:val="both"/>
                    <w:rPr>
                      <w:b/>
                      <w:szCs w:val="24"/>
                    </w:rPr>
                  </w:pPr>
                  <w:sdt>
                    <w:sdtPr>
                      <w:alias w:val="Numeris"/>
                      <w:tag w:val="nr_c4384113c1f14b4190d07c5b6883ac60"/>
                      <w:lock w:val="sdtLocked"/>
                      <w:richText/>
                    </w:sdtPr>
                    <w:sdtContent>
                      <w:r>
                        <w:rPr>
                          <w:szCs w:val="24"/>
                        </w:rPr>
                        <w:t>9</w:t>
                      </w:r>
                    </w:sdtContent>
                  </w:sdt>
                  <w:r>
                    <w:rPr>
                      <w:szCs w:val="24"/>
                    </w:rPr>
                    <w:t xml:space="preserve">. Vertinant teisėjo profesinę veiklą, vertinami šie kiekybiniai ir kokybiniai teisėjo profesinės veiklos paskutinių praėjusių trejų kalendorinių metų profesinės teisėjo veiklos rodikliai: </w:t>
                  </w:r>
                  <w:r>
                    <w:rPr>
                      <w:bCs/>
                      <w:szCs w:val="24"/>
                    </w:rPr>
                    <w:t>statistinis vidutinis teisėjo</w:t>
                  </w:r>
                  <w:r>
                    <w:rPr>
                      <w:szCs w:val="24"/>
                    </w:rPr>
                    <w:t xml:space="preserve"> darbo krūvis, statistinė vidutinė bylų nagrinėjimo trukmė, procesinių sprendimų kokybė, teisėjo vadovavimo procesui kokybė </w:t>
                  </w:r>
                  <w:r>
                    <w:t xml:space="preserve">ir </w:t>
                  </w:r>
                  <w:r>
                    <w:rPr>
                      <w:szCs w:val="24"/>
                    </w:rPr>
                    <w:t xml:space="preserve">teisėjo darbo organizavimo gebėjimai. </w:t>
                  </w:r>
                  <w:r>
                    <w:t>Profesinė teisėjo veikla (teisinio darbo kokybė) vertinama balais ir, įvertinus visus šio Aprašo 10–13 punktuose nustatytus teisėjo profesinės veiklos kiekybinius ir kokybinius rodiklius, nustatoma laipsniais, leidžiančiais užtikrinti išsamų kiekvieno teisėjo profesinės kompetencijos įvertinimą.</w:t>
                  </w:r>
                </w:p>
              </w:sdtContent>
            </w:sdt>
            <w:sdt>
              <w:sdtPr>
                <w:alias w:val="10 p."/>
                <w:tag w:val="part_d6a298ce61fa489eb0ed76946c6390e0"/>
                <w:lock w:val="sdtLocked"/>
                <w:richText/>
              </w:sdtPr>
              <w:sdtContent>
                <w:p>
                  <w:pPr>
                    <w:tabs>
                      <w:tab w:val="left" w:pos="142"/>
                    </w:tabs>
                    <w:ind w:firstLine="851"/>
                    <w:jc w:val="both"/>
                  </w:pPr>
                  <w:sdt>
                    <w:sdtPr>
                      <w:alias w:val="Numeris"/>
                      <w:tag w:val="nr_d6a298ce61fa489eb0ed76946c6390e0"/>
                      <w:lock w:val="sdtLocked"/>
                      <w:richText/>
                    </w:sdtPr>
                    <w:sdtContent>
                      <w:r>
                        <w:rPr>
                          <w:szCs w:val="24"/>
                        </w:rPr>
                        <w:t>10</w:t>
                      </w:r>
                    </w:sdtContent>
                  </w:sdt>
                  <w:r>
                    <w:rPr>
                      <w:szCs w:val="24"/>
                    </w:rPr>
                    <w:t>.</w:t>
                  </w:r>
                  <w:r>
                    <w:t xml:space="preserve"> </w:t>
                  </w:r>
                  <w:r>
                    <w:rPr>
                      <w:szCs w:val="24"/>
                    </w:rPr>
                    <w:t>Statistinis vidutinis teisėjo darbo krūvis (toliau – Teisėjo darbo krūvis) vertinamas atsižvelgiant į bendrą teisėjo darbo krūvį, jei teisme nustatyta specializacija – darbo krūvį pagal specializaciją, teisėjo išnagrinėtų bylų, atsižvelgiant į teisinį reguliavimą dėl bylų pagal pareiškimus dėl teismo įsakymo išdavimo paskirstymo, ir kitų procesinių dokumentų kiekį, bylų sudėtingumą pagal bylų kategorijas, teisėjo užimtumą kitoje veikloje (dalyvavimą teisėjų, teisėjų padėjėjų mokymų procese, pedagoginėje veikloje, teismų savivaldos institucijų veikloje, darbo grupėse teismų veiklą reguliuojančių teisės aktų tobulinimui, teismo vidaus ar išorės administravimo funkcijų atlikimą ir pan.), teisėjo teisėto nebuvimo darbe laikotarpius ir kitus teisėjo darbo krūviui įtakos turinčius veiksnius, skiriant iki 25 balų: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sdt>
                  <w:sdtPr>
                    <w:alias w:val="10.1 pp."/>
                    <w:tag w:val="part_ced725f9b86e4d399fb3999517fd8c25"/>
                    <w:lock w:val="sdtLocked"/>
                    <w:richText/>
                  </w:sdtPr>
                  <w:sdtContent>
                    <w:p>
                      <w:pPr>
                        <w:tabs>
                          <w:tab w:val="left" w:pos="142"/>
                        </w:tabs>
                        <w:ind w:firstLine="851"/>
                        <w:jc w:val="both"/>
                      </w:pPr>
                      <w:sdt>
                        <w:sdtPr>
                          <w:alias w:val="Numeris"/>
                          <w:tag w:val="nr_ced725f9b86e4d399fb3999517fd8c25"/>
                          <w:lock w:val="sdtLocked"/>
                          <w:richText/>
                        </w:sdtPr>
                        <w:sdtContent>
                          <w:r>
                            <w:t>10.1</w:t>
                          </w:r>
                        </w:sdtContent>
                      </w:sdt>
                      <w:r>
                        <w:t>. nuo 16 iki 20 balų, kai Teisėjo darbo krūvis yra aukštesnis arba artimas teisėjų darbo krūvio vidurkiui atitinkamame teisme;</w:t>
                      </w:r>
                      <w:r>
                        <w:rPr>
                          <w:strike/>
                        </w:rPr>
                        <w:t xml:space="preserve"> </w:t>
                      </w:r>
                    </w:p>
                  </w:sdtContent>
                </w:sdt>
                <w:sdt>
                  <w:sdtPr>
                    <w:alias w:val="10.2 pp."/>
                    <w:tag w:val="part_d5a9259f2c9144b18ebb3c4aacbee411"/>
                    <w:lock w:val="sdtLocked"/>
                    <w:richText/>
                  </w:sdtPr>
                  <w:sdtContent>
                    <w:p>
                      <w:pPr>
                        <w:tabs>
                          <w:tab w:val="left" w:pos="142"/>
                        </w:tabs>
                        <w:ind w:firstLine="851"/>
                        <w:jc w:val="both"/>
                      </w:pPr>
                      <w:sdt>
                        <w:sdtPr>
                          <w:alias w:val="Numeris"/>
                          <w:tag w:val="nr_d5a9259f2c9144b18ebb3c4aacbee411"/>
                          <w:lock w:val="sdtLocked"/>
                          <w:richText/>
                        </w:sdtPr>
                        <w:sdtContent>
                          <w:r>
                            <w:t>10.2</w:t>
                          </w:r>
                        </w:sdtContent>
                      </w:sdt>
                      <w:r>
                        <w:t>. nuo 11 iki 15 balų, kai Teisėjo darbo krūvis sudaro 90 – 99 procentus teisėjų darbo krūvio vidurkio atitinkamame teisme;</w:t>
                      </w:r>
                    </w:p>
                  </w:sdtContent>
                </w:sdt>
                <w:sdt>
                  <w:sdtPr>
                    <w:alias w:val="10.3 pp."/>
                    <w:tag w:val="part_d8c4ce17bd0545af9bb8be6d1d1b6488"/>
                    <w:lock w:val="sdtLocked"/>
                    <w:richText/>
                  </w:sdtPr>
                  <w:sdtContent>
                    <w:p>
                      <w:pPr>
                        <w:tabs>
                          <w:tab w:val="left" w:pos="142"/>
                        </w:tabs>
                        <w:ind w:firstLine="851"/>
                        <w:jc w:val="both"/>
                      </w:pPr>
                      <w:sdt>
                        <w:sdtPr>
                          <w:alias w:val="Numeris"/>
                          <w:tag w:val="nr_d8c4ce17bd0545af9bb8be6d1d1b6488"/>
                          <w:lock w:val="sdtLocked"/>
                          <w:richText/>
                        </w:sdtPr>
                        <w:sdtContent>
                          <w:r>
                            <w:t>10.3</w:t>
                          </w:r>
                        </w:sdtContent>
                      </w:sdt>
                      <w:r>
                        <w:t>. nuo 6 iki 10 balų, kai Teisėjo darbo krūvis sudaro 80 – 89 procentus teisėjų darbo krūvio vidurkio atitinkamame teisme;</w:t>
                      </w:r>
                    </w:p>
                  </w:sdtContent>
                </w:sdt>
                <w:sdt>
                  <w:sdtPr>
                    <w:alias w:val="10.4 pp."/>
                    <w:tag w:val="part_d4831624dfb240ea932ae76b7073b79a"/>
                    <w:lock w:val="sdtLocked"/>
                    <w:richText/>
                  </w:sdtPr>
                  <w:sdtContent>
                    <w:p>
                      <w:pPr>
                        <w:tabs>
                          <w:tab w:val="left" w:pos="142"/>
                        </w:tabs>
                        <w:ind w:firstLine="851"/>
                        <w:jc w:val="both"/>
                      </w:pPr>
                      <w:sdt>
                        <w:sdtPr>
                          <w:alias w:val="Numeris"/>
                          <w:tag w:val="nr_d4831624dfb240ea932ae76b7073b79a"/>
                          <w:lock w:val="sdtLocked"/>
                          <w:richText/>
                        </w:sdtPr>
                        <w:sdtContent>
                          <w:r>
                            <w:t>10.4</w:t>
                          </w:r>
                        </w:sdtContent>
                      </w:sdt>
                      <w:r>
                        <w:t>. nuo 1 iki 5 balų, kai Teisėjo darbo krūvis yra mažiau nei 80 procentų teisėjų darbo krūvio vidurkio atitinkamame teisme;</w:t>
                      </w:r>
                    </w:p>
                  </w:sdtContent>
                </w:sdt>
                <w:sdt>
                  <w:sdtPr>
                    <w:alias w:val="10.5 pp."/>
                    <w:tag w:val="part_78a70ec8aa4d481b8401f519e8217217"/>
                    <w:lock w:val="sdtLocked"/>
                    <w:richText/>
                  </w:sdtPr>
                  <w:sdtContent>
                    <w:p>
                      <w:pPr>
                        <w:tabs>
                          <w:tab w:val="left" w:pos="187"/>
                        </w:tabs>
                        <w:ind w:firstLine="851"/>
                        <w:jc w:val="both"/>
                      </w:pPr>
                      <w:sdt>
                        <w:sdtPr>
                          <w:alias w:val="Numeris"/>
                          <w:tag w:val="nr_78a70ec8aa4d481b8401f519e8217217"/>
                          <w:lock w:val="sdtLocked"/>
                          <w:richText/>
                        </w:sdtPr>
                        <w:sdtContent>
                          <w:r>
                            <w:t>10.5</w:t>
                          </w:r>
                        </w:sdtContent>
                      </w:sdt>
                      <w:r>
                        <w:t xml:space="preserve">. papildomai iki 5 balų gali būti skiriama tais atvejais, kai Teisėjo darbo krūvio vidurkis yra didesnis nei teisėjų darbo krūvis atitinkamos pakopos teismuose Lietuvos Respublikos mastu, taip pat </w:t>
                      </w:r>
                      <w:r>
                        <w:rPr>
                          <w:szCs w:val="24"/>
                        </w:rPr>
                        <w:t xml:space="preserve">už teisėjo vykdomą teismo mediatoriaus veiklą (vertinant teisminės mediacijos būdu išnagrinėtų bylų skaičių ir jų rezultatus), teisėjo nagrinėtose bylose sudarytų taikos sutarčių kiekį arba </w:t>
                      </w:r>
                      <w:r>
                        <w:t>teisėjo užimtumą kitoje veikloje;</w:t>
                      </w:r>
                    </w:p>
                  </w:sdtContent>
                </w:sdt>
                <w:sdt>
                  <w:sdtPr>
                    <w:alias w:val="10.6 pp."/>
                    <w:tag w:val="part_8cf87942aed74dd3872184aa2a1613f8"/>
                    <w:lock w:val="sdtLocked"/>
                    <w:richText/>
                  </w:sdtPr>
                  <w:sdtContent>
                    <w:p>
                      <w:pPr>
                        <w:tabs>
                          <w:tab w:val="left" w:pos="187"/>
                        </w:tabs>
                        <w:ind w:firstLine="851"/>
                        <w:jc w:val="both"/>
                        <w:rPr>
                          <w:szCs w:val="24"/>
                        </w:rPr>
                      </w:pPr>
                      <w:sdt>
                        <w:sdtPr>
                          <w:alias w:val="Numeris"/>
                          <w:tag w:val="nr_8cf87942aed74dd3872184aa2a1613f8"/>
                          <w:lock w:val="sdtLocked"/>
                          <w:richText/>
                        </w:sdtPr>
                        <w:sdtContent>
                          <w:r>
                            <w:rPr>
                              <w:szCs w:val="24"/>
                            </w:rPr>
                            <w:t>10.6</w:t>
                          </w:r>
                        </w:sdtContent>
                      </w:sdt>
                      <w:r>
                        <w:rPr>
                          <w:szCs w:val="24"/>
                        </w:rPr>
                        <w:t xml:space="preserve">. </w:t>
                      </w:r>
                      <w:r>
                        <w:t xml:space="preserve">Tais atvejais, kai teismo pirmininko, teismo pirmininko pavaduotojo, skyriaus pirmininko ar teisėjo darbo su bylomis krūvis dėl teismo administravimo funkcijų atlikimo ar dalyvavimo teisėjų savivaldos institucijų veikloje yra sumažintas, vertinant šio teisėjo statistinį vidutinį darbo krūvį yra taikomas atitinkamas pataisos koeficientas, kuris lygus sumažinto darbo krūvio dydžiui.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11 p."/>
                <w:tag w:val="part_fe01200ac6754339bbc4ae638cba4285"/>
                <w:lock w:val="sdtLocked"/>
                <w:richText/>
              </w:sdtPr>
              <w:sdtContent>
                <w:p>
                  <w:pPr>
                    <w:tabs>
                      <w:tab w:val="left" w:pos="284"/>
                    </w:tabs>
                    <w:ind w:firstLine="851"/>
                    <w:jc w:val="both"/>
                  </w:pPr>
                  <w:sdt>
                    <w:sdtPr>
                      <w:alias w:val="Numeris"/>
                      <w:tag w:val="nr_fe01200ac6754339bbc4ae638cba4285"/>
                      <w:lock w:val="sdtLocked"/>
                      <w:richText/>
                    </w:sdtPr>
                    <w:sdtContent>
                      <w:r>
                        <w:rPr>
                          <w:szCs w:val="24"/>
                        </w:rPr>
                        <w:t>11</w:t>
                      </w:r>
                    </w:sdtContent>
                  </w:sdt>
                  <w:r>
                    <w:rPr>
                      <w:szCs w:val="24"/>
                    </w:rPr>
                    <w:t xml:space="preserve">. </w:t>
                  </w:r>
                  <w:r>
                    <w:t>Bylų nagrinėjimo trukmė vertinama atsižvelgiant į statistinę vidutinę bylų nagrinėjimo trukmę teisme ir atitinkamos pakopos teismuose, ilgiau nei metus ar pusę metų nagrinėjamų kai kurių kategorijų bylų skaičių, kartu vertinant priežastis, lėmusias proceso trukmę, skiriant iki 25 balų: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sdt>
                  <w:sdtPr>
                    <w:alias w:val="11.1 pp."/>
                    <w:tag w:val="part_fd1929d2d6d34179936bdec7964502ac"/>
                    <w:lock w:val="sdtLocked"/>
                    <w:richText/>
                  </w:sdtPr>
                  <w:sdtContent>
                    <w:p>
                      <w:pPr>
                        <w:tabs>
                          <w:tab w:val="left" w:pos="187"/>
                        </w:tabs>
                        <w:ind w:firstLine="851"/>
                        <w:jc w:val="both"/>
                      </w:pPr>
                      <w:sdt>
                        <w:sdtPr>
                          <w:alias w:val="Numeris"/>
                          <w:tag w:val="nr_fd1929d2d6d34179936bdec7964502ac"/>
                          <w:lock w:val="sdtLocked"/>
                          <w:richText/>
                        </w:sdtPr>
                        <w:sdtContent>
                          <w:r>
                            <w:t>11.1</w:t>
                          </w:r>
                        </w:sdtContent>
                      </w:sdt>
                      <w:r>
                        <w:t xml:space="preserve">. nuo 16 iki 20 balų, kai statistinė teisėjo vidutinė bylos nagrinėjimo trukmė yra artima atitinkamo teismo teisėjų vidutinei bylos nagrinėjimo trukmei arba statistinė teisėjo vidutinė bylos nagrinėjimo trukmė yra ilgesnė už atitinkamo teismo teisėjų vidutinę bylos nagrinėjimo trukmę, tačiau ilgesnį bylų nagrinėjimą lėmusios priežastys nesusijusios su procesinių veiksmų atlikimo per įmanomai trumpiausius terminus trūkumais, procesinių terminų pažeidimais ar kitais teisėjo darbo organizavimo trūkumais;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11.2 pp."/>
                    <w:tag w:val="part_32ae15cf287a40dfb069e4d8c763d613"/>
                    <w:lock w:val="sdtLocked"/>
                    <w:richText/>
                  </w:sdtPr>
                  <w:sdtContent>
                    <w:p>
                      <w:pPr>
                        <w:tabs>
                          <w:tab w:val="left" w:pos="284"/>
                        </w:tabs>
                        <w:ind w:firstLine="851"/>
                        <w:jc w:val="both"/>
                      </w:pPr>
                      <w:sdt>
                        <w:sdtPr>
                          <w:alias w:val="Numeris"/>
                          <w:tag w:val="nr_32ae15cf287a40dfb069e4d8c763d613"/>
                          <w:lock w:val="sdtLocked"/>
                          <w:richText/>
                        </w:sdtPr>
                        <w:sdtContent>
                          <w:r>
                            <w:t>11.2</w:t>
                          </w:r>
                        </w:sdtContent>
                      </w:sdt>
                      <w:r>
                        <w:t>. nuo 11 iki 15 balų, kai statistinė teisėjo vidutinė bylos nagrinėjimo trukmė atitinka arba yra ne daugiau kaip 5 procentais ilgesnė už atitinkamo teismo teisėjų vidutinę bylos nagrinėjimo trukmę, kai ilgesnį bylų nagrinėjimą lėmusios priežastys tik retais atvejais yra susijusios su procesinių veiksmų atlikimo per įmanomai trumpiausius terminus trūkumais;</w:t>
                      </w:r>
                    </w:p>
                  </w:sdtContent>
                </w:sdt>
                <w:sdt>
                  <w:sdtPr>
                    <w:alias w:val="11.3 pp."/>
                    <w:tag w:val="part_d32c932a85d74b408b51ad8052f2a232"/>
                    <w:lock w:val="sdtLocked"/>
                    <w:richText/>
                  </w:sdtPr>
                  <w:sdtContent>
                    <w:p>
                      <w:pPr>
                        <w:tabs>
                          <w:tab w:val="left" w:pos="284"/>
                        </w:tabs>
                        <w:ind w:firstLine="851"/>
                        <w:jc w:val="both"/>
                      </w:pPr>
                      <w:sdt>
                        <w:sdtPr>
                          <w:alias w:val="Numeris"/>
                          <w:tag w:val="nr_d32c932a85d74b408b51ad8052f2a232"/>
                          <w:lock w:val="sdtLocked"/>
                          <w:richText/>
                        </w:sdtPr>
                        <w:sdtContent>
                          <w:r>
                            <w:t>11.3</w:t>
                          </w:r>
                        </w:sdtContent>
                      </w:sdt>
                      <w:r>
                        <w:t>. nuo 6 iki 10 balų, kai statistinė teisėjo vidutinė bylos nagrinėjimo trukmė yra ne daugiau kaip 10 procentų ilgesnė už atitinkamo teismo teisėjų vidutinę bylos nagrinėjimo trukmę, kai ilgesnį bylų nagrinėjimą lėmusios priežastys susijusios su teisėjo darbo organizavimo trūkumais;</w:t>
                      </w:r>
                    </w:p>
                  </w:sdtContent>
                </w:sdt>
                <w:sdt>
                  <w:sdtPr>
                    <w:alias w:val="11.4 pp."/>
                    <w:tag w:val="part_048738b6ea224d249b0546774cc2fcf0"/>
                    <w:lock w:val="sdtLocked"/>
                    <w:richText/>
                  </w:sdtPr>
                  <w:sdtContent>
                    <w:p>
                      <w:pPr>
                        <w:tabs>
                          <w:tab w:val="left" w:pos="284"/>
                        </w:tabs>
                        <w:ind w:firstLine="851"/>
                        <w:jc w:val="both"/>
                      </w:pPr>
                      <w:sdt>
                        <w:sdtPr>
                          <w:alias w:val="Numeris"/>
                          <w:tag w:val="nr_048738b6ea224d249b0546774cc2fcf0"/>
                          <w:lock w:val="sdtLocked"/>
                          <w:richText/>
                        </w:sdtPr>
                        <w:sdtContent>
                          <w:r>
                            <w:t>11.4</w:t>
                          </w:r>
                        </w:sdtContent>
                      </w:sdt>
                      <w:r>
                        <w:t>. nuo 1 iki 5 balų, kai statistinė teisėjo vidutinė bylos nagrinėjimo trukmė yra daugiau kaip 10 procentų ilgesnė už atitinkamo teismo teisėjų vidutinę bylos nagrinėjimo trukmę, kai ilgesnį bylų nagrinėjimą lėmusios priežastys susijusios su teisėjo darbo organizavimo trūkumais, pasikartojančiais procesinių terminų pažeidimais;</w:t>
                      </w:r>
                    </w:p>
                  </w:sdtContent>
                </w:sdt>
                <w:sdt>
                  <w:sdtPr>
                    <w:alias w:val="11.5 pp."/>
                    <w:tag w:val="part_273be560d9c047139c42b245a9a04ef6"/>
                    <w:lock w:val="sdtLocked"/>
                    <w:richText/>
                  </w:sdtPr>
                  <w:sdtContent>
                    <w:p>
                      <w:pPr>
                        <w:tabs>
                          <w:tab w:val="left" w:pos="187"/>
                        </w:tabs>
                        <w:ind w:firstLine="851"/>
                        <w:jc w:val="both"/>
                        <w:rPr>
                          <w:szCs w:val="24"/>
                        </w:rPr>
                      </w:pPr>
                      <w:sdt>
                        <w:sdtPr>
                          <w:alias w:val="Numeris"/>
                          <w:tag w:val="nr_273be560d9c047139c42b245a9a04ef6"/>
                          <w:lock w:val="sdtLocked"/>
                          <w:richText/>
                        </w:sdtPr>
                        <w:sdtContent>
                          <w:r>
                            <w:rPr>
                              <w:szCs w:val="24"/>
                            </w:rPr>
                            <w:t>11.5</w:t>
                          </w:r>
                        </w:sdtContent>
                      </w:sdt>
                      <w:r>
                        <w:rPr>
                          <w:szCs w:val="24"/>
                        </w:rPr>
                        <w:t xml:space="preserve">. </w:t>
                      </w:r>
                      <w:r>
                        <w:t xml:space="preserve">papildomai iki 5 balų gali būti skiriama, atsižvelgiant į nagrinėjamų bylų specifiką (nagrinėjamų bylų sudėtingumą ir apimtį), taip pat tais atvejais, kai atitinkamame teisme statistinė vidutinė bylų nagrinėjimo trukmė yra trumpesnė nei statistinė vidutinė bylų nagrinėjimo trukmė atitinkamos pakopos teismuose.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12 p."/>
                <w:tag w:val="part_adfd6d64f324413f9e9148f9e9d1ab80"/>
                <w:lock w:val="sdtLocked"/>
                <w:richText/>
              </w:sdtPr>
              <w:sdtContent>
                <w:p>
                  <w:pPr>
                    <w:tabs>
                      <w:tab w:val="left" w:pos="187"/>
                      <w:tab w:val="left" w:pos="1418"/>
                    </w:tabs>
                    <w:ind w:firstLine="851"/>
                    <w:jc w:val="both"/>
                  </w:pPr>
                  <w:sdt>
                    <w:sdtPr>
                      <w:alias w:val="Numeris"/>
                      <w:tag w:val="nr_adfd6d64f324413f9e9148f9e9d1ab80"/>
                      <w:lock w:val="sdtLocked"/>
                      <w:richText/>
                    </w:sdtPr>
                    <w:sdtContent>
                      <w:r>
                        <w:rPr>
                          <w:szCs w:val="24"/>
                        </w:rPr>
                        <w:t>12</w:t>
                      </w:r>
                    </w:sdtContent>
                  </w:sdt>
                  <w:r>
                    <w:rPr>
                      <w:szCs w:val="24"/>
                    </w:rPr>
                    <w:t>. P</w:t>
                  </w:r>
                  <w:r>
                    <w:t>rocesinių sprendimų kokybė vertinama atsižvelgiant į procesinių sprendimų stabilumo rodiklius (</w:t>
                  </w:r>
                  <w:r>
                    <w:rPr>
                      <w:szCs w:val="24"/>
                    </w:rPr>
                    <w:t>duomenis apie teisėjo priimtus ir aukštesnės pakopos teismų panaikintus ar pakeistus procesinius sprendimus</w:t>
                  </w:r>
                  <w:r>
                    <w:t xml:space="preserve">), procesinių sprendimų pakeitimo ir panaikinimo priežastis, nustatytų absoliučių sprendimo negaliojimo pagrindų kiekį, procesinių sprendimų rengimo formos laikymąsi, </w:t>
                  </w:r>
                  <w:r>
                    <w:rPr>
                      <w:szCs w:val="24"/>
                    </w:rPr>
                    <w:t>procesinių sprendimų aiškumą, logiškumą, kalbos raišką, gerosios teismo procesinių sprendimų rengimo praktikos taikymą (pavyzdžiui,</w:t>
                  </w:r>
                  <w:r>
                    <w:rPr>
                      <w:i/>
                      <w:szCs w:val="24"/>
                    </w:rPr>
                    <w:t xml:space="preserve"> </w:t>
                  </w:r>
                  <w:r>
                    <w:rPr>
                      <w:szCs w:val="24"/>
                    </w:rPr>
                    <w:t>Rekomenduojamus teismų procesinių sprendimų kokybės standartus, patvirtintus Teisėjų tarybos 2016 m. gegužės 27 d. nutarimu Nr. 13P-65-(7.1.2))</w:t>
                  </w:r>
                  <w:r>
                    <w:t>, skiriant iki 25 balų:</w:t>
                  </w:r>
                </w:p>
                <w:sdt>
                  <w:sdtPr>
                    <w:alias w:val="12.1 pp."/>
                    <w:tag w:val="part_9935d67242bd49afa159999e2d84f688"/>
                    <w:lock w:val="sdtLocked"/>
                    <w:richText/>
                  </w:sdtPr>
                  <w:sdtContent>
                    <w:p>
                      <w:pPr>
                        <w:tabs>
                          <w:tab w:val="left" w:pos="187"/>
                        </w:tabs>
                        <w:ind w:firstLine="851"/>
                        <w:jc w:val="both"/>
                      </w:pPr>
                      <w:sdt>
                        <w:sdtPr>
                          <w:alias w:val="Numeris"/>
                          <w:tag w:val="nr_9935d67242bd49afa159999e2d84f688"/>
                          <w:lock w:val="sdtLocked"/>
                          <w:richText/>
                        </w:sdtPr>
                        <w:sdtContent>
                          <w:r>
                            <w:t>12.1</w:t>
                          </w:r>
                        </w:sdtContent>
                      </w:sdt>
                      <w:r>
                        <w:t>. nuo 21 iki 25 balų, kai procesinių dokumentų kokybė yra labai gera (procesiniai sprendimai yra logiški, aiškūs, atitinkantys procesiniams dokumentams keliamus reikalavimus bei valstybinės kalbos reikalavimus), teisėjo priimtų ir apskųstų procesinių sprendimų stabilumo rodikliai aukštesni už šių rodiklių vidurkį atitinkamos pakopos teismuose;</w:t>
                      </w:r>
                    </w:p>
                  </w:sdtContent>
                </w:sdt>
                <w:sdt>
                  <w:sdtPr>
                    <w:alias w:val="12.2 pp."/>
                    <w:tag w:val="part_ca1f6706de084ae2a6c0ad4487b3995c"/>
                    <w:lock w:val="sdtLocked"/>
                    <w:richText/>
                  </w:sdtPr>
                  <w:sdtContent>
                    <w:p>
                      <w:pPr>
                        <w:tabs>
                          <w:tab w:val="left" w:pos="187"/>
                        </w:tabs>
                        <w:ind w:firstLine="851"/>
                        <w:jc w:val="both"/>
                      </w:pPr>
                      <w:sdt>
                        <w:sdtPr>
                          <w:alias w:val="Numeris"/>
                          <w:tag w:val="nr_ca1f6706de084ae2a6c0ad4487b3995c"/>
                          <w:lock w:val="sdtLocked"/>
                          <w:richText/>
                        </w:sdtPr>
                        <w:sdtContent>
                          <w:r>
                            <w:t>12.2</w:t>
                          </w:r>
                        </w:sdtContent>
                      </w:sdt>
                      <w:r>
                        <w:t>. nuo 15 iki 20 balų, kai procesinių dokumentų kokybė yra gera (procesiniai sprendimai yra logiški, aiškūs, atitinkantys procesiniams dokumentams keliamus reikalavimus bei valstybinės kalbos reikalavimus, pasitaiko tik pavienių tokio pobūdžio trūkumų), teisėjo priimtų ir (arba) apskųstų procesinių sprendimų stabilumo rodikliai yra nežymiai aukštesni, atitinka arba yra šiek tiek žemesni už šių rodiklių vidurkį atitinkamos pakopos teismuose;</w:t>
                      </w:r>
                    </w:p>
                  </w:sdtContent>
                </w:sdt>
                <w:sdt>
                  <w:sdtPr>
                    <w:alias w:val="12.3 pp."/>
                    <w:tag w:val="part_72d8483a73024dadadc77739eb40e52b"/>
                    <w:lock w:val="sdtLocked"/>
                    <w:richText/>
                  </w:sdtPr>
                  <w:sdtContent>
                    <w:p>
                      <w:pPr>
                        <w:tabs>
                          <w:tab w:val="left" w:pos="187"/>
                        </w:tabs>
                        <w:ind w:firstLine="851"/>
                        <w:jc w:val="both"/>
                      </w:pPr>
                      <w:sdt>
                        <w:sdtPr>
                          <w:alias w:val="Numeris"/>
                          <w:tag w:val="nr_72d8483a73024dadadc77739eb40e52b"/>
                          <w:lock w:val="sdtLocked"/>
                          <w:richText/>
                        </w:sdtPr>
                        <w:sdtContent>
                          <w:r>
                            <w:t>12.3</w:t>
                          </w:r>
                        </w:sdtContent>
                      </w:sdt>
                      <w:r>
                        <w:t>. nuo 8 iki 14 balų, kai procesinių dokumentų kokybė yra vidutinė (procesiniai dokumentai ne visada surašomi tvarkingai, ne visada atitinka teisės norminių aktų ir valstybinės kalbos reikalavimus, juose trūksta aiškumo ir nuoseklaus dėstymo), teisėjo priimtų ir (arba) apskųstų procesinių sprendimų stabilumo rodikliai nežymiai žemesni už šių rodiklių vidurkį atitinkamos pakopos teismuose, daug pakeistų procesinių sprendimų;</w:t>
                      </w:r>
                    </w:p>
                  </w:sdtContent>
                </w:sdt>
                <w:sdt>
                  <w:sdtPr>
                    <w:alias w:val="12.4 pp."/>
                    <w:tag w:val="part_800ce7a1284b46cfbf6a6e273a4efc64"/>
                    <w:lock w:val="sdtLocked"/>
                    <w:richText/>
                  </w:sdtPr>
                  <w:sdtContent>
                    <w:p>
                      <w:pPr>
                        <w:tabs>
                          <w:tab w:val="left" w:pos="187"/>
                        </w:tabs>
                        <w:ind w:firstLine="851"/>
                        <w:jc w:val="both"/>
                      </w:pPr>
                      <w:sdt>
                        <w:sdtPr>
                          <w:alias w:val="Numeris"/>
                          <w:tag w:val="nr_800ce7a1284b46cfbf6a6e273a4efc64"/>
                          <w:lock w:val="sdtLocked"/>
                          <w:richText/>
                        </w:sdtPr>
                        <w:sdtContent>
                          <w:r>
                            <w:t>12.4</w:t>
                          </w:r>
                        </w:sdtContent>
                      </w:sdt>
                      <w:r>
                        <w:t>. nuo 1 iki 7 balų, kai procesinių dokumentų kokybė patenkinama (aukštesnės pakopos teismas, spręsdamas dėl vertinamo teisėjo priimtų procesinių sprendimų teisėtumo ir pagrįstumo, dažnai pažymi procesinių sprendimų motyvavimo trūkumus), teisėjo priimtų ir apskųstų procesinių sprendimų stabilumo rodikliai yra žymiai žemesni už šių rodiklių vidurkį atitinkamos pakopos teismuose, šie trūkumai yra pasikartojantys.</w:t>
                      </w:r>
                    </w:p>
                  </w:sdtContent>
                </w:sdt>
              </w:sdtContent>
            </w:sdt>
            <w:sdt>
              <w:sdtPr>
                <w:alias w:val="13 p."/>
                <w:tag w:val="part_7fa7cd23653f411ea93a6a6deb8ca830"/>
                <w:lock w:val="sdtLocked"/>
                <w:richText/>
              </w:sdtPr>
              <w:sdtContent>
                <w:p>
                  <w:pPr>
                    <w:tabs>
                      <w:tab w:val="left" w:pos="187"/>
                      <w:tab w:val="left" w:pos="1418"/>
                    </w:tabs>
                    <w:ind w:firstLine="851"/>
                    <w:jc w:val="both"/>
                  </w:pPr>
                  <w:sdt>
                    <w:sdtPr>
                      <w:alias w:val="Numeris"/>
                      <w:tag w:val="nr_7fa7cd23653f411ea93a6a6deb8ca830"/>
                      <w:lock w:val="sdtLocked"/>
                      <w:richText/>
                    </w:sdtPr>
                    <w:sdtContent>
                      <w:r>
                        <w:rPr>
                          <w:szCs w:val="24"/>
                        </w:rPr>
                        <w:t>13</w:t>
                      </w:r>
                    </w:sdtContent>
                  </w:sdt>
                  <w:r>
                    <w:rPr>
                      <w:szCs w:val="24"/>
                    </w:rPr>
                    <w:t xml:space="preserve">. </w:t>
                  </w:r>
                  <w:r>
                    <w:t xml:space="preserve">Teisėjo vadovavimo procesui kokybė ir </w:t>
                  </w:r>
                  <w:r>
                    <w:rPr>
                      <w:szCs w:val="24"/>
                    </w:rPr>
                    <w:t xml:space="preserve">teisėjo darbo organizavimo gebėjimai </w:t>
                  </w:r>
                  <w:r>
                    <w:t xml:space="preserve">vertinami atsižvelgiant į teisėjo pastabumą, atidumą, elgesį su proceso šalimis ir kitais proceso dalyviais, gebėjimą išklausyti kiekvieną dalyvaujantį byloje asmenį, dėmesingumą, </w:t>
                  </w:r>
                  <w:r>
                    <w:rPr>
                      <w:szCs w:val="24"/>
                    </w:rPr>
                    <w:t>tinkamą teismo proceso, atskirų procesinių veiksmų, kitų darbų planavimą ir organizavimą, gebėjimą skirti pakankamai laiko visiems sprendžiamiems klausimams, stropumą, punktualumą, įstatyme nustatytų terminų laikymąsi, atliekant su teisėjo profesine veikla susijusias pareigas ir kt.</w:t>
                  </w:r>
                  <w:r>
                    <w:t>, skiriant iki 25 balų: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sdt>
                  <w:sdtPr>
                    <w:alias w:val="13.1 pp."/>
                    <w:tag w:val="part_e8ef157709074aa78a29e70af60ccc3c"/>
                    <w:lock w:val="sdtLocked"/>
                    <w:richText/>
                  </w:sdtPr>
                  <w:sdtContent>
                    <w:p>
                      <w:pPr>
                        <w:tabs>
                          <w:tab w:val="left" w:pos="187"/>
                        </w:tabs>
                        <w:ind w:firstLine="851"/>
                        <w:jc w:val="both"/>
                      </w:pPr>
                      <w:sdt>
                        <w:sdtPr>
                          <w:alias w:val="Numeris"/>
                          <w:tag w:val="nr_e8ef157709074aa78a29e70af60ccc3c"/>
                          <w:lock w:val="sdtLocked"/>
                          <w:richText/>
                        </w:sdtPr>
                        <w:sdtContent>
                          <w:r>
                            <w:t>13.1</w:t>
                          </w:r>
                        </w:sdtContent>
                      </w:sdt>
                      <w:r>
                        <w:t>. nuo 19 iki 25 balų, kai nenustatyta vadovavimo procesui kokybės ir teisėjo bendravimo bei darbo organizavimo trūkumų;</w:t>
                      </w:r>
                    </w:p>
                  </w:sdtContent>
                </w:sdt>
                <w:sdt>
                  <w:sdtPr>
                    <w:alias w:val="13.2 pp."/>
                    <w:tag w:val="part_1e03f281a4d444a083d181153d672919"/>
                    <w:lock w:val="sdtLocked"/>
                    <w:richText/>
                  </w:sdtPr>
                  <w:sdtContent>
                    <w:p>
                      <w:pPr>
                        <w:tabs>
                          <w:tab w:val="left" w:pos="187"/>
                        </w:tabs>
                        <w:ind w:firstLine="851"/>
                        <w:jc w:val="both"/>
                      </w:pPr>
                      <w:sdt>
                        <w:sdtPr>
                          <w:alias w:val="Numeris"/>
                          <w:tag w:val="nr_1e03f281a4d444a083d181153d672919"/>
                          <w:lock w:val="sdtLocked"/>
                          <w:richText/>
                        </w:sdtPr>
                        <w:sdtContent>
                          <w:r>
                            <w:t>13.2</w:t>
                          </w:r>
                        </w:sdtContent>
                      </w:sdt>
                      <w:r>
                        <w:t>. nuo 10 iki 18 balų, kai nustatyti pavieniai vadovavimo procesui kokybės trūkumai, teisėjo bendravimo ir darbo organizavimo trūkumai, kurie neturėjo esminės įtakos sąžiningam ir teisingam procesui, proceso dalyvių teisių ir teisėtų interesų užtikrinimui;</w:t>
                      </w:r>
                    </w:p>
                  </w:sdtContent>
                </w:sdt>
                <w:sdt>
                  <w:sdtPr>
                    <w:alias w:val="13.3 pp."/>
                    <w:tag w:val="part_f9bdc509876e4e939e00d5123691bc2d"/>
                    <w:lock w:val="sdtLocked"/>
                    <w:richText/>
                  </w:sdtPr>
                  <w:sdtContent>
                    <w:p>
                      <w:pPr>
                        <w:tabs>
                          <w:tab w:val="left" w:pos="187"/>
                        </w:tabs>
                        <w:ind w:firstLine="851"/>
                        <w:jc w:val="both"/>
                      </w:pPr>
                      <w:sdt>
                        <w:sdtPr>
                          <w:alias w:val="Numeris"/>
                          <w:tag w:val="nr_f9bdc509876e4e939e00d5123691bc2d"/>
                          <w:lock w:val="sdtLocked"/>
                          <w:richText/>
                        </w:sdtPr>
                        <w:sdtContent>
                          <w:r>
                            <w:t>13.3</w:t>
                          </w:r>
                        </w:sdtContent>
                      </w:sdt>
                      <w:r>
                        <w:t>. nuo 1 iki 9 balų, kai nustatyti sistemingi ir pasikartojantys vadovavimo procesui kokybės trūkumai, teisėjo bendravimo ir darbo organizavimo trūkumai, teisėjas profesinėje veikloje nesilaiko pareigingumo, atsakingumo ir nepriekaištingo elgesio reikalavimų.</w:t>
                      </w:r>
                    </w:p>
                  </w:sdtContent>
                </w:sdt>
              </w:sdtContent>
            </w:sdt>
            <w:sdt>
              <w:sdtPr>
                <w:alias w:val="14 p."/>
                <w:tag w:val="part_abc22a4b7e83452d94ecfa7b3d30e826"/>
                <w:lock w:val="sdtLocked"/>
                <w:richText/>
              </w:sdtPr>
              <w:sdtContent>
                <w:p>
                  <w:pPr>
                    <w:tabs>
                      <w:tab w:val="left" w:pos="426"/>
                    </w:tabs>
                    <w:ind w:firstLine="851"/>
                    <w:jc w:val="both"/>
                  </w:pPr>
                  <w:sdt>
                    <w:sdtPr>
                      <w:alias w:val="Numeris"/>
                      <w:tag w:val="nr_abc22a4b7e83452d94ecfa7b3d30e826"/>
                      <w:lock w:val="sdtLocked"/>
                      <w:richText/>
                    </w:sdtPr>
                    <w:sdtContent>
                      <w:r>
                        <w:t>14</w:t>
                      </w:r>
                    </w:sdtContent>
                  </w:sdt>
                  <w:r>
                    <w:t xml:space="preserve">. Šio Aprašo 10–13 punktuose nustatyti profesinės teisėjo veiklos vertinimo kriterijai </w:t>
                  </w:r>
                  <w:r>
                    <w:rPr>
                      <w:i/>
                    </w:rPr>
                    <w:t xml:space="preserve">mutatis mutandis </w:t>
                  </w:r>
                  <w:r>
                    <w:t>taikomi vertinant Lietuvos Aukščiausiojo Teismo ir Lietuvos vyriausiojo administracinio teismo teisėjų veiklą.</w:t>
                  </w:r>
                </w:p>
              </w:sdtContent>
            </w:sdt>
            <w:sdt>
              <w:sdtPr>
                <w:alias w:val="15 p."/>
                <w:tag w:val="part_bd5350faa3074cb7aae3da703e5dd391"/>
                <w:lock w:val="sdtLocked"/>
                <w:richText/>
              </w:sdtPr>
              <w:sdtContent>
                <w:p>
                  <w:pPr>
                    <w:tabs>
                      <w:tab w:val="left" w:pos="426"/>
                    </w:tabs>
                    <w:ind w:firstLine="851"/>
                    <w:jc w:val="both"/>
                  </w:pPr>
                  <w:sdt>
                    <w:sdtPr>
                      <w:alias w:val="Numeris"/>
                      <w:tag w:val="nr_bd5350faa3074cb7aae3da703e5dd391"/>
                      <w:lock w:val="sdtLocked"/>
                      <w:richText/>
                    </w:sdtPr>
                    <w:sdtContent>
                      <w:r>
                        <w:t>15</w:t>
                      </w:r>
                    </w:sdtContent>
                  </w:sdt>
                  <w:r>
                    <w:t>. Profesinė teisėjo veikla (teisinio darbo kokybė), sudėjus šio Aprašo 10–13 punktuose nurodytus profesinės teisėjo veiklos rezultatus laikoma:</w:t>
                  </w:r>
                </w:p>
                <w:sdt>
                  <w:sdtPr>
                    <w:alias w:val="15.1 pp."/>
                    <w:tag w:val="part_a42b565bf8694960969d741658b62960"/>
                    <w:lock w:val="sdtLocked"/>
                    <w:richText/>
                  </w:sdtPr>
                  <w:sdtContent>
                    <w:p>
                      <w:pPr>
                        <w:tabs>
                          <w:tab w:val="left" w:pos="187"/>
                          <w:tab w:val="left" w:pos="1560"/>
                        </w:tabs>
                        <w:ind w:left="1276" w:hanging="425"/>
                        <w:jc w:val="both"/>
                      </w:pPr>
                      <w:sdt>
                        <w:sdtPr>
                          <w:alias w:val="Numeris"/>
                          <w:tag w:val="nr_a42b565bf8694960969d741658b62960"/>
                          <w:lock w:val="sdtLocked"/>
                          <w:richText/>
                        </w:sdtPr>
                        <w:sdtContent>
                          <w:r>
                            <w:t>15.1</w:t>
                          </w:r>
                        </w:sdtContent>
                      </w:sdt>
                      <w:r>
                        <w:t>. puikia, kai bendras profesinės teisėjo veiklos (teisinio darbo kokybės) laipsnis yra nuo 86 iki 100 balų;</w:t>
                      </w:r>
                    </w:p>
                  </w:sdtContent>
                </w:sdt>
                <w:sdt>
                  <w:sdtPr>
                    <w:alias w:val="15.2 pp."/>
                    <w:tag w:val="part_4f81dd9dc57f4e52b5cb94b584c38bd8"/>
                    <w:lock w:val="sdtLocked"/>
                    <w:richText/>
                  </w:sdtPr>
                  <w:sdtContent>
                    <w:p>
                      <w:pPr>
                        <w:tabs>
                          <w:tab w:val="left" w:pos="187"/>
                          <w:tab w:val="left" w:pos="1560"/>
                        </w:tabs>
                        <w:ind w:left="1276" w:hanging="425"/>
                        <w:jc w:val="both"/>
                      </w:pPr>
                      <w:sdt>
                        <w:sdtPr>
                          <w:alias w:val="Numeris"/>
                          <w:tag w:val="nr_4f81dd9dc57f4e52b5cb94b584c38bd8"/>
                          <w:lock w:val="sdtLocked"/>
                          <w:richText/>
                        </w:sdtPr>
                        <w:sdtContent>
                          <w:r>
                            <w:t>15.2</w:t>
                          </w:r>
                        </w:sdtContent>
                      </w:sdt>
                      <w:r>
                        <w:t>. labai gera, kai bendras profesinės teisėjo veiklos (teisinio darbo kokybės) laipsnis yra nuo 76 iki 85;</w:t>
                      </w:r>
                    </w:p>
                  </w:sdtContent>
                </w:sdt>
                <w:sdt>
                  <w:sdtPr>
                    <w:alias w:val="15.3 pp."/>
                    <w:tag w:val="part_73d42ad683f0403a8860c6ba0a59a1b9"/>
                    <w:lock w:val="sdtLocked"/>
                    <w:richText/>
                  </w:sdtPr>
                  <w:sdtContent>
                    <w:p>
                      <w:pPr>
                        <w:tabs>
                          <w:tab w:val="left" w:pos="187"/>
                          <w:tab w:val="left" w:pos="1560"/>
                        </w:tabs>
                        <w:ind w:left="1276" w:hanging="425"/>
                        <w:jc w:val="both"/>
                      </w:pPr>
                      <w:sdt>
                        <w:sdtPr>
                          <w:alias w:val="Numeris"/>
                          <w:tag w:val="nr_73d42ad683f0403a8860c6ba0a59a1b9"/>
                          <w:lock w:val="sdtLocked"/>
                          <w:richText/>
                        </w:sdtPr>
                        <w:sdtContent>
                          <w:r>
                            <w:t>15.3</w:t>
                          </w:r>
                        </w:sdtContent>
                      </w:sdt>
                      <w:r>
                        <w:t>. gera, kai bendras profesinės teisėjo veiklos (teisinio darbo kokybės) laipsnis yra nuo 61 iki 75;</w:t>
                      </w:r>
                    </w:p>
                  </w:sdtContent>
                </w:sdt>
                <w:sdt>
                  <w:sdtPr>
                    <w:alias w:val="15.4 pp."/>
                    <w:tag w:val="part_395d7dc156b74b7e96d5df22923b46a7"/>
                    <w:lock w:val="sdtLocked"/>
                    <w:richText/>
                  </w:sdtPr>
                  <w:sdtContent>
                    <w:p>
                      <w:pPr>
                        <w:tabs>
                          <w:tab w:val="left" w:pos="187"/>
                          <w:tab w:val="left" w:pos="1560"/>
                        </w:tabs>
                        <w:ind w:left="1276" w:hanging="425"/>
                        <w:jc w:val="both"/>
                      </w:pPr>
                      <w:sdt>
                        <w:sdtPr>
                          <w:alias w:val="Numeris"/>
                          <w:tag w:val="nr_395d7dc156b74b7e96d5df22923b46a7"/>
                          <w:lock w:val="sdtLocked"/>
                          <w:richText/>
                        </w:sdtPr>
                        <w:sdtContent>
                          <w:r>
                            <w:t>15.4</w:t>
                          </w:r>
                        </w:sdtContent>
                      </w:sdt>
                      <w:r>
                        <w:t>. patenkinama, kai bendras profesinės teisėjo veiklos (teisinio darbo kokybės) laipsnis yra nuo 41 iki 60;</w:t>
                      </w:r>
                    </w:p>
                  </w:sdtContent>
                </w:sdt>
                <w:sdt>
                  <w:sdtPr>
                    <w:alias w:val="15.5 pp."/>
                    <w:tag w:val="part_c563624223b74946b23bd8a237d47878"/>
                    <w:lock w:val="sdtLocked"/>
                    <w:richText/>
                  </w:sdtPr>
                  <w:sdtContent>
                    <w:p>
                      <w:pPr>
                        <w:tabs>
                          <w:tab w:val="left" w:pos="187"/>
                        </w:tabs>
                        <w:ind w:firstLine="851"/>
                        <w:jc w:val="both"/>
                        <w:rPr>
                          <w:b/>
                          <w:szCs w:val="24"/>
                        </w:rPr>
                      </w:pPr>
                      <w:sdt>
                        <w:sdtPr>
                          <w:alias w:val="Numeris"/>
                          <w:tag w:val="nr_c563624223b74946b23bd8a237d47878"/>
                          <w:lock w:val="sdtLocked"/>
                          <w:richText/>
                        </w:sdtPr>
                        <w:sdtContent>
                          <w:r>
                            <w:t>15.5</w:t>
                          </w:r>
                        </w:sdtContent>
                      </w:sdt>
                      <w:r>
                        <w:t>. nepatenkinama, kai bendras profesinės teisėjo veiklos (teisinio darbo kokybės) laipsnis yra 40 balų ar žemesnis.</w:t>
                      </w:r>
                    </w:p>
                  </w:sdtContent>
                </w:sdt>
              </w:sdtContent>
            </w:sdt>
            <w:sdt>
              <w:sdtPr>
                <w:alias w:val="16 p."/>
                <w:tag w:val="part_da2922b8903e432b8c349fcd61107d0b"/>
                <w:lock w:val="sdtLocked"/>
                <w:richText/>
              </w:sdtPr>
              <w:sdtContent>
                <w:p>
                  <w:pPr>
                    <w:tabs>
                      <w:tab w:val="left" w:pos="187"/>
                    </w:tabs>
                    <w:ind w:firstLine="851"/>
                    <w:jc w:val="both"/>
                    <w:rPr>
                      <w:szCs w:val="24"/>
                    </w:rPr>
                  </w:pPr>
                  <w:sdt>
                    <w:sdtPr>
                      <w:alias w:val="Numeris"/>
                      <w:tag w:val="nr_da2922b8903e432b8c349fcd61107d0b"/>
                      <w:lock w:val="sdtLocked"/>
                      <w:richText/>
                    </w:sdtPr>
                    <w:sdtContent>
                      <w:r>
                        <w:rPr>
                          <w:szCs w:val="24"/>
                        </w:rPr>
                        <w:t>16</w:t>
                      </w:r>
                    </w:sdtContent>
                  </w:sdt>
                  <w:r>
                    <w:rPr>
                      <w:szCs w:val="24"/>
                    </w:rPr>
                    <w:t xml:space="preserve">. Komisijos išvadoje dėl teisėjo veiklos vertinimo rezultatų pateikiama informacija apie teisėjo asmenines ir dalykines savybes. Vertinant teisėjo asmenines </w:t>
                  </w:r>
                  <w:r>
                    <w:rPr>
                      <w:bCs/>
                      <w:szCs w:val="24"/>
                    </w:rPr>
                    <w:t>ir</w:t>
                  </w:r>
                  <w:r>
                    <w:rPr>
                      <w:szCs w:val="24"/>
                    </w:rPr>
                    <w:t xml:space="preserve"> dalykines savybes, atsižvelgiama į:</w:t>
                  </w:r>
                </w:p>
                <w:sdt>
                  <w:sdtPr>
                    <w:alias w:val="16.1 pp."/>
                    <w:tag w:val="part_0085d975f1a045bc93d058fedd75c886"/>
                    <w:lock w:val="sdtLocked"/>
                    <w:richText/>
                  </w:sdtPr>
                  <w:sdtContent>
                    <w:p>
                      <w:pPr>
                        <w:tabs>
                          <w:tab w:val="left" w:pos="187"/>
                        </w:tabs>
                        <w:ind w:firstLine="851"/>
                        <w:jc w:val="both"/>
                        <w:rPr>
                          <w:szCs w:val="24"/>
                        </w:rPr>
                      </w:pPr>
                      <w:sdt>
                        <w:sdtPr>
                          <w:alias w:val="Numeris"/>
                          <w:tag w:val="nr_0085d975f1a045bc93d058fedd75c886"/>
                          <w:lock w:val="sdtLocked"/>
                          <w:richText/>
                        </w:sdtPr>
                        <w:sdtContent>
                          <w:r>
                            <w:rPr>
                              <w:szCs w:val="24"/>
                            </w:rPr>
                            <w:t>16.1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6.2 pp."/>
                    <w:tag w:val="part_15e1b538bdd149c399320b5f07872559"/>
                    <w:lock w:val="sdtLocked"/>
                    <w:richText/>
                  </w:sdtPr>
                  <w:sdtContent>
                    <w:p>
                      <w:pPr>
                        <w:tabs>
                          <w:tab w:val="left" w:pos="187"/>
                        </w:tabs>
                        <w:ind w:firstLine="851"/>
                        <w:jc w:val="both"/>
                        <w:rPr>
                          <w:szCs w:val="24"/>
                        </w:rPr>
                      </w:pPr>
                      <w:sdt>
                        <w:sdtPr>
                          <w:alias w:val="Numeris"/>
                          <w:tag w:val="nr_15e1b538bdd149c399320b5f07872559"/>
                          <w:lock w:val="sdtLocked"/>
                          <w:richText/>
                        </w:sdtPr>
                        <w:sdtContent>
                          <w:r>
                            <w:rPr>
                              <w:szCs w:val="24"/>
                            </w:rPr>
                            <w:t>16.2</w:t>
                          </w:r>
                        </w:sdtContent>
                      </w:sdt>
                      <w:r>
                        <w:rPr>
                          <w:szCs w:val="24"/>
                        </w:rPr>
                        <w:t>. Teisėjų etikos kodekso reikalavimų laikymąsi;</w:t>
                      </w:r>
                    </w:p>
                  </w:sdtContent>
                </w:sdt>
                <w:sdt>
                  <w:sdtPr>
                    <w:alias w:val="16.3 pp."/>
                    <w:tag w:val="part_df6bdad97cb24096a9ae8dccdd1d34a1"/>
                    <w:lock w:val="sdtLocked"/>
                    <w:richText/>
                  </w:sdtPr>
                  <w:sdtContent>
                    <w:p>
                      <w:pPr>
                        <w:tabs>
                          <w:tab w:val="left" w:pos="187"/>
                        </w:tabs>
                        <w:ind w:firstLine="851"/>
                        <w:jc w:val="both"/>
                        <w:rPr>
                          <w:szCs w:val="24"/>
                        </w:rPr>
                      </w:pPr>
                      <w:sdt>
                        <w:sdtPr>
                          <w:alias w:val="Numeris"/>
                          <w:tag w:val="nr_df6bdad97cb24096a9ae8dccdd1d34a1"/>
                          <w:lock w:val="sdtLocked"/>
                          <w:richText/>
                        </w:sdtPr>
                        <w:sdtContent>
                          <w:r>
                            <w:rPr>
                              <w:szCs w:val="24"/>
                            </w:rPr>
                            <w:t>16.3</w:t>
                          </w:r>
                        </w:sdtContent>
                      </w:sdt>
                      <w:r>
                        <w:rPr>
                          <w:szCs w:val="24"/>
                        </w:rPr>
                        <w:t>. kitas teisėjo asmenines savybes (atsakingumą, taktiškumą, pareigingumą, nuovokumą, aktyvumą teismų bendruomenėje ir kt.);</w:t>
                      </w:r>
                    </w:p>
                  </w:sdtContent>
                </w:sdt>
                <w:sdt>
                  <w:sdtPr>
                    <w:alias w:val="16.4 pp."/>
                    <w:tag w:val="part_547414a71297446eb70649b370b090d4"/>
                    <w:lock w:val="sdtLocked"/>
                    <w:richText/>
                  </w:sdtPr>
                  <w:sdtContent>
                    <w:p>
                      <w:pPr>
                        <w:overflowPunct w:val="0"/>
                        <w:ind w:firstLine="851"/>
                        <w:jc w:val="both"/>
                        <w:textAlignment w:val="baseline"/>
                      </w:pPr>
                      <w:sdt>
                        <w:sdtPr>
                          <w:alias w:val="Numeris"/>
                          <w:tag w:val="nr_547414a71297446eb70649b370b090d4"/>
                          <w:lock w:val="sdtLocked"/>
                          <w:richText/>
                        </w:sdtPr>
                        <w:sdtContent>
                          <w:r>
                            <w:t>16.4</w:t>
                          </w:r>
                        </w:sdtContent>
                      </w:sdt>
                      <w:r>
                        <w:t xml:space="preserve">. </w:t>
                      </w:r>
                      <w:r>
                        <w:rPr>
                          <w:szCs w:val="24"/>
                        </w:rPr>
                        <w:t>kitas teisėjo dalykines savybes (kvalifikacijos kėlimas Lietuvoje ir užsienio šalyse, dalyvavimas tarptautiniuose mokymuose, stažuotėse ar seminaruose, mokslinėje-pedagoginėje veikloje, dalyvavimas teismų savivaldoje, teismų bendruomenės visuomeninėje veikloje,</w:t>
                      </w:r>
                      <w:r>
                        <w:rPr>
                          <w:b/>
                          <w:bCs/>
                          <w:szCs w:val="24"/>
                        </w:rPr>
                        <w:t xml:space="preserve"> </w:t>
                      </w:r>
                      <w:r>
                        <w:rPr>
                          <w:szCs w:val="24"/>
                        </w:rPr>
                        <w:t>tarptautiniuose tinkluose bei projektuose, rengiant teisės aktų projektus, užtikrinant bendrinės ir proceso kalbos kultūrą, užsienio kalbų mokėjimas, darbo su informacinėmis technologijomis įgūdžiai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16-1 p."/>
                <w:tag w:val="part_c733fa24941e41ef94eb63f32a715614"/>
                <w:lock w:val="sdtLocked"/>
                <w:richText/>
              </w:sdtPr>
              <w:sdtContent>
                <w:p>
                  <w:pPr>
                    <w:overflowPunct w:val="0"/>
                    <w:ind w:firstLine="851"/>
                    <w:jc w:val="both"/>
                    <w:textAlignment w:val="baseline"/>
                    <w:rPr>
                      <w:szCs w:val="24"/>
                    </w:rPr>
                  </w:pPr>
                  <w:sdt>
                    <w:sdtPr>
                      <w:alias w:val="Numeris"/>
                      <w:tag w:val="nr_c733fa24941e41ef94eb63f32a715614"/>
                      <w:lock w:val="sdtLocked"/>
                      <w:richText/>
                    </w:sdtPr>
                    <w:sdtContent>
                      <w:r>
                        <w:rPr>
                          <w:szCs w:val="24"/>
                        </w:rPr>
                        <w:t>16</w:t>
                      </w:r>
                      <w:r>
                        <w:rPr>
                          <w:szCs w:val="24"/>
                          <w:vertAlign w:val="superscript"/>
                        </w:rPr>
                        <w:t>1</w:t>
                      </w:r>
                    </w:sdtContent>
                  </w:sdt>
                  <w:r>
                    <w:rPr>
                      <w:szCs w:val="24"/>
                    </w:rPr>
                    <w:t>. Vertinant teismo pirmininko, pirmininko pavaduotojo, skyriaus pirmininko veiklą, Komisijos išvadoje dėl teisėjo veiklos vertinimo rezultatų pateikiama informacija ir apie teisėjo administracinę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skyrius"/>
            <w:tag w:val="part_cee79d4614e04e16bd6554695ddef459"/>
            <w:lock w:val="sdtLocked"/>
            <w:richText/>
          </w:sdtPr>
          <w:sdtContent>
            <w:sdt>
              <w:sdtPr>
                <w:alias w:val="Pavadinimas"/>
                <w:tag w:val="title_cee79d4614e04e16bd6554695ddef459"/>
                <w:lock w:val="sdtLocked"/>
                <w:richText/>
              </w:sdtPr>
              <w:sdtContent>
                <w:p>
                  <w:pPr>
                    <w:tabs>
                      <w:tab w:val="left" w:pos="187"/>
                    </w:tabs>
                    <w:jc w:val="center"/>
                    <w:rPr>
                      <w:b/>
                      <w:szCs w:val="24"/>
                    </w:rPr>
                  </w:pPr>
                  <w:sdt>
                    <w:sdtPr>
                      <w:alias w:val="Numeris"/>
                      <w:tag w:val="nr_cee79d4614e04e16bd6554695ddef459"/>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7 p."/>
                <w:tag w:val="part_2924cdebc2c74f13917f896791dc6765"/>
                <w:lock w:val="sdtLocked"/>
                <w:richText/>
              </w:sdtPr>
              <w:sdtContent>
                <w:p>
                  <w:pPr>
                    <w:tabs>
                      <w:tab w:val="left" w:pos="187"/>
                    </w:tabs>
                    <w:ind w:firstLine="851"/>
                    <w:jc w:val="both"/>
                    <w:rPr>
                      <w:szCs w:val="24"/>
                    </w:rPr>
                  </w:pPr>
                  <w:sdt>
                    <w:sdtPr>
                      <w:alias w:val="Numeris"/>
                      <w:tag w:val="nr_2924cdebc2c74f13917f896791dc6765"/>
                      <w:lock w:val="sdtLocked"/>
                      <w:richText/>
                    </w:sdtPr>
                    <w:sdtContent>
                      <w:r>
                        <w:rPr>
                          <w:bCs/>
                          <w:szCs w:val="24"/>
                        </w:rPr>
                        <w:t>17</w:t>
                      </w:r>
                    </w:sdtContent>
                  </w:sdt>
                  <w:r>
                    <w:rPr>
                      <w:bCs/>
                      <w:szCs w:val="24"/>
                    </w:rPr>
                    <w:t>.</w:t>
                  </w:r>
                  <w:r>
                    <w:rPr>
                      <w:szCs w:val="24"/>
                    </w:rPr>
                    <w:t>Teisėjų veiklos vertinimui reikalinga informacija gali būti gaunama:</w:t>
                  </w:r>
                </w:p>
                <w:sdt>
                  <w:sdtPr>
                    <w:alias w:val="17.1 pp."/>
                    <w:tag w:val="part_d6b791eec63a4b7480a445bbdada3280"/>
                    <w:lock w:val="sdtLocked"/>
                    <w:richText/>
                  </w:sdtPr>
                  <w:sdtContent>
                    <w:p>
                      <w:pPr>
                        <w:tabs>
                          <w:tab w:val="left" w:pos="187"/>
                        </w:tabs>
                        <w:ind w:firstLine="851"/>
                        <w:jc w:val="both"/>
                        <w:rPr>
                          <w:szCs w:val="24"/>
                        </w:rPr>
                      </w:pPr>
                      <w:sdt>
                        <w:sdtPr>
                          <w:alias w:val="Numeris"/>
                          <w:tag w:val="nr_d6b791eec63a4b7480a445bbdada3280"/>
                          <w:lock w:val="sdtLocked"/>
                          <w:richText/>
                        </w:sdtPr>
                        <w:sdtContent>
                          <w:r>
                            <w:rPr>
                              <w:bCs/>
                              <w:szCs w:val="24"/>
                            </w:rPr>
                            <w:t>17.1</w:t>
                          </w:r>
                        </w:sdtContent>
                      </w:sdt>
                      <w:r>
                        <w:rPr>
                          <w:bCs/>
                          <w:szCs w:val="24"/>
                        </w:rPr>
                        <w:t>.</w:t>
                      </w:r>
                      <w:r>
                        <w:rPr>
                          <w:szCs w:val="24"/>
                        </w:rPr>
                        <w:t xml:space="preserve"> tiesiogiai arba proceso įstatymų leidžiamomis priemonėmis stebint teisėjo, kurio veikla vertinama, nagrinėjamų bylų proceso eigą;</w:t>
                      </w:r>
                    </w:p>
                  </w:sdtContent>
                </w:sdt>
                <w:sdt>
                  <w:sdtPr>
                    <w:alias w:val="17.2 pp."/>
                    <w:tag w:val="part_97a9abf03e9946fa9ecb9c47c177e042"/>
                    <w:lock w:val="sdtLocked"/>
                    <w:richText/>
                  </w:sdtPr>
                  <w:sdtContent>
                    <w:p>
                      <w:pPr>
                        <w:tabs>
                          <w:tab w:val="left" w:pos="187"/>
                        </w:tabs>
                        <w:ind w:firstLine="851"/>
                        <w:jc w:val="both"/>
                        <w:rPr>
                          <w:szCs w:val="24"/>
                        </w:rPr>
                      </w:pPr>
                      <w:sdt>
                        <w:sdtPr>
                          <w:alias w:val="Numeris"/>
                          <w:tag w:val="nr_97a9abf03e9946fa9ecb9c47c177e042"/>
                          <w:lock w:val="sdtLocked"/>
                          <w:richText/>
                        </w:sdtPr>
                        <w:sdtContent>
                          <w:r>
                            <w:rPr>
                              <w:bCs/>
                              <w:szCs w:val="24"/>
                            </w:rPr>
                            <w:t>17.2</w:t>
                          </w:r>
                        </w:sdtContent>
                      </w:sdt>
                      <w:r>
                        <w:rPr>
                          <w:bCs/>
                          <w:szCs w:val="24"/>
                        </w:rPr>
                        <w:t>.</w:t>
                      </w:r>
                      <w:r>
                        <w:rPr>
                          <w:szCs w:val="24"/>
                        </w:rPr>
                        <w:t xml:space="preserve"> renkant teisėjo veiklos statistinius duomenis, esančius Lietuvos teismų informacinėje sistemoje LITEKO;</w:t>
                      </w:r>
                    </w:p>
                  </w:sdtContent>
                </w:sdt>
                <w:sdt>
                  <w:sdtPr>
                    <w:alias w:val="17.3 pp."/>
                    <w:tag w:val="part_cbac93282eb14fdd8f6e83b78c2732f5"/>
                    <w:lock w:val="sdtLocked"/>
                    <w:richText/>
                  </w:sdtPr>
                  <w:sdtContent>
                    <w:p>
                      <w:pPr>
                        <w:tabs>
                          <w:tab w:val="left" w:pos="187"/>
                        </w:tabs>
                        <w:ind w:firstLine="851"/>
                        <w:jc w:val="both"/>
                        <w:rPr>
                          <w:szCs w:val="24"/>
                        </w:rPr>
                      </w:pPr>
                      <w:sdt>
                        <w:sdtPr>
                          <w:alias w:val="Numeris"/>
                          <w:tag w:val="nr_cbac93282eb14fdd8f6e83b78c2732f5"/>
                          <w:lock w:val="sdtLocked"/>
                          <w:richText/>
                        </w:sdtPr>
                        <w:sdtContent>
                          <w:r>
                            <w:rPr>
                              <w:bCs/>
                              <w:szCs w:val="24"/>
                            </w:rPr>
                            <w:t>17.3</w:t>
                          </w:r>
                        </w:sdtContent>
                      </w:sdt>
                      <w:r>
                        <w:rPr>
                          <w:bCs/>
                          <w:szCs w:val="24"/>
                        </w:rPr>
                        <w:t>.</w:t>
                      </w:r>
                      <w:r>
                        <w:rPr>
                          <w:szCs w:val="24"/>
                        </w:rPr>
                        <w:t xml:space="preserve"> tiriant duomenis apie teisėjo mokymąsi, kvalifikacijos kėlimą ir įgytų žinių patikrinimo rezultatus, stažuotes užsienyje, teisėjo mokslinę ir pedagoginę veiklą ir kt.;</w:t>
                      </w:r>
                    </w:p>
                  </w:sdtContent>
                </w:sdt>
                <w:sdt>
                  <w:sdtPr>
                    <w:alias w:val="17.4 pp."/>
                    <w:tag w:val="part_bc608bec5580479087bb7cfb2a9f807d"/>
                    <w:lock w:val="sdtLocked"/>
                    <w:richText/>
                  </w:sdtPr>
                  <w:sdtContent>
                    <w:p>
                      <w:pPr>
                        <w:tabs>
                          <w:tab w:val="left" w:pos="187"/>
                        </w:tabs>
                        <w:ind w:firstLine="851"/>
                        <w:jc w:val="both"/>
                        <w:rPr>
                          <w:szCs w:val="24"/>
                        </w:rPr>
                      </w:pPr>
                      <w:sdt>
                        <w:sdtPr>
                          <w:alias w:val="Numeris"/>
                          <w:tag w:val="nr_bc608bec5580479087bb7cfb2a9f807d"/>
                          <w:lock w:val="sdtLocked"/>
                          <w:richText/>
                        </w:sdtPr>
                        <w:sdtContent>
                          <w:r>
                            <w:rPr>
                              <w:bCs/>
                              <w:szCs w:val="24"/>
                            </w:rPr>
                            <w:t>17.4</w:t>
                          </w:r>
                        </w:sdtContent>
                      </w:sdt>
                      <w:r>
                        <w:rPr>
                          <w:bCs/>
                          <w:szCs w:val="24"/>
                        </w:rPr>
                        <w:t>.</w:t>
                      </w:r>
                      <w:r>
                        <w:rPr>
                          <w:szCs w:val="24"/>
                        </w:rPr>
                        <w:t xml:space="preserve"> analizuojant asmenų pareiškimų, skundų, nesusijusių su teisingumo vykdymu, tyrimo medžiagą, surinktą administracinės veiklos priežiūros tvarka;</w:t>
                      </w:r>
                    </w:p>
                  </w:sdtContent>
                </w:sdt>
                <w:sdt>
                  <w:sdtPr>
                    <w:alias w:val="17.5 pp."/>
                    <w:tag w:val="part_b32eee5a3c6d452ba8583aa073081520"/>
                    <w:lock w:val="sdtLocked"/>
                    <w:richText/>
                  </w:sdtPr>
                  <w:sdtContent>
                    <w:p>
                      <w:pPr>
                        <w:tabs>
                          <w:tab w:val="left" w:pos="187"/>
                        </w:tabs>
                        <w:ind w:firstLine="851"/>
                        <w:jc w:val="both"/>
                      </w:pPr>
                      <w:sdt>
                        <w:sdtPr>
                          <w:alias w:val="Numeris"/>
                          <w:tag w:val="nr_b32eee5a3c6d452ba8583aa073081520"/>
                          <w:lock w:val="sdtLocked"/>
                          <w:richText/>
                        </w:sdtPr>
                        <w:sdtContent>
                          <w:r>
                            <w:rPr>
                              <w:szCs w:val="24"/>
                            </w:rPr>
                            <w:t>1</w:t>
                          </w:r>
                          <w:r>
                            <w:rPr>
                              <w:bCs/>
                              <w:szCs w:val="24"/>
                            </w:rPr>
                            <w:t>7</w:t>
                          </w:r>
                          <w:r>
                            <w:rPr>
                              <w:szCs w:val="24"/>
                            </w:rPr>
                            <w:t>.5</w:t>
                          </w:r>
                        </w:sdtContent>
                      </w:sdt>
                      <w:r>
                        <w:rPr>
                          <w:szCs w:val="24"/>
                        </w:rPr>
                        <w:t>. vertinant paties teisėjo, kurio veikla vertinama, žodinius bei rašytinius paaiškinimus ir (ar) raštu pateiktus atsakymus</w:t>
                      </w:r>
                      <w:r>
                        <w:rPr>
                          <w:color w:val="FF0000"/>
                          <w:szCs w:val="24"/>
                        </w:rPr>
                        <w:t xml:space="preserve"> </w:t>
                      </w:r>
                      <w:r>
                        <w:rPr>
                          <w:szCs w:val="24"/>
                        </w:rPr>
                        <w:t>į teismo pirmininko ir (ar) Nuolatinės teisėjų veiklos vertinimo komisijos (toliau – Komisija) klausimynus (anketas);</w:t>
                      </w:r>
                    </w:p>
                  </w:sdtContent>
                </w:sdt>
                <w:sdt>
                  <w:sdtPr>
                    <w:alias w:val="17.6 pp."/>
                    <w:tag w:val="part_5c96a23fa57c4967b5c743799609c06c"/>
                    <w:lock w:val="sdtLocked"/>
                    <w:richText/>
                  </w:sdtPr>
                  <w:sdtContent>
                    <w:p>
                      <w:pPr>
                        <w:tabs>
                          <w:tab w:val="left" w:pos="187"/>
                        </w:tabs>
                        <w:ind w:firstLine="851"/>
                        <w:jc w:val="both"/>
                        <w:rPr>
                          <w:szCs w:val="24"/>
                        </w:rPr>
                      </w:pPr>
                      <w:sdt>
                        <w:sdtPr>
                          <w:alias w:val="Numeris"/>
                          <w:tag w:val="nr_5c96a23fa57c4967b5c743799609c06c"/>
                          <w:lock w:val="sdtLocked"/>
                          <w:richText/>
                        </w:sdtPr>
                        <w:sdtContent>
                          <w:r>
                            <w:rPr>
                              <w:szCs w:val="24"/>
                            </w:rPr>
                            <w:t>1</w:t>
                          </w:r>
                          <w:r>
                            <w:rPr>
                              <w:bCs/>
                              <w:szCs w:val="24"/>
                            </w:rPr>
                            <w:t>7</w:t>
                          </w:r>
                          <w:r>
                            <w:rPr>
                              <w:szCs w:val="24"/>
                            </w:rPr>
                            <w:t>.6</w:t>
                          </w:r>
                        </w:sdtContent>
                      </w:sdt>
                      <w:r>
                        <w:rPr>
                          <w:szCs w:val="24"/>
                        </w:rPr>
                        <w:t>. analizuojant teisėjo vienasmeniškai arba dalyvaujant kaip pranešėjui priimtus procesinius sprendimus.</w:t>
                      </w:r>
                      <w:r>
                        <w:t xml:space="preserve"> </w:t>
                      </w:r>
                    </w:p>
                  </w:sdtContent>
                </w:sdt>
              </w:sdtContent>
            </w:sdt>
            <w:sdt>
              <w:sdtPr>
                <w:alias w:val="18 p."/>
                <w:tag w:val="part_6dc2e8fceb014f379011ce7460059417"/>
                <w:lock w:val="sdtLocked"/>
                <w:richText/>
              </w:sdtPr>
              <w:sdtContent>
                <w:p>
                  <w:pPr>
                    <w:ind w:firstLine="851"/>
                    <w:jc w:val="both"/>
                  </w:pPr>
                  <w:sdt>
                    <w:sdtPr>
                      <w:alias w:val="Numeris"/>
                      <w:tag w:val="nr_6dc2e8fceb014f379011ce7460059417"/>
                      <w:lock w:val="sdtLocked"/>
                      <w:richText/>
                    </w:sdtPr>
                    <w:sdtContent>
                      <w:r>
                        <w:rPr>
                          <w:bCs/>
                          <w:szCs w:val="24"/>
                        </w:rPr>
                        <w:t>18</w:t>
                      </w:r>
                    </w:sdtContent>
                  </w:sdt>
                  <w:r>
                    <w:rPr>
                      <w:bCs/>
                      <w:szCs w:val="24"/>
                    </w:rPr>
                    <w:t>.</w:t>
                  </w:r>
                  <w:r>
                    <w:rPr>
                      <w:b/>
                      <w:bCs/>
                      <w:szCs w:val="24"/>
                    </w:rPr>
                    <w:t xml:space="preserve"> </w:t>
                  </w:r>
                  <w:r>
                    <w:rPr>
                      <w:szCs w:val="24"/>
                    </w:rPr>
                    <w:t xml:space="preserve">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(Administravimo teismuose nuostatuose numatytų vidinio teismo administravimo tikslus užtikrinančių priemonių įgyvendinimas, išorinio administravimo  srityje vykdomas teismo vidinio administravimo būklės vertinimas ir siūlymų, metodinių rekomendacijų teikimas, vidinio teismų administravimo vienodinimas).</w:t>
                  </w:r>
                </w:p>
              </w:sdtContent>
            </w:sdt>
            <w:sdt>
              <w:sdtPr>
                <w:alias w:val="18-1 p."/>
                <w:tag w:val="part_306ea6dc424d4144b65c8aedb4a4d12b"/>
                <w:lock w:val="sdtLocked"/>
                <w:richText/>
              </w:sdtPr>
              <w:sdtContent>
                <w:p>
                  <w:pPr>
                    <w:ind w:firstLine="851"/>
                    <w:jc w:val="both"/>
                  </w:pPr>
                  <w:sdt>
                    <w:sdtPr>
                      <w:alias w:val="Numeris"/>
                      <w:tag w:val="nr_306ea6dc424d4144b65c8aedb4a4d12b"/>
                      <w:lock w:val="sdtLocked"/>
                      <w:richText/>
                    </w:sdtPr>
                    <w:sdtContent>
                      <w:r>
                        <w:rPr>
                          <w:szCs w:val="24"/>
                        </w:rPr>
                        <w:t>18</w:t>
                      </w:r>
                      <w:r>
                        <w:rPr>
                          <w:szCs w:val="24"/>
                          <w:vertAlign w:val="superscript"/>
                        </w:rPr>
                        <w:t>1</w:t>
                      </w:r>
                    </w:sdtContent>
                  </w:sdt>
                  <w:r>
                    <w:rPr>
                      <w:szCs w:val="24"/>
                    </w:rPr>
                    <w:t>. Statistinius duomenis apie teisėjo veiklą teikia Nacionalinė teismų administracija nustatytos formos pažymoje iš LITEKO.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18-2 p."/>
                <w:tag w:val="part_8b28b0dee3154125952977fde0347284"/>
                <w:lock w:val="sdtLocked"/>
                <w:richText/>
              </w:sdtPr>
              <w:sdtContent>
                <w:p>
                  <w:pPr>
                    <w:ind w:firstLine="851"/>
                    <w:jc w:val="both"/>
                  </w:pPr>
                  <w:sdt>
                    <w:sdtPr>
                      <w:alias w:val="Numeris"/>
                      <w:tag w:val="nr_8b28b0dee3154125952977fde0347284"/>
                      <w:lock w:val="sdtLocked"/>
                      <w:richText/>
                    </w:sdtPr>
                    <w:sdtContent>
                      <w:r>
                        <w:rPr>
                          <w:szCs w:val="24"/>
                        </w:rPr>
                        <w:t>18</w:t>
                      </w:r>
                      <w:r>
                        <w:rPr>
                          <w:szCs w:val="24"/>
                          <w:vertAlign w:val="superscript"/>
                        </w:rPr>
                        <w:t>2</w:t>
                      </w:r>
                    </w:sdtContent>
                  </w:sdt>
                  <w:r>
                    <w:rPr>
                      <w:szCs w:val="24"/>
                    </w:rPr>
                    <w:t>. Nacionalinės teismų administracijos direktorius tvirtina pažymų apie bendrosios kompetencijos teismų ir specializuotų teismų teisėjų statistinius duomenis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skyrius"/>
            <w:tag w:val="part_d531a0cc336b4668a2ce059f415b6c1b"/>
            <w:lock w:val="sdtLocked"/>
            <w:richText/>
          </w:sdtPr>
          <w:sdtContent>
            <w:p>
              <w:pPr>
                <w:tabs>
                  <w:tab w:val="left" w:pos="187"/>
                </w:tabs>
                <w:jc w:val="center"/>
                <w:rPr>
                  <w:b/>
                  <w:szCs w:val="24"/>
                </w:rPr>
              </w:pPr>
              <w:sdt>
                <w:sdtPr>
                  <w:alias w:val="Numeris"/>
                  <w:tag w:val="nr_d531a0cc336b4668a2ce059f415b6c1b"/>
                  <w:lock w:val="sdtLocked"/>
                  <w:richText/>
                </w:sdtPr>
                <w:sdtContent>
                  <w:r>
                    <w:rPr>
                      <w:b/>
                      <w:szCs w:val="24"/>
                    </w:rPr>
                    <w:t>V</w:t>
                  </w:r>
                </w:sdtContent>
              </w:sdt>
              <w:r>
                <w:rPr>
                  <w:b/>
                  <w:szCs w:val="24"/>
                </w:rPr>
                <w:t xml:space="preserve">. </w:t>
              </w:r>
              <w:sdt>
                <w:sdtPr>
                  <w:alias w:val="Pavadinimas"/>
                  <w:tag w:val="title_d531a0cc336b4668a2ce059f415b6c1b"/>
                  <w:lock w:val="sdtLocked"/>
                  <w:richText/>
                </w:sdtPr>
                <w:sdtContent>
                  <w:r>
                    <w:rPr>
                      <w:b/>
                      <w:szCs w:val="24"/>
                    </w:rPr>
                    <w:t>TEISĖJŲ VEIKLOS VERTINIMO ORGANIZAVIMAS</w:t>
                  </w:r>
                </w:sdtContent>
              </w:sdt>
            </w:p>
            <w:p>
              <w:pPr>
                <w:tabs>
                  <w:tab w:val="left" w:pos="187"/>
                </w:tabs>
                <w:ind w:firstLine="935"/>
                <w:jc w:val="both"/>
                <w:rPr>
                  <w:szCs w:val="24"/>
                </w:rPr>
              </w:pPr>
            </w:p>
            <w:sdt>
              <w:sdtPr>
                <w:alias w:val="19 p."/>
                <w:tag w:val="part_ff748d640b9b48559516678962cfd0f1"/>
                <w:lock w:val="sdtLocked"/>
                <w:richText/>
              </w:sdtPr>
              <w:sdtContent>
                <w:p>
                  <w:pPr>
                    <w:tabs>
                      <w:tab w:val="left" w:pos="187"/>
                    </w:tabs>
                    <w:ind w:firstLine="851"/>
                    <w:jc w:val="both"/>
                    <w:rPr>
                      <w:szCs w:val="24"/>
                    </w:rPr>
                  </w:pPr>
                  <w:sdt>
                    <w:sdtPr>
                      <w:alias w:val="Numeris"/>
                      <w:tag w:val="nr_ff748d640b9b48559516678962cfd0f1"/>
                      <w:lock w:val="sdtLocked"/>
                      <w:richText/>
                    </w:sdtPr>
                    <w:sdtContent>
                      <w:r>
                        <w:rPr>
                          <w:bCs/>
                          <w:szCs w:val="24"/>
                        </w:rPr>
                        <w:t>19</w:t>
                      </w:r>
                    </w:sdtContent>
                  </w:sdt>
                  <w:r>
                    <w:rPr>
                      <w:bCs/>
                      <w:szCs w:val="24"/>
                    </w:rPr>
                    <w:t>.</w:t>
                  </w:r>
                  <w:r>
                    <w:rPr>
                      <w:b/>
                      <w:bCs/>
                      <w:szCs w:val="24"/>
                    </w:rPr>
                    <w:t xml:space="preserve"> </w:t>
                  </w:r>
                  <w:r>
                    <w:rPr>
                      <w:szCs w:val="24"/>
                    </w:rPr>
                    <w:t>Teisėjo veiklos periodinis vertinimas turi būti atliktas ne vėliau kaip per 6 mėnesius, suėjus Teismų įstatymo 91</w:t>
                  </w:r>
                  <w:r>
                    <w:rPr>
                      <w:szCs w:val="24"/>
                      <w:vertAlign w:val="superscript"/>
                    </w:rPr>
                    <w:t>2</w:t>
                  </w:r>
                  <w:r>
                    <w:rPr>
                      <w:szCs w:val="24"/>
                    </w:rPr>
                    <w:t xml:space="preserve"> straipsnio 2 dalyje nustatytiems terminams, išskyrus atvejus, kai šiame Apraše nustatytais atvejais teisėjo veiklos vertinimas yra atidedamas.</w:t>
                  </w:r>
                </w:p>
              </w:sdtContent>
            </w:sdt>
            <w:sdt>
              <w:sdtPr>
                <w:alias w:val="20 p."/>
                <w:tag w:val="part_8b521fc129294d2bad485ec515fb5cd9"/>
                <w:lock w:val="sdtLocked"/>
                <w:richText/>
              </w:sdtPr>
              <w:sdtContent>
                <w:p>
                  <w:pPr>
                    <w:tabs>
                      <w:tab w:val="left" w:pos="187"/>
                    </w:tabs>
                    <w:ind w:firstLine="851"/>
                    <w:jc w:val="both"/>
                    <w:rPr>
                      <w:szCs w:val="24"/>
                    </w:rPr>
                  </w:pPr>
                  <w:sdt>
                    <w:sdtPr>
                      <w:alias w:val="Numeris"/>
                      <w:tag w:val="nr_8b521fc129294d2bad485ec515fb5cd9"/>
                      <w:lock w:val="sdtLocked"/>
                      <w:richText/>
                    </w:sdtPr>
                    <w:sdtContent>
                      <w:r>
                        <w:rPr>
                          <w:bCs/>
                          <w:szCs w:val="24"/>
                        </w:rPr>
                        <w:t>20</w:t>
                      </w:r>
                    </w:sdtContent>
                  </w:sdt>
                  <w:r>
                    <w:rPr>
                      <w:bCs/>
                      <w:szCs w:val="24"/>
                    </w:rPr>
                    <w:t>.</w:t>
                  </w:r>
                  <w:r>
                    <w:rPr>
                      <w:b/>
                      <w:bCs/>
                      <w:szCs w:val="24"/>
                    </w:rPr>
                    <w:t xml:space="preserve"> </w:t>
                  </w:r>
                  <w:r>
                    <w:rPr>
                      <w:szCs w:val="24"/>
                    </w:rPr>
                    <w:t xml:space="preserve">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21 p."/>
                <w:tag w:val="part_4a7189871d3549b188500f00189d3924"/>
                <w:lock w:val="sdtLocked"/>
                <w:richText/>
              </w:sdtPr>
              <w:sdtContent>
                <w:p>
                  <w:pPr>
                    <w:tabs>
                      <w:tab w:val="left" w:pos="187"/>
                    </w:tabs>
                    <w:ind w:firstLine="851"/>
                    <w:jc w:val="both"/>
                    <w:rPr>
                      <w:szCs w:val="24"/>
                    </w:rPr>
                  </w:pPr>
                  <w:sdt>
                    <w:sdtPr>
                      <w:alias w:val="Numeris"/>
                      <w:tag w:val="nr_4a7189871d3549b188500f00189d3924"/>
                      <w:lock w:val="sdtLocked"/>
                      <w:richText/>
                    </w:sdtPr>
                    <w:sdtContent>
                      <w:r>
                        <w:rPr>
                          <w:bCs/>
                          <w:szCs w:val="24"/>
                        </w:rPr>
                        <w:t>21</w:t>
                      </w:r>
                    </w:sdtContent>
                  </w:sdt>
                  <w:r>
                    <w:rPr>
                      <w:bCs/>
                      <w:szCs w:val="24"/>
                    </w:rPr>
                    <w:t>.</w:t>
                  </w:r>
                  <w:r>
                    <w:rPr>
                      <w:b/>
                      <w:bCs/>
                      <w:szCs w:val="24"/>
                    </w:rPr>
                    <w:t xml:space="preserve"> </w:t>
                  </w:r>
                  <w:r>
                    <w:rPr>
                      <w:szCs w:val="24"/>
                    </w:rPr>
                    <w:t>Teisėjas, kurio veikla bus vertinama, apie tai informuojamas raštu ne vėliau kaip prieš 40 kalendorinių dienų iki numatomos Komisijos posėdžio, kuriame bus vertinama teisėjo veikla, dienos (teisėjo veiklos vertinimo dienos).</w:t>
                  </w:r>
                </w:p>
              </w:sdtContent>
            </w:sdt>
            <w:sdt>
              <w:sdtPr>
                <w:alias w:val="22 p."/>
                <w:tag w:val="part_f5e856a187e94732b1a6ce50a0710d6d"/>
                <w:lock w:val="sdtLocked"/>
                <w:richText/>
              </w:sdtPr>
              <w:sdtContent>
                <w:p>
                  <w:pPr>
                    <w:tabs>
                      <w:tab w:val="left" w:pos="187"/>
                    </w:tabs>
                    <w:ind w:firstLine="851"/>
                    <w:jc w:val="both"/>
                    <w:rPr>
                      <w:szCs w:val="24"/>
                    </w:rPr>
                  </w:pPr>
                  <w:sdt>
                    <w:sdtPr>
                      <w:alias w:val="Numeris"/>
                      <w:tag w:val="nr_f5e856a187e94732b1a6ce50a0710d6d"/>
                      <w:lock w:val="sdtLocked"/>
                      <w:richText/>
                    </w:sdtPr>
                    <w:sdtContent>
                      <w:r>
                        <w:rPr>
                          <w:szCs w:val="24"/>
                        </w:rPr>
                        <w:t>22</w:t>
                      </w:r>
                    </w:sdtContent>
                  </w:sdt>
                  <w:r>
                    <w:rPr>
                      <w:szCs w:val="24"/>
                    </w:rPr>
                    <w:t>.</w:t>
                  </w:r>
                  <w:r>
                    <w:rPr>
                      <w:b/>
                      <w:szCs w:val="24"/>
                    </w:rPr>
                    <w:t xml:space="preserve"> </w:t>
                  </w:r>
                  <w:r>
                    <w:rPr>
                      <w:szCs w:val="24"/>
                    </w:rPr>
                    <w:t xml:space="preserve">Apie būtinybę pateikti šio Aprašo priede nustatytos formos išvadą šio Aprašo </w:t>
                  </w:r>
                  <w:r>
                    <w:rPr>
                      <w:bCs/>
                      <w:szCs w:val="24"/>
                    </w:rPr>
                    <w:t xml:space="preserve">23 </w:t>
                  </w:r>
                  <w:r>
                    <w:rPr>
                      <w:szCs w:val="24"/>
                    </w:rPr>
                    <w:t xml:space="preserve">ir </w:t>
                  </w:r>
                  <w:r>
                    <w:rPr>
                      <w:bCs/>
                      <w:szCs w:val="24"/>
                    </w:rPr>
                    <w:t>24</w:t>
                  </w:r>
                  <w:r>
                    <w:rPr>
                      <w:szCs w:val="24"/>
                    </w:rPr>
                    <w:t xml:space="preserve">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23 p."/>
                <w:tag w:val="part_36af028d7bd345b5a754a31e68689e7c"/>
                <w:lock w:val="sdtLocked"/>
                <w:richText/>
              </w:sdtPr>
              <w:sdtContent>
                <w:p>
                  <w:pPr>
                    <w:ind w:firstLine="851"/>
                    <w:jc w:val="both"/>
                    <w:rPr>
                      <w:szCs w:val="24"/>
                    </w:rPr>
                  </w:pPr>
                  <w:sdt>
                    <w:sdtPr>
                      <w:alias w:val="Numeris"/>
                      <w:tag w:val="nr_36af028d7bd345b5a754a31e68689e7c"/>
                      <w:lock w:val="sdtLocked"/>
                      <w:richText/>
                    </w:sdtPr>
                    <w:sdtContent>
                      <w:r>
                        <w:rPr>
                          <w:bCs/>
                          <w:szCs w:val="24"/>
                        </w:rPr>
                        <w:t>23</w:t>
                      </w:r>
                    </w:sdtContent>
                  </w:sdt>
                  <w:r>
                    <w:rPr>
                      <w:bCs/>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w:t>
                  </w:r>
                  <w:r>
                    <w:rPr>
                      <w:bCs/>
                      <w:szCs w:val="24"/>
                    </w:rPr>
                    <w:t>10–13</w:t>
                  </w:r>
                  <w:r>
                    <w:rPr>
                      <w:szCs w:val="24"/>
                    </w:rPr>
                    <w:t xml:space="preserve"> ir </w:t>
                  </w:r>
                  <w:r>
                    <w:rPr>
                      <w:bCs/>
                      <w:szCs w:val="24"/>
                    </w:rPr>
                    <w:t>16</w:t>
                  </w:r>
                  <w:r>
                    <w:rPr>
                      <w:szCs w:val="24"/>
                    </w:rPr>
                    <w:t>–16</w:t>
                  </w:r>
                  <w:r>
                    <w:rPr>
                      <w:szCs w:val="24"/>
                      <w:vertAlign w:val="superscript"/>
                    </w:rPr>
                    <w:t>1</w:t>
                  </w:r>
                  <w:r>
                    <w:rPr>
                      <w:szCs w:val="24"/>
                    </w:rPr>
                    <w:t xml:space="preserve"> punktuose nurodytų duomenų, gautų šio Aprašo </w:t>
                  </w:r>
                  <w:r>
                    <w:rPr>
                      <w:bCs/>
                      <w:szCs w:val="24"/>
                    </w:rPr>
                    <w:t>17</w:t>
                  </w:r>
                  <w:r>
                    <w:rPr>
                      <w:b/>
                      <w:bCs/>
                      <w:szCs w:val="24"/>
                    </w:rPr>
                    <w:t xml:space="preserve"> </w:t>
                  </w:r>
                  <w:r>
                    <w:rPr>
                      <w:szCs w:val="24"/>
                    </w:rPr>
                    <w:t>punkte nustatytais informacijos gavimo būdais, apibendrintą vertinimą, atsižvelgia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24 p."/>
                <w:tag w:val="part_08977452669a4682851fa0b533af7f56"/>
                <w:lock w:val="sdtLocked"/>
                <w:richText/>
              </w:sdtPr>
              <w:sdtContent>
                <w:p>
                  <w:pPr>
                    <w:ind w:firstLine="851"/>
                    <w:jc w:val="both"/>
                    <w:rPr>
                      <w:szCs w:val="24"/>
                    </w:rPr>
                  </w:pPr>
                  <w:sdt>
                    <w:sdtPr>
                      <w:alias w:val="Numeris"/>
                      <w:tag w:val="nr_08977452669a4682851fa0b533af7f56"/>
                      <w:lock w:val="sdtLocked"/>
                      <w:richText/>
                    </w:sdtPr>
                    <w:sdtContent>
                      <w:r>
                        <w:rPr>
                          <w:bCs/>
                          <w:szCs w:val="24"/>
                        </w:rPr>
                        <w:t>24</w:t>
                      </w:r>
                    </w:sdtContent>
                  </w:sdt>
                  <w:r>
                    <w:rPr>
                      <w:bCs/>
                      <w:szCs w:val="24"/>
                    </w:rPr>
                    <w:t>.</w:t>
                  </w:r>
                  <w:r>
                    <w:rPr>
                      <w:b/>
                      <w:bCs/>
                      <w:szCs w:val="24"/>
                    </w:rPr>
                    <w:t xml:space="preserve"> </w:t>
                  </w:r>
                  <w:r>
                    <w:rPr>
                      <w:szCs w:val="24"/>
                    </w:rPr>
                    <w:t>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25 p."/>
                <w:tag w:val="part_9d7446691cc24419a18b5d8e3afe0340"/>
                <w:lock w:val="sdtLocked"/>
                <w:richText/>
              </w:sdtPr>
              <w:sdtContent>
                <w:p>
                  <w:pPr>
                    <w:overflowPunct w:val="0"/>
                    <w:ind w:firstLine="851"/>
                    <w:jc w:val="both"/>
                    <w:textAlignment w:val="baseline"/>
                    <w:rPr>
                      <w:szCs w:val="24"/>
                    </w:rPr>
                  </w:pPr>
                  <w:sdt>
                    <w:sdtPr>
                      <w:alias w:val="Numeris"/>
                      <w:tag w:val="nr_9d7446691cc24419a18b5d8e3afe0340"/>
                      <w:lock w:val="sdtLocked"/>
                      <w:richText/>
                    </w:sdtPr>
                    <w:sdtContent>
                      <w:r>
                        <w:rPr>
                          <w:bCs/>
                          <w:szCs w:val="24"/>
                        </w:rPr>
                        <w:t>25</w:t>
                      </w:r>
                    </w:sdtContent>
                  </w:sdt>
                  <w:r>
                    <w:rPr>
                      <w:bCs/>
                      <w:szCs w:val="24"/>
                    </w:rPr>
                    <w:t>.</w:t>
                  </w:r>
                  <w:r>
                    <w:rPr>
                      <w:szCs w:val="24"/>
                    </w:rPr>
                    <w:t xml:space="preserve"> Su šio Aprašo priede nustatytos išvados projektu ir Nacionalinės teismų administracijos pateiktais duomenimis šio Aprašo </w:t>
                  </w:r>
                  <w:r>
                    <w:rPr>
                      <w:bCs/>
                      <w:szCs w:val="24"/>
                    </w:rPr>
                    <w:t>23</w:t>
                  </w:r>
                  <w:r>
                    <w:rPr>
                      <w:b/>
                      <w:bCs/>
                      <w:szCs w:val="24"/>
                    </w:rPr>
                    <w:t xml:space="preserve"> </w:t>
                  </w:r>
                  <w:r>
                    <w:rPr>
                      <w:szCs w:val="24"/>
                    </w:rPr>
                    <w:t xml:space="preserve">ir </w:t>
                  </w:r>
                  <w:r>
                    <w:rPr>
                      <w:bCs/>
                      <w:szCs w:val="24"/>
                    </w:rPr>
                    <w:t xml:space="preserve">24 </w:t>
                  </w:r>
                  <w:r>
                    <w:rPr>
                      <w:szCs w:val="24"/>
                    </w:rPr>
                    <w:t xml:space="preserve">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sdtContent>
            </w:sdt>
            <w:sdt>
              <w:sdtPr>
                <w:alias w:val="26 p."/>
                <w:tag w:val="part_f9578d328ce34276a7873b8a6ee62b6d"/>
                <w:lock w:val="sdtLocked"/>
                <w:richText/>
              </w:sdtPr>
              <w:sdtContent>
                <w:p>
                  <w:pPr>
                    <w:tabs>
                      <w:tab w:val="left" w:pos="187"/>
                    </w:tabs>
                    <w:ind w:firstLine="851"/>
                    <w:jc w:val="both"/>
                    <w:rPr>
                      <w:szCs w:val="24"/>
                    </w:rPr>
                  </w:pPr>
                  <w:sdt>
                    <w:sdtPr>
                      <w:alias w:val="Numeris"/>
                      <w:tag w:val="nr_f9578d328ce34276a7873b8a6ee62b6d"/>
                      <w:lock w:val="sdtLocked"/>
                      <w:richText/>
                    </w:sdtPr>
                    <w:sdtContent>
                      <w:r>
                        <w:rPr>
                          <w:bCs/>
                          <w:szCs w:val="24"/>
                        </w:rPr>
                        <w:t>26</w:t>
                      </w:r>
                    </w:sdtContent>
                  </w:sdt>
                  <w:r>
                    <w:rPr>
                      <w:bCs/>
                      <w:szCs w:val="24"/>
                    </w:rPr>
                    <w:t>.</w:t>
                  </w:r>
                  <w:r>
                    <w:rPr>
                      <w:szCs w:val="24"/>
                    </w:rPr>
                    <w:t xml:space="preserve"> Jei šio Aprašo nustatytais atvejais teisėjo veiklos vertinimas buvo atidėtas ilgesniam nei 6 mėnesių terminui, šio Aprašo </w:t>
                  </w:r>
                  <w:r>
                    <w:rPr>
                      <w:bCs/>
                      <w:szCs w:val="24"/>
                    </w:rPr>
                    <w:t>23</w:t>
                  </w:r>
                  <w:r>
                    <w:rPr>
                      <w:b/>
                      <w:bCs/>
                      <w:szCs w:val="24"/>
                    </w:rPr>
                    <w:t xml:space="preserve"> </w:t>
                  </w:r>
                  <w:r>
                    <w:rPr>
                      <w:szCs w:val="24"/>
                    </w:rPr>
                    <w:t xml:space="preserve">ir </w:t>
                  </w:r>
                  <w:r>
                    <w:rPr>
                      <w:bCs/>
                      <w:szCs w:val="24"/>
                    </w:rPr>
                    <w:t xml:space="preserve">24 </w:t>
                  </w:r>
                  <w:r>
                    <w:rPr>
                      <w:szCs w:val="24"/>
                    </w:rPr>
                    <w:t xml:space="preserve">punktuose nurodyti asmenys ne vėliau kaip prieš 20 kalendorinių dienų iki Komisijos kitos nustatytos teisėjo veiklos vertinimo dienos pateikia Komisijai atnaujintą šio Aprašo priede nustatytos formos išvadą. </w:t>
                  </w:r>
                </w:p>
              </w:sdtContent>
            </w:sdt>
            <w:sdt>
              <w:sdtPr>
                <w:alias w:val="27 p."/>
                <w:tag w:val="part_dd8c01612cb743409d4d00da0ce60315"/>
                <w:lock w:val="sdtLocked"/>
                <w:richText/>
              </w:sdtPr>
              <w:sdtContent>
                <w:p>
                  <w:pPr>
                    <w:tabs>
                      <w:tab w:val="left" w:pos="187"/>
                    </w:tabs>
                    <w:ind w:firstLine="851"/>
                    <w:jc w:val="both"/>
                    <w:rPr>
                      <w:szCs w:val="24"/>
                    </w:rPr>
                  </w:pPr>
                  <w:sdt>
                    <w:sdtPr>
                      <w:alias w:val="Numeris"/>
                      <w:tag w:val="nr_dd8c01612cb743409d4d00da0ce60315"/>
                      <w:lock w:val="sdtLocked"/>
                      <w:richText/>
                    </w:sdtPr>
                    <w:sdtContent>
                      <w:r>
                        <w:rPr>
                          <w:bCs/>
                          <w:szCs w:val="24"/>
                        </w:rPr>
                        <w:t>27</w:t>
                      </w:r>
                    </w:sdtContent>
                  </w:sdt>
                  <w:r>
                    <w:rPr>
                      <w:bCs/>
                      <w:szCs w:val="24"/>
                    </w:rPr>
                    <w:t>.</w:t>
                  </w:r>
                  <w:r>
                    <w:rPr>
                      <w:b/>
                      <w:bCs/>
                      <w:szCs w:val="24"/>
                    </w:rPr>
                    <w:t xml:space="preserve"> </w:t>
                  </w:r>
                  <w:r>
                    <w:rPr>
                      <w:szCs w:val="24"/>
                    </w:rPr>
                    <w:t xml:space="preserve">Komisijos sekretorius teisėjui, kurio veikla bus vertinama, ne vėliau kaip prieš 10 kalendorinių dienų iki numatomo teisėjo veiklos vertinimo elektroniniu paštu išsiunčia susipažinti visą Komisijai pateiktą medžiagą, gautą iš šio Aprašo </w:t>
                  </w:r>
                  <w:r>
                    <w:rPr>
                      <w:bCs/>
                      <w:szCs w:val="24"/>
                    </w:rPr>
                    <w:t xml:space="preserve">23 </w:t>
                  </w:r>
                  <w:r>
                    <w:rPr>
                      <w:szCs w:val="24"/>
                    </w:rPr>
                    <w:t xml:space="preserve">ir </w:t>
                  </w:r>
                  <w:r>
                    <w:rPr>
                      <w:bCs/>
                      <w:szCs w:val="24"/>
                    </w:rPr>
                    <w:t>24</w:t>
                  </w:r>
                  <w:r>
                    <w:rPr>
                      <w:b/>
                      <w:bCs/>
                      <w:szCs w:val="24"/>
                    </w:rPr>
                    <w:t xml:space="preserve"> </w:t>
                  </w:r>
                  <w:r>
                    <w:rPr>
                      <w:szCs w:val="24"/>
                    </w:rPr>
                    <w:t>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8 p."/>
                <w:tag w:val="part_db327f6e7fba45229454f137b87f6afe"/>
                <w:lock w:val="sdtLocked"/>
                <w:richText/>
              </w:sdtPr>
              <w:sdtContent>
                <w:p>
                  <w:pPr>
                    <w:tabs>
                      <w:tab w:val="left" w:pos="187"/>
                    </w:tabs>
                    <w:ind w:firstLine="851"/>
                    <w:jc w:val="both"/>
                    <w:rPr>
                      <w:b/>
                      <w:szCs w:val="24"/>
                    </w:rPr>
                  </w:pPr>
                  <w:sdt>
                    <w:sdtPr>
                      <w:alias w:val="Numeris"/>
                      <w:tag w:val="nr_db327f6e7fba45229454f137b87f6afe"/>
                      <w:lock w:val="sdtLocked"/>
                      <w:richText/>
                    </w:sdtPr>
                    <w:sdtContent>
                      <w:r>
                        <w:rPr>
                          <w:bCs/>
                          <w:szCs w:val="24"/>
                        </w:rPr>
                        <w:t>28</w:t>
                      </w:r>
                    </w:sdtContent>
                  </w:sdt>
                  <w:r>
                    <w:rPr>
                      <w:szCs w:val="24"/>
                    </w:rPr>
                    <w:t>.</w:t>
                  </w:r>
                  <w:r>
                    <w:rPr>
                      <w:b/>
                      <w:szCs w:val="24"/>
                    </w:rPr>
                    <w:t xml:space="preserve"> </w:t>
                  </w:r>
                  <w:r>
                    <w:rPr>
                      <w:szCs w:val="24"/>
                    </w:rPr>
                    <w:t>Šio</w:t>
                  </w:r>
                  <w:r>
                    <w:rPr>
                      <w:b/>
                      <w:szCs w:val="24"/>
                    </w:rPr>
                    <w:t xml:space="preserve"> </w:t>
                  </w:r>
                  <w:r>
                    <w:rPr>
                      <w:bCs/>
                      <w:szCs w:val="24"/>
                    </w:rPr>
                    <w:t xml:space="preserve">Aprašo </w:t>
                  </w:r>
                  <w:r>
                    <w:rPr>
                      <w:szCs w:val="24"/>
                    </w:rPr>
                    <w:t>21–24</w:t>
                  </w:r>
                  <w:r>
                    <w:rPr>
                      <w:bCs/>
                      <w:szCs w:val="24"/>
                    </w:rPr>
                    <w:t xml:space="preserve"> punktuose nurodyti terminai taikomi periodinio vertinimo atvejais. Neeilinio vertinimo atvejais atitinkamus terminus nustato Komisija.</w:t>
                  </w:r>
                </w:p>
                <w:p>
                  <w:pPr>
                    <w:tabs>
                      <w:tab w:val="left" w:pos="187"/>
                    </w:tabs>
                    <w:jc w:val="center"/>
                    <w:rPr>
                      <w:b/>
                      <w:szCs w:val="24"/>
                    </w:rPr>
                  </w:pPr>
                </w:p>
                <w:p>
                  <w:pPr>
                    <w:tabs>
                      <w:tab w:val="left" w:pos="187"/>
                    </w:tabs>
                    <w:jc w:val="center"/>
                    <w:rPr>
                      <w:b/>
                      <w:szCs w:val="24"/>
                    </w:rPr>
                  </w:pPr>
                </w:p>
              </w:sdtContent>
            </w:sdt>
          </w:sdtContent>
        </w:sdt>
        <w:sdt>
          <w:sdtPr>
            <w:alias w:val="skyrius"/>
            <w:tag w:val="part_91b1ab9803384249992b504833978824"/>
            <w:lock w:val="sdtLocked"/>
            <w:richText/>
          </w:sdtPr>
          <w:sdtContent>
            <w:p>
              <w:pPr>
                <w:tabs>
                  <w:tab w:val="left" w:pos="187"/>
                </w:tabs>
                <w:jc w:val="center"/>
                <w:rPr>
                  <w:b/>
                  <w:szCs w:val="24"/>
                </w:rPr>
              </w:pPr>
              <w:sdt>
                <w:sdtPr>
                  <w:alias w:val="Numeris"/>
                  <w:tag w:val="nr_91b1ab9803384249992b504833978824"/>
                  <w:lock w:val="sdtLocked"/>
                  <w:richText/>
                </w:sdtPr>
                <w:sdtContent>
                  <w:r>
                    <w:rPr>
                      <w:b/>
                      <w:szCs w:val="24"/>
                    </w:rPr>
                    <w:t>VI</w:t>
                  </w:r>
                </w:sdtContent>
              </w:sdt>
              <w:r>
                <w:rPr>
                  <w:b/>
                  <w:szCs w:val="24"/>
                </w:rPr>
                <w:t xml:space="preserve">. </w:t>
              </w:r>
              <w:sdt>
                <w:sdtPr>
                  <w:alias w:val="Pavadinimas"/>
                  <w:tag w:val="title_91b1ab9803384249992b504833978824"/>
                  <w:lock w:val="sdtLocked"/>
                  <w:richText/>
                </w:sdtPr>
                <w:sdtContent>
                  <w:r>
                    <w:rPr>
                      <w:b/>
                      <w:szCs w:val="24"/>
                    </w:rPr>
                    <w:t>TEISĖJŲ VEIKLOS VERTINIMO PROCEDŪRA</w:t>
                  </w:r>
                </w:sdtContent>
              </w:sdt>
            </w:p>
            <w:p>
              <w:pPr>
                <w:tabs>
                  <w:tab w:val="left" w:pos="187"/>
                </w:tabs>
                <w:ind w:firstLine="935"/>
                <w:jc w:val="both"/>
                <w:rPr>
                  <w:szCs w:val="24"/>
                </w:rPr>
              </w:pPr>
            </w:p>
            <w:sdt>
              <w:sdtPr>
                <w:alias w:val="29 p."/>
                <w:tag w:val="part_be29f4a347a9411e99e82766d98aabfe"/>
                <w:lock w:val="sdtLocked"/>
                <w:richText/>
              </w:sdtPr>
              <w:sdtContent>
                <w:p>
                  <w:pPr>
                    <w:tabs>
                      <w:tab w:val="left" w:pos="187"/>
                    </w:tabs>
                    <w:ind w:firstLine="851"/>
                    <w:jc w:val="both"/>
                  </w:pPr>
                  <w:sdt>
                    <w:sdtPr>
                      <w:alias w:val="Numeris"/>
                      <w:tag w:val="nr_be29f4a347a9411e99e82766d98aabfe"/>
                      <w:lock w:val="sdtLocked"/>
                      <w:richText/>
                    </w:sdtPr>
                    <w:sdtContent>
                      <w:r>
                        <w:t>29</w:t>
                      </w:r>
                    </w:sdtContent>
                  </w:sdt>
                  <w:r>
                    <w:t xml:space="preserve">. </w:t>
                  </w:r>
                  <w:r>
                    <w:rPr>
                      <w:szCs w:val="24"/>
                    </w:rPr>
                    <w:t>Teisėjų veikla vertinama jiems dalyvaujant Komisijos posėdyje, išskyrus šio Aprašo 29</w:t>
                  </w:r>
                  <w:r>
                    <w:rPr>
                      <w:szCs w:val="24"/>
                      <w:vertAlign w:val="superscript"/>
                    </w:rPr>
                    <w:t xml:space="preserve">1 </w:t>
                  </w:r>
                  <w:r>
                    <w:rPr>
                      <w:szCs w:val="24"/>
                    </w:rPr>
                    <w:t>ir 31 punktuose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29-1 p."/>
                <w:tag w:val="part_9f1586bd1f4d410aaed97d943f686b65"/>
                <w:lock w:val="sdtLocked"/>
                <w:richText/>
              </w:sdtPr>
              <w:sdtContent>
                <w:p>
                  <w:pPr>
                    <w:tabs>
                      <w:tab w:val="left" w:pos="187"/>
                    </w:tabs>
                    <w:ind w:firstLine="851"/>
                    <w:jc w:val="both"/>
                    <w:rPr>
                      <w:szCs w:val="24"/>
                    </w:rPr>
                  </w:pPr>
                  <w:sdt>
                    <w:sdtPr>
                      <w:alias w:val="Numeris"/>
                      <w:tag w:val="nr_9f1586bd1f4d410aaed97d943f686b65"/>
                      <w:lock w:val="sdtLocked"/>
                      <w:richText/>
                    </w:sdtPr>
                    <w:sdtContent>
                      <w:r>
                        <w:rPr>
                          <w:szCs w:val="24"/>
                        </w:rPr>
                        <w:t>29</w:t>
                      </w:r>
                      <w:r>
                        <w:rPr>
                          <w:szCs w:val="24"/>
                          <w:vertAlign w:val="superscript"/>
                        </w:rPr>
                        <w:t>1</w:t>
                      </w:r>
                    </w:sdtContent>
                  </w:sdt>
                  <w:r>
                    <w:rPr>
                      <w:szCs w:val="24"/>
                    </w:rPr>
                    <w:t>.</w:t>
                  </w:r>
                  <w:r>
                    <w:rPr>
                      <w:b/>
                      <w:bCs/>
                      <w:szCs w:val="24"/>
                    </w:rPr>
                    <w:t xml:space="preserve"> </w:t>
                  </w:r>
                  <w:r>
                    <w:rPr>
                      <w:szCs w:val="24"/>
                    </w:rPr>
                    <w:t>Jei Komisijai šio Aprašo nustatyta tvarka nėra pateikta duomenų apie teisėjo profesinės, organizacinės ar administracinės veiklos trūkumus ar neigiamas asmenines ar dalykines savybes, teisėjas į Komisijos posėdį nekviečiamas ir periodinis teisėjo veiklos vertinimas atliekamas jam nedalyvaujant.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30 p."/>
                <w:tag w:val="part_80b6344ffdcc4f8ebdbfc61804b1cf81"/>
                <w:lock w:val="sdtLocked"/>
                <w:richText/>
              </w:sdtPr>
              <w:sdtContent>
                <w:p>
                  <w:pPr>
                    <w:tabs>
                      <w:tab w:val="left" w:pos="187"/>
                    </w:tabs>
                    <w:ind w:firstLine="851"/>
                    <w:jc w:val="both"/>
                    <w:rPr>
                      <w:szCs w:val="24"/>
                    </w:rPr>
                  </w:pPr>
                  <w:sdt>
                    <w:sdtPr>
                      <w:alias w:val="Numeris"/>
                      <w:tag w:val="nr_80b6344ffdcc4f8ebdbfc61804b1cf81"/>
                      <w:lock w:val="sdtLocked"/>
                      <w:richText/>
                    </w:sdtPr>
                    <w:sdtContent>
                      <w:r>
                        <w:rPr>
                          <w:szCs w:val="24"/>
                        </w:rPr>
                        <w:t>30</w:t>
                      </w:r>
                    </w:sdtContent>
                  </w:sdt>
                  <w:r>
                    <w:rPr>
                      <w:szCs w:val="24"/>
                    </w:rPr>
                    <w:t>. Kai teisėjas, kurio veikla vertinama, turi dalyvauti Komisijos posėdyje, tačiau jame negali dalyvauti dėl svarbios priežasties, jis ne vėliau kaip likus 1 darbo dienai iki posėdžio pradžios apie tai raštu praneša Komisijos sekretoriui ir pateikia dokumentus, pateisinančius savo neatvykimą, išskyrus atvejus, kai tokia svarbi priežastis paaiškėja vėliau.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31 p."/>
                <w:tag w:val="part_e4d18347794d45a28e11a0ea69fb5d0e"/>
                <w:lock w:val="sdtLocked"/>
                <w:richText/>
              </w:sdtPr>
              <w:sdtContent>
                <w:p>
                  <w:pPr>
                    <w:tabs>
                      <w:tab w:val="left" w:pos="187"/>
                    </w:tabs>
                    <w:ind w:firstLine="851"/>
                    <w:jc w:val="both"/>
                    <w:rPr>
                      <w:szCs w:val="24"/>
                    </w:rPr>
                  </w:pPr>
                  <w:sdt>
                    <w:sdtPr>
                      <w:alias w:val="Numeris"/>
                      <w:tag w:val="nr_e4d18347794d45a28e11a0ea69fb5d0e"/>
                      <w:lock w:val="sdtLocked"/>
                      <w:richText/>
                    </w:sdtPr>
                    <w:sdtContent>
                      <w:r>
                        <w:rPr>
                          <w:szCs w:val="24"/>
                        </w:rPr>
                        <w:t>31</w:t>
                      </w:r>
                    </w:sdtContent>
                  </w:sdt>
                  <w:r>
                    <w:rPr>
                      <w:szCs w:val="24"/>
                    </w:rPr>
                    <w:t>. Jei teisėjas neatvyksta į Komisijos posėdį, kuriame turi būti vertinama jo veikla, teisėjo veiklos vertinimas atidedamas, išskyrus šio Aprašo 29</w:t>
                  </w:r>
                  <w:r>
                    <w:rPr>
                      <w:szCs w:val="24"/>
                      <w:vertAlign w:val="superscript"/>
                    </w:rPr>
                    <w:t>1</w:t>
                  </w:r>
                  <w:r>
                    <w:rPr>
                      <w:szCs w:val="24"/>
                    </w:rPr>
                    <w:t xml:space="preserve"> punkte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32 p."/>
                <w:tag w:val="part_b849a23a54c04e67aa9c3fd06506666d"/>
                <w:lock w:val="sdtLocked"/>
                <w:richText/>
              </w:sdtPr>
              <w:sdtContent>
                <w:p>
                  <w:pPr>
                    <w:tabs>
                      <w:tab w:val="left" w:pos="187"/>
                    </w:tabs>
                    <w:ind w:firstLine="851"/>
                    <w:jc w:val="both"/>
                    <w:rPr>
                      <w:szCs w:val="24"/>
                    </w:rPr>
                  </w:pPr>
                  <w:sdt>
                    <w:sdtPr>
                      <w:alias w:val="Numeris"/>
                      <w:tag w:val="nr_b849a23a54c04e67aa9c3fd06506666d"/>
                      <w:lock w:val="sdtLocked"/>
                      <w:richText/>
                    </w:sdtPr>
                    <w:sdtContent>
                      <w:r>
                        <w:rPr>
                          <w:bCs/>
                          <w:szCs w:val="24"/>
                        </w:rPr>
                        <w:t>32</w:t>
                      </w:r>
                    </w:sdtContent>
                  </w:sdt>
                  <w:r>
                    <w:rPr>
                      <w:bCs/>
                      <w:szCs w:val="24"/>
                    </w:rPr>
                    <w:t xml:space="preserve">. </w:t>
                  </w:r>
                  <w:r>
                    <w:rPr>
                      <w:szCs w:val="24"/>
                    </w:rPr>
                    <w:t xml:space="preserve">Komisijos narys, kuriam buvo pavesta Komisijos posėdyje pristatyti informaciją apie teisėją, kurio veikla vertinama, pristato teisėjo </w:t>
                  </w:r>
                  <w:r>
                    <w:rPr>
                      <w:bCs/>
                      <w:szCs w:val="24"/>
                    </w:rPr>
                    <w:t>profesinės veiklos</w:t>
                  </w:r>
                  <w:r>
                    <w:rPr>
                      <w:szCs w:val="24"/>
                    </w:rPr>
                    <w:t xml:space="preserve"> rezultatus, apibūdina jo dalykines, organizacines ir asmenines savybes. </w:t>
                  </w:r>
                </w:p>
              </w:sdtContent>
            </w:sdt>
            <w:sdt>
              <w:sdtPr>
                <w:alias w:val="33 p."/>
                <w:tag w:val="part_a6cd58152ac04568b2072d22ee95fda7"/>
                <w:lock w:val="sdtLocked"/>
                <w:richText/>
              </w:sdtPr>
              <w:sdtContent>
                <w:p>
                  <w:pPr>
                    <w:tabs>
                      <w:tab w:val="left" w:pos="187"/>
                    </w:tabs>
                    <w:ind w:firstLine="851"/>
                    <w:jc w:val="both"/>
                    <w:rPr>
                      <w:szCs w:val="24"/>
                    </w:rPr>
                  </w:pPr>
                  <w:sdt>
                    <w:sdtPr>
                      <w:alias w:val="Numeris"/>
                      <w:tag w:val="nr_a6cd58152ac04568b2072d22ee95fda7"/>
                      <w:lock w:val="sdtLocked"/>
                      <w:richText/>
                    </w:sdtPr>
                    <w:sdtContent>
                      <w:r>
                        <w:rPr>
                          <w:bCs/>
                          <w:szCs w:val="24"/>
                        </w:rPr>
                        <w:t>33</w:t>
                      </w:r>
                    </w:sdtContent>
                  </w:sdt>
                  <w:r>
                    <w:rPr>
                      <w:bCs/>
                      <w:szCs w:val="24"/>
                    </w:rPr>
                    <w:t xml:space="preserve">. </w:t>
                  </w:r>
                  <w:r>
                    <w:rPr>
                      <w:szCs w:val="24"/>
                    </w:rPr>
                    <w:t>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34 p."/>
                <w:tag w:val="part_bc4faac1398a4125bd31f52205016ca2"/>
                <w:lock w:val="sdtLocked"/>
                <w:richText/>
              </w:sdtPr>
              <w:sdtContent>
                <w:p>
                  <w:pPr>
                    <w:tabs>
                      <w:tab w:val="left" w:pos="187"/>
                    </w:tabs>
                    <w:ind w:firstLine="851"/>
                    <w:jc w:val="both"/>
                    <w:rPr>
                      <w:szCs w:val="24"/>
                    </w:rPr>
                  </w:pPr>
                  <w:sdt>
                    <w:sdtPr>
                      <w:alias w:val="Numeris"/>
                      <w:tag w:val="nr_bc4faac1398a4125bd31f52205016ca2"/>
                      <w:lock w:val="sdtLocked"/>
                      <w:richText/>
                    </w:sdtPr>
                    <w:sdtContent>
                      <w:r>
                        <w:rPr>
                          <w:bCs/>
                          <w:szCs w:val="24"/>
                        </w:rPr>
                        <w:t>34</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35 p."/>
                <w:tag w:val="part_dd9177b054434777acc0455bfa7d0ceb"/>
                <w:lock w:val="sdtLocked"/>
                <w:richText/>
              </w:sdtPr>
              <w:sdtContent>
                <w:p>
                  <w:pPr>
                    <w:tabs>
                      <w:tab w:val="left" w:pos="187"/>
                    </w:tabs>
                    <w:ind w:firstLine="851"/>
                    <w:jc w:val="both"/>
                    <w:rPr>
                      <w:szCs w:val="24"/>
                    </w:rPr>
                  </w:pPr>
                  <w:sdt>
                    <w:sdtPr>
                      <w:alias w:val="Numeris"/>
                      <w:tag w:val="nr_dd9177b054434777acc0455bfa7d0ceb"/>
                      <w:lock w:val="sdtLocked"/>
                      <w:richText/>
                    </w:sdtPr>
                    <w:sdtContent>
                      <w:r>
                        <w:rPr>
                          <w:bCs/>
                          <w:szCs w:val="24"/>
                        </w:rPr>
                        <w:t>35</w:t>
                      </w:r>
                    </w:sdtContent>
                  </w:sdt>
                  <w:r>
                    <w:rPr>
                      <w:bCs/>
                      <w:szCs w:val="24"/>
                    </w:rPr>
                    <w:t>.</w:t>
                  </w:r>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6 p."/>
                <w:tag w:val="part_f179485cbc0b41f68e8af26b5208702d"/>
                <w:lock w:val="sdtLocked"/>
                <w:richText/>
              </w:sdtPr>
              <w:sdtContent>
                <w:p>
                  <w:pPr>
                    <w:tabs>
                      <w:tab w:val="left" w:pos="187"/>
                    </w:tabs>
                    <w:ind w:firstLine="851"/>
                    <w:jc w:val="both"/>
                    <w:rPr>
                      <w:szCs w:val="24"/>
                    </w:rPr>
                  </w:pPr>
                  <w:sdt>
                    <w:sdtPr>
                      <w:alias w:val="Numeris"/>
                      <w:tag w:val="nr_f179485cbc0b41f68e8af26b5208702d"/>
                      <w:lock w:val="sdtLocked"/>
                      <w:richText/>
                    </w:sdtPr>
                    <w:sdtContent>
                      <w:r>
                        <w:rPr>
                          <w:bCs/>
                          <w:szCs w:val="24"/>
                        </w:rPr>
                        <w:t>36</w:t>
                      </w:r>
                    </w:sdtContent>
                  </w:sdt>
                  <w:r>
                    <w:rPr>
                      <w:bCs/>
                      <w:szCs w:val="24"/>
                    </w:rPr>
                    <w:t xml:space="preserve">. </w:t>
                  </w:r>
                  <w:r>
                    <w:rPr>
                      <w:szCs w:val="24"/>
                    </w:rPr>
                    <w:t>Komisija, įvertinusi teisėjo veiklą, ne vėliau kaip per 15 darbo dienų nuo posėdžio dienos surašo išvadą dėl teisėjo veiklos vertinimo rezultatų. Komisijos išvadoje dėl teisėjo veiklos vertinimo rezultatų aprašoma teisėjo veikla</w:t>
                  </w:r>
                  <w:r>
                    <w:rPr>
                      <w:bCs/>
                      <w:szCs w:val="24"/>
                    </w:rPr>
                    <w:t>,</w:t>
                  </w:r>
                  <w:r>
                    <w:rPr>
                      <w:szCs w:val="24"/>
                    </w:rPr>
                    <w:t xml:space="preserve"> </w:t>
                  </w:r>
                  <w:r>
                    <w:rPr>
                      <w:bCs/>
                      <w:szCs w:val="24"/>
                    </w:rPr>
                    <w:t xml:space="preserve">nurodant profesinės teisėjo veiklos vertinimo rodiklius ir jų vertinimo rezultatus </w:t>
                  </w:r>
                  <w:r>
                    <w:rPr>
                      <w:szCs w:val="24"/>
                    </w:rPr>
                    <w:t xml:space="preserve">per vertinamą laikotarpį, nurodomi Komisijos nustatyti teisėjo profesinės, organizacinės ar administracinės veiklos privalumai ir trūkumai, jeigu tokių yra, bei pateikiami siūlymai, kaip šie trūkumai galėtų būti pašalinti, </w:t>
                  </w:r>
                  <w:r>
                    <w:rPr>
                      <w:bCs/>
                      <w:szCs w:val="24"/>
                    </w:rPr>
                    <w:t>informacija apie teisėjo asmenines ir dalykines savybes,</w:t>
                  </w:r>
                  <w:r>
                    <w:rPr>
                      <w:szCs w:val="24"/>
                    </w:rPr>
                    <w:t xml:space="preserve"> taip pat kita, Komisijos nuomone, svarbi informacija. </w:t>
                  </w:r>
                </w:p>
              </w:sdtContent>
            </w:sdt>
            <w:sdt>
              <w:sdtPr>
                <w:alias w:val="37 p."/>
                <w:tag w:val="part_dd316de47ecc4792babc569f356e0188"/>
                <w:lock w:val="sdtLocked"/>
                <w:richText/>
              </w:sdtPr>
              <w:sdtContent>
                <w:p>
                  <w:pPr>
                    <w:tabs>
                      <w:tab w:val="left" w:pos="187"/>
                    </w:tabs>
                    <w:ind w:firstLine="851"/>
                    <w:jc w:val="both"/>
                    <w:rPr>
                      <w:szCs w:val="24"/>
                    </w:rPr>
                  </w:pPr>
                  <w:sdt>
                    <w:sdtPr>
                      <w:alias w:val="Numeris"/>
                      <w:tag w:val="nr_dd316de47ecc4792babc569f356e0188"/>
                      <w:lock w:val="sdtLocked"/>
                      <w:richText/>
                    </w:sdtPr>
                    <w:sdtContent>
                      <w:r>
                        <w:rPr>
                          <w:szCs w:val="24"/>
                        </w:rPr>
                        <w:t>37</w:t>
                      </w:r>
                    </w:sdtContent>
                  </w:sdt>
                  <w:r>
                    <w:rPr>
                      <w:szCs w:val="24"/>
                    </w:rPr>
                    <w:t xml:space="preserve">. Komisijai pagal šio Aprašo 15 punktą teisėjo profesinę veiklą įvertinus </w:t>
                  </w:r>
                  <w:r>
                    <w:t>patenkinamai ar nepatenkinamai, Komisija teisėjo veiklos vertinimo išvadoje pateikia rekomendacijas dėl silpnųjų teisėjo veiklos sričių stiprinimo ir profesinių gebėjimų tobulinimo. Komisijos išvadoje taip pat gali būti suformuluotos rekomendacijos išorinį ir vidinį administravimą atliekantiems subjektams, kokių išorinio ir vidinio administravimo priemonių turi būti imtasi teisėjo veiklos kokybei gerinti, jos pokyčių stebėsenai bei kokiam terminui suėjus gali būti sprendžiama dėl neeilinio teisėjo veiklos vertinimo atlikimo teisėjo veiklos kokybės pokyčių įvertinimui</w:t>
                  </w:r>
                  <w:r>
                    <w:rPr>
                      <w:color w:val="000000"/>
                      <w:szCs w:val="24"/>
                    </w:rPr>
                    <w:t>.</w:t>
                  </w:r>
                </w:p>
              </w:sdtContent>
            </w:sdt>
            <w:sdt>
              <w:sdtPr>
                <w:alias w:val="38 p."/>
                <w:tag w:val="part_f6ace6077aed4fcfa67c009ee8407dff"/>
                <w:lock w:val="sdtLocked"/>
                <w:richText/>
              </w:sdtPr>
              <w:sdtContent>
                <w:p>
                  <w:pPr>
                    <w:widowControl w:val="0"/>
                    <w:tabs>
                      <w:tab w:val="left" w:pos="187"/>
                    </w:tabs>
                    <w:ind w:firstLine="851"/>
                    <w:jc w:val="both"/>
                    <w:rPr>
                      <w:szCs w:val="24"/>
                    </w:rPr>
                  </w:pPr>
                  <w:sdt>
                    <w:sdtPr>
                      <w:alias w:val="Numeris"/>
                      <w:tag w:val="nr_f6ace6077aed4fcfa67c009ee8407dff"/>
                      <w:lock w:val="sdtLocked"/>
                      <w:richText/>
                    </w:sdtPr>
                    <w:sdtContent>
                      <w:r>
                        <w:rPr>
                          <w:bCs/>
                          <w:szCs w:val="24"/>
                        </w:rPr>
                        <w:t>38</w:t>
                      </w:r>
                    </w:sdtContent>
                  </w:sdt>
                  <w:r>
                    <w:rPr>
                      <w:bCs/>
                      <w:szCs w:val="24"/>
                    </w:rPr>
                    <w:t xml:space="preserve">. </w:t>
                  </w:r>
                  <w:r>
                    <w:rPr>
                      <w:szCs w:val="24"/>
                    </w:rPr>
                    <w:t>Jeigu teisėjo veiklos vertinimo metu paaiškėja Lietuvos Respublikos teismų įstatymo 81 straipsnio 1 dalies 2 punkte, 83 straipsnio 2 dalyje arba 90 straipsnio 1 dalies 5 ar 6 punkte nurodytos aplinkybės, Komisija:</w:t>
                  </w:r>
                </w:p>
                <w:sdt>
                  <w:sdtPr>
                    <w:alias w:val="38.1 pp."/>
                    <w:tag w:val="part_7aa19baf92fc4bb79659994e7cab5b35"/>
                    <w:lock w:val="sdtLocked"/>
                    <w:richText/>
                  </w:sdtPr>
                  <w:sdtContent>
                    <w:p>
                      <w:pPr>
                        <w:widowControl w:val="0"/>
                        <w:tabs>
                          <w:tab w:val="left" w:pos="187"/>
                        </w:tabs>
                        <w:ind w:firstLine="851"/>
                        <w:jc w:val="both"/>
                        <w:rPr>
                          <w:szCs w:val="24"/>
                        </w:rPr>
                      </w:pPr>
                      <w:sdt>
                        <w:sdtPr>
                          <w:alias w:val="Numeris"/>
                          <w:tag w:val="nr_7aa19baf92fc4bb79659994e7cab5b35"/>
                          <w:lock w:val="sdtLocked"/>
                          <w:richText/>
                        </w:sdtPr>
                        <w:sdtContent>
                          <w:r>
                            <w:rPr>
                              <w:bCs/>
                              <w:szCs w:val="24"/>
                            </w:rPr>
                            <w:t>38.1</w:t>
                          </w:r>
                        </w:sdtContent>
                      </w:sdt>
                      <w:r>
                        <w:rPr>
                          <w:bCs/>
                          <w:szCs w:val="24"/>
                        </w:rPr>
                        <w:t>.</w:t>
                      </w:r>
                      <w:r>
                        <w:rPr>
                          <w:szCs w:val="24"/>
                        </w:rPr>
                        <w:t xml:space="preserve"> teikia motyvuotą teikimą dėl drausmės bylos teisėjui iškėlimo Teisėjų etikos ir drausmės komisijai;</w:t>
                      </w:r>
                    </w:p>
                  </w:sdtContent>
                </w:sdt>
                <w:sdt>
                  <w:sdtPr>
                    <w:alias w:val="38.2 pp."/>
                    <w:tag w:val="part_1663dc95e3f5439aa9819f5da57494f1"/>
                    <w:lock w:val="sdtLocked"/>
                    <w:richText/>
                  </w:sdtPr>
                  <w:sdtContent>
                    <w:p>
                      <w:pPr>
                        <w:widowControl w:val="0"/>
                        <w:tabs>
                          <w:tab w:val="left" w:pos="187"/>
                        </w:tabs>
                        <w:ind w:firstLine="851"/>
                        <w:jc w:val="both"/>
                        <w:rPr>
                          <w:szCs w:val="24"/>
                        </w:rPr>
                      </w:pPr>
                      <w:sdt>
                        <w:sdtPr>
                          <w:alias w:val="Numeris"/>
                          <w:tag w:val="nr_1663dc95e3f5439aa9819f5da57494f1"/>
                          <w:lock w:val="sdtLocked"/>
                          <w:richText/>
                        </w:sdtPr>
                        <w:sdtContent>
                          <w:r>
                            <w:rPr>
                              <w:bCs/>
                              <w:szCs w:val="24"/>
                            </w:rPr>
                            <w:t>38.2</w:t>
                          </w:r>
                        </w:sdtContent>
                      </w:sdt>
                      <w:r>
                        <w:rPr>
                          <w:bCs/>
                          <w:szCs w:val="24"/>
                        </w:rPr>
                        <w:t>.</w:t>
                      </w:r>
                      <w:r>
                        <w:rPr>
                          <w:szCs w:val="24"/>
                        </w:rPr>
                        <w:t xml:space="preserve"> informuoja Teisėjų tarybą ir Respublikos Prezidentą apie pagrindą teisėją atleisti arba pašalinti iš pareigų Lietuvos Respublikos teismų įstatymo 84, 90 arba 91 straipsnyje nustatyta tvarka.</w:t>
                      </w:r>
                    </w:p>
                  </w:sdtContent>
                </w:sdt>
              </w:sdtContent>
            </w:sdt>
            <w:sdt>
              <w:sdtPr>
                <w:alias w:val="39 p."/>
                <w:tag w:val="part_2ae54f4a5afd4b4d8fd93a13bacd6107"/>
                <w:lock w:val="sdtLocked"/>
                <w:richText/>
              </w:sdtPr>
              <w:sdtContent>
                <w:p>
                  <w:pPr>
                    <w:widowControl w:val="0"/>
                    <w:tabs>
                      <w:tab w:val="left" w:pos="187"/>
                    </w:tabs>
                    <w:ind w:firstLine="851"/>
                    <w:jc w:val="both"/>
                    <w:rPr>
                      <w:szCs w:val="24"/>
                    </w:rPr>
                  </w:pPr>
                  <w:sdt>
                    <w:sdtPr>
                      <w:alias w:val="Numeris"/>
                      <w:tag w:val="nr_2ae54f4a5afd4b4d8fd93a13bacd6107"/>
                      <w:lock w:val="sdtLocked"/>
                      <w:richText/>
                    </w:sdtPr>
                    <w:sdtContent>
                      <w:r>
                        <w:rPr>
                          <w:bCs/>
                          <w:szCs w:val="24"/>
                        </w:rPr>
                        <w:t>39</w:t>
                      </w:r>
                    </w:sdtContent>
                  </w:sdt>
                  <w:r>
                    <w:rPr>
                      <w:bCs/>
                      <w:szCs w:val="24"/>
                    </w:rPr>
                    <w:t>.</w:t>
                  </w:r>
                  <w:r>
                    <w:rPr>
                      <w:szCs w:val="24"/>
                    </w:rPr>
                    <w:t xml:space="preserve"> Komisijos išvada dėl teisėjo veiklos vertinimo rezultatų kitą darbo dieną po to, kai ją pasirašo Komisijos pirmininkas, išsiunčiama elektroniniu tarnybiniu paštu ir pasirašytinai susipažinti teisėjui, kurio veikla buvo vertinama, į teismą, kuriame teisėjas dirba. Jeigu Komisijos išvadoje yra </w:t>
                  </w:r>
                  <w:r>
                    <w:t>suformuluotos rekomendacijos išorinį ir vidinį administravimą atliekantiems subjektams, su išvada supažindinami ir minėti subjektai.</w:t>
                  </w:r>
                </w:p>
              </w:sdtContent>
            </w:sdt>
            <w:sdt>
              <w:sdtPr>
                <w:alias w:val="40 p."/>
                <w:tag w:val="part_0c508ab6ca8549a6bd0091880c47dd60"/>
                <w:lock w:val="sdtLocked"/>
                <w:richText/>
              </w:sdtPr>
              <w:sdtContent>
                <w:p>
                  <w:pPr>
                    <w:tabs>
                      <w:tab w:val="left" w:pos="187"/>
                    </w:tabs>
                    <w:ind w:firstLine="851"/>
                    <w:jc w:val="both"/>
                    <w:rPr>
                      <w:szCs w:val="24"/>
                    </w:rPr>
                  </w:pPr>
                  <w:sdt>
                    <w:sdtPr>
                      <w:alias w:val="Numeris"/>
                      <w:tag w:val="nr_0c508ab6ca8549a6bd0091880c47dd60"/>
                      <w:lock w:val="sdtLocked"/>
                      <w:richText/>
                    </w:sdtPr>
                    <w:sdtContent>
                      <w:r>
                        <w:rPr>
                          <w:szCs w:val="24"/>
                        </w:rPr>
                        <w:t>40</w:t>
                      </w:r>
                    </w:sdtContent>
                  </w:sdt>
                  <w:r>
                    <w:rPr>
                      <w:szCs w:val="24"/>
                    </w:rPr>
                    <w:t xml:space="preserve">. Teisėjas, kurio veikla buvo vertinama, turi teisę per </w:t>
                  </w:r>
                  <w:r>
                    <w:rPr>
                      <w:bCs/>
                      <w:szCs w:val="24"/>
                    </w:rPr>
                    <w:t>dešimt darbo dienų</w:t>
                  </w:r>
                  <w:r>
                    <w:rPr>
                      <w:szCs w:val="24"/>
                    </w:rPr>
                    <w:t xml:space="preserve"> nuo </w:t>
                  </w:r>
                  <w:r>
                    <w:rPr>
                      <w:bCs/>
                      <w:szCs w:val="24"/>
                    </w:rPr>
                    <w:t>Komisijos išvados surašymo</w:t>
                  </w:r>
                  <w:r>
                    <w:rPr>
                      <w:szCs w:val="24"/>
                    </w:rPr>
                    <w:t xml:space="preserve">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skyrius"/>
            <w:tag w:val="part_514b8202d66a4179a27af9b6a21c159a"/>
            <w:lock w:val="sdtLocked"/>
            <w:richText/>
          </w:sdtPr>
          <w:sdtContent>
            <w:p>
              <w:pPr>
                <w:widowControl w:val="0"/>
                <w:tabs>
                  <w:tab w:val="left" w:pos="187"/>
                </w:tabs>
                <w:jc w:val="center"/>
                <w:rPr>
                  <w:b/>
                  <w:szCs w:val="24"/>
                </w:rPr>
              </w:pPr>
              <w:sdt>
                <w:sdtPr>
                  <w:alias w:val="Numeris"/>
                  <w:tag w:val="nr_514b8202d66a4179a27af9b6a21c159a"/>
                  <w:lock w:val="sdtLocked"/>
                  <w:richText/>
                </w:sdtPr>
                <w:sdtContent>
                  <w:r>
                    <w:rPr>
                      <w:b/>
                      <w:szCs w:val="24"/>
                    </w:rPr>
                    <w:t>VII</w:t>
                  </w:r>
                </w:sdtContent>
              </w:sdt>
              <w:r>
                <w:rPr>
                  <w:b/>
                  <w:szCs w:val="24"/>
                </w:rPr>
                <w:t xml:space="preserve">. </w:t>
              </w:r>
              <w:sdt>
                <w:sdtPr>
                  <w:alias w:val="Pavadinimas"/>
                  <w:tag w:val="title_514b8202d66a4179a27af9b6a21c159a"/>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41 p."/>
                <w:tag w:val="part_7b59136303e547f4b99c724abca15783"/>
                <w:lock w:val="sdtLocked"/>
                <w:richText/>
              </w:sdtPr>
              <w:sdtContent>
                <w:p>
                  <w:pPr>
                    <w:ind w:firstLine="851"/>
                    <w:jc w:val="both"/>
                    <w:rPr>
                      <w:szCs w:val="24"/>
                    </w:rPr>
                  </w:pPr>
                  <w:sdt>
                    <w:sdtPr>
                      <w:alias w:val="Numeris"/>
                      <w:tag w:val="nr_7b59136303e547f4b99c724abca15783"/>
                      <w:lock w:val="sdtLocked"/>
                      <w:richText/>
                    </w:sdtPr>
                    <w:sdtContent>
                      <w:r>
                        <w:rPr>
                          <w:bCs/>
                          <w:szCs w:val="24"/>
                        </w:rPr>
                        <w:t>41</w:t>
                      </w:r>
                    </w:sdtContent>
                  </w:sdt>
                  <w:r>
                    <w:rPr>
                      <w:bCs/>
                      <w:szCs w:val="24"/>
                    </w:rPr>
                    <w:t>.</w:t>
                  </w:r>
                  <w:r>
                    <w:rPr>
                      <w:szCs w:val="24"/>
                    </w:rPr>
                    <w:t xml:space="preserve"> Komisijos išvados dėl teisėjo veiklos vertinimo rezultatų ir gautos Komisijos narių atskirosios nuomonės saugomos teisėjo asmens byloje.</w:t>
                  </w:r>
                </w:p>
              </w:sdtContent>
            </w:sdt>
            <w:sdt>
              <w:sdtPr>
                <w:alias w:val="42 p."/>
                <w:tag w:val="part_cf80969b36c3446aa31d1087941b5a1b"/>
                <w:lock w:val="sdtLocked"/>
                <w:richText/>
              </w:sdtPr>
              <w:sdtContent>
                <w:p>
                  <w:pPr>
                    <w:ind w:firstLine="851"/>
                    <w:jc w:val="both"/>
                    <w:rPr>
                      <w:bCs/>
                      <w:szCs w:val="24"/>
                    </w:rPr>
                  </w:pPr>
                  <w:sdt>
                    <w:sdtPr>
                      <w:alias w:val="Numeris"/>
                      <w:tag w:val="nr_cf80969b36c3446aa31d1087941b5a1b"/>
                      <w:lock w:val="sdtLocked"/>
                      <w:richText/>
                    </w:sdtPr>
                    <w:sdtContent>
                      <w:r>
                        <w:rPr>
                          <w:bCs/>
                          <w:szCs w:val="24"/>
                        </w:rPr>
                        <w:t>42</w:t>
                      </w:r>
                    </w:sdtContent>
                  </w:sdt>
                  <w:r>
                    <w:rPr>
                      <w:szCs w:val="24"/>
                    </w:rPr>
                    <w:t xml:space="preserve">.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 </w:t>
                  </w:r>
                  <w:r>
                    <w:rPr>
                      <w:bCs/>
                      <w:color w:val="000000"/>
                    </w:rPr>
                    <w:t>Su teisėjų veiklos vertinimo medžiaga susipažinti ir ją naudoti gali Respublikos Prezidentas, vidinį teismų administravimą ir teismų administracinės veiklos priežiūrą atliekantys subjektai, Nacionalinės teismų administracijos direktorius ar jų įgalioti asmenys, Atrankos komisijos, Vertinimo komisijos, Teisėjų etikos ir drausmės komisijos, Teisėjų garbės teismo ir Teisėjų tarybos nariai, kai tai būtina teisės aktuose nustatytoms jų funkcijoms atlikti. Kiti asmenys susipažinti su teisėjų veiklos vertinimo medžiaga ir ją naudoti gali tik įstatymų numatytais atvejais ir pagrindais.</w:t>
                  </w:r>
                </w:p>
                <w:p>
                  <w:pPr>
                    <w:widowControl w:val="0"/>
                    <w:tabs>
                      <w:tab w:val="left" w:pos="187"/>
                    </w:tabs>
                    <w:ind w:firstLine="935"/>
                    <w:jc w:val="both"/>
                    <w:rPr>
                      <w:b/>
                      <w:szCs w:val="24"/>
                    </w:rPr>
                  </w:pPr>
                </w:p>
              </w:sdtContent>
            </w:sdt>
          </w:sdtContent>
        </w:sdt>
        <w:sdt>
          <w:sdtPr>
            <w:alias w:val="pabaiga"/>
            <w:tag w:val="part_4158a728a5fa415795b7fe9d3916ae08"/>
            <w:lock w:val="sdtLocked"/>
            <w:richText/>
          </w:sdtPr>
          <w:sdtContent>
            <w:p>
              <w:pPr>
                <w:widowControl w:val="0"/>
                <w:jc w:val="center"/>
                <w:rPr>
                  <w:szCs w:val="24"/>
                </w:rPr>
              </w:pPr>
              <w:r>
                <w:rPr>
                  <w:szCs w:val="24"/>
                </w:rPr>
                <w:t>___________________</w:t>
              </w:r>
            </w:p>
            <w:p>
              <w:pPr>
                <w:widowControl w:val="0"/>
                <w:jc w:val="center"/>
                <w:rPr>
                  <w:szCs w:val="24"/>
                </w:rPr>
              </w:pPr>
            </w:p>
          </w:sdtContent>
        </w:sdt>
      </w:sdtContent>
    </w:sdt>
    <w:sdt>
      <w:sdtPr>
        <w:alias w:val="pr."/>
        <w:tag w:val="part_04022ca96b734fa582b12dde099ae2df"/>
        <w:lock w:val="sdtLocked"/>
        <w:richText/>
      </w:sdtPr>
      <w:sdtContent>
        <w:p>
          <w:pPr>
            <w:tabs>
              <w:tab w:val="left" w:pos="187"/>
            </w:tabs>
            <w:ind w:left="6379"/>
            <w:sectPr>
              <w:pgSz w:w="11906" w:h="16838" w:code="9"/>
              <w:pgMar w:top="1134" w:right="567" w:bottom="992" w:left="1701" w:header="709" w:footer="709" w:gutter="0"/>
              <w:pgNumType w:start="1"/>
              <w:cols w:space="1296"/>
              <w:titlePg/>
              <w:docGrid w:linePitch="360"/>
            </w:sectPr>
          </w:pPr>
        </w:p>
        <w:p>
          <w:pPr>
            <w:tabs>
              <w:tab w:val="left" w:pos="187"/>
            </w:tabs>
            <w:ind w:left="5670"/>
            <w:rPr>
              <w:szCs w:val="24"/>
            </w:rPr>
          </w:pPr>
          <w:r>
            <w:rPr>
              <w:szCs w:val="24"/>
            </w:rPr>
            <w:t xml:space="preserve">Teisėjų veiklos vertinimo tvarkos aprašo </w:t>
          </w:r>
        </w:p>
        <w:p>
          <w:pPr>
            <w:tabs>
              <w:tab w:val="left" w:pos="187"/>
            </w:tabs>
            <w:ind w:left="5670"/>
            <w:rPr>
              <w:szCs w:val="24"/>
            </w:rPr>
          </w:pPr>
          <w:r>
            <w:rPr>
              <w:szCs w:val="24"/>
            </w:rPr>
            <w:t>priedas Nr. 1</w:t>
          </w:r>
        </w:p>
        <w:p>
          <w:pPr>
            <w:tabs>
              <w:tab w:val="left" w:pos="187"/>
            </w:tabs>
            <w:ind w:left="5670"/>
            <w:rPr>
              <w:szCs w:val="24"/>
            </w:rPr>
          </w:pPr>
          <w:r>
            <w:rPr>
              <w:szCs w:val="24"/>
            </w:rPr>
            <w:t>(Teisėjų tarybos 2019 m. rugsėjo 27 d. nutarimo Nr. 13P-159-(7.1.2) redakcija)</w:t>
          </w:r>
        </w:p>
        <w:p>
          <w:pPr>
            <w:tabs>
              <w:tab w:val="left" w:pos="187"/>
            </w:tabs>
            <w:jc w:val="center"/>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sdt>
          <w:sdtPr>
            <w:alias w:val="Pavadinimas"/>
            <w:tag w:val="title_04022ca96b734fa582b12dde099ae2df"/>
            <w:lock w:val="sdtLocked"/>
            <w:richText/>
          </w:sdtPr>
          <w:sdtContent>
            <w:p>
              <w:pPr>
                <w:tabs>
                  <w:tab w:val="left" w:pos="187"/>
                </w:tabs>
                <w:jc w:val="center"/>
                <w:rPr>
                  <w:szCs w:val="24"/>
                </w:rPr>
              </w:pPr>
              <w:r>
                <w:rPr>
                  <w:szCs w:val="24"/>
                </w:rPr>
                <w:t>IŠVADA</w:t>
              </w:r>
            </w:p>
          </w:sdtContent>
        </w:sdt>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ind w:firstLine="709"/>
            <w:jc w:val="both"/>
            <w:rPr>
              <w:szCs w:val="24"/>
            </w:rPr>
          </w:pPr>
          <w:r>
            <w:rPr>
              <w:szCs w:val="24"/>
            </w:rPr>
            <w:t>Šioje išvadoje pateikiamas ______________________ teismo teisėjo 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skyrius"/>
            <w:tag w:val="part_ea77a6fe301f48368fa32defdecf42cc"/>
            <w:lock w:val="sdtLocked"/>
            <w:richText/>
          </w:sdtPr>
          <w:sdtContent>
            <w:p>
              <w:pPr>
                <w:tabs>
                  <w:tab w:val="left" w:pos="187"/>
                </w:tabs>
                <w:jc w:val="center"/>
                <w:rPr>
                  <w:b/>
                  <w:bCs/>
                  <w:szCs w:val="24"/>
                </w:rPr>
              </w:pPr>
              <w:sdt>
                <w:sdtPr>
                  <w:alias w:val="Numeris"/>
                  <w:tag w:val="nr_ea77a6fe301f48368fa32defdecf42cc"/>
                  <w:lock w:val="sdtLocked"/>
                  <w:richText/>
                </w:sdtPr>
                <w:sdtContent>
                  <w:r>
                    <w:rPr>
                      <w:b/>
                      <w:bCs/>
                      <w:szCs w:val="24"/>
                    </w:rPr>
                    <w:t>I</w:t>
                  </w:r>
                </w:sdtContent>
              </w:sdt>
              <w:r>
                <w:rPr>
                  <w:b/>
                  <w:bCs/>
                  <w:szCs w:val="24"/>
                </w:rPr>
                <w:t xml:space="preserve">. </w:t>
              </w:r>
              <w:sdt>
                <w:sdtPr>
                  <w:alias w:val="Pavadinimas"/>
                  <w:tag w:val="title_ea77a6fe301f48368fa32defdecf42cc"/>
                  <w:lock w:val="sdtLocked"/>
                  <w:richText/>
                </w:sdtPr>
                <w:sdtContent>
                  <w:r>
                    <w:rPr>
                      <w:b/>
                      <w:bCs/>
                      <w:szCs w:val="24"/>
                    </w:rPr>
                    <w:t>Profesinės veiklos (teisinio darbo kokybė) vertinimo rezultatai:</w:t>
                  </w:r>
                </w:sdtContent>
              </w:sdt>
            </w:p>
            <w:p>
              <w:pPr>
                <w:tabs>
                  <w:tab w:val="left" w:pos="187"/>
                </w:tabs>
                <w:jc w:val="center"/>
                <w:rPr>
                  <w:b/>
                  <w:bCs/>
                  <w:szCs w:val="24"/>
                </w:rPr>
              </w:pPr>
            </w:p>
            <w:sdt>
              <w:sdtPr>
                <w:alias w:val="pr. 1 p."/>
                <w:tag w:val="part_f466fa85506d4ab9a8c10a90cb80ad1f"/>
                <w:lock w:val="sdtLocked"/>
                <w:richText/>
              </w:sdtPr>
              <w:sdtContent>
                <w:p>
                  <w:pPr>
                    <w:tabs>
                      <w:tab w:val="left" w:pos="187"/>
                    </w:tabs>
                    <w:jc w:val="both"/>
                    <w:rPr>
                      <w:szCs w:val="24"/>
                    </w:rPr>
                  </w:pPr>
                  <w:sdt>
                    <w:sdtPr>
                      <w:alias w:val="Numeris"/>
                      <w:tag w:val="nr_f466fa85506d4ab9a8c10a90cb80ad1f"/>
                      <w:lock w:val="sdtLocked"/>
                      <w:richText/>
                    </w:sdtPr>
                    <w:sdtContent>
                      <w:r>
                        <w:rPr>
                          <w:b/>
                          <w:bCs/>
                          <w:szCs w:val="24"/>
                        </w:rPr>
                        <w:t>1</w:t>
                      </w:r>
                    </w:sdtContent>
                  </w:sdt>
                  <w:r>
                    <w:rPr>
                      <w:b/>
                      <w:bCs/>
                      <w:szCs w:val="24"/>
                    </w:rPr>
                    <w:t>. Statistinių teisėjo vidutinio darbo krūvio duomenų apibendrintas vertinimas</w:t>
                  </w:r>
                  <w:r>
                    <w:rPr>
                      <w:szCs w:val="24"/>
                    </w:rPr>
                    <w:t xml:space="preserve">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ind w:left="420"/>
                    <w:jc w:val="both"/>
                    <w:rPr>
                      <w:szCs w:val="24"/>
                    </w:rPr>
                  </w:pPr>
                </w:p>
              </w:sdtContent>
            </w:sdt>
            <w:sdt>
              <w:sdtPr>
                <w:alias w:val="poskyris"/>
                <w:tag w:val="part_0f7638131e6e49e8a7bb42069c9cc906"/>
                <w:lock w:val="sdtLocked"/>
                <w:richText/>
              </w:sdtPr>
              <w:sdtContent>
                <w:p>
                  <w:pPr>
                    <w:ind w:firstLine="62"/>
                    <w:jc w:val="both"/>
                    <w:rPr>
                      <w:b/>
                      <w:bCs/>
                      <w:i/>
                      <w:szCs w:val="24"/>
                    </w:rPr>
                  </w:pPr>
                  <w:sdt>
                    <w:sdtPr>
                      <w:alias w:val="Pavadinimas"/>
                      <w:tag w:val="title_0f7638131e6e49e8a7bb42069c9cc906"/>
                      <w:lock w:val="sdtLocked"/>
                      <w:richText/>
                    </w:sdtPr>
                    <w:sdtContent>
                      <w:r>
                        <w:rPr>
                          <w:b/>
                          <w:bCs/>
                          <w:i/>
                          <w:iCs/>
                          <w:szCs w:val="24"/>
                        </w:rPr>
                        <w:t>Duomenys apie teisėjo nagrinėtose civilinėse bylose sudarytas taikos sutartis, teisėjo perduotų nagrinėti teisminės mediacijos būdu bylų skaičių, teisėjo – teismo mediatoriaus – teisminės mediacijos būdu išnagrinėtų bylų skaičių ir jų apibendrintas vertinimas</w:t>
                      </w:r>
                      <w:r>
                        <w:rPr>
                          <w:b/>
                          <w:bCs/>
                          <w:szCs w:val="24"/>
                        </w:rPr>
                        <w:t>:</w:t>
                      </w:r>
                    </w:sdtContent>
                  </w:sdt>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r>
                          <w:rPr>
                            <w:szCs w:val="24"/>
                          </w:rPr>
                          <w:t>(</w:t>
                        </w:r>
                        <w:r>
                          <w:rPr>
                            <w:i/>
                            <w:szCs w:val="24"/>
                          </w:rPr>
                          <w:t>pvz., Teisėjas vertinamuoju laikotarpiu nutraukė 20 bylų, tarp šalių patvirtindamas taikos sutartis. 4 bylas teisėjas perdavė nagrinėti teisminės mediacijos būdu, iš jų 1 teisminės mediacijos procesas buvo sėkmingas)</w:t>
                        </w:r>
                      </w:p>
                    </w:tc>
                  </w:tr>
                </w:tbl>
                <w:p>
                  <w:pPr>
                    <w:tabs>
                      <w:tab w:val="left" w:pos="187"/>
                    </w:tabs>
                    <w:ind w:left="420"/>
                    <w:jc w:val="both"/>
                    <w:rPr>
                      <w:szCs w:val="24"/>
                    </w:rPr>
                  </w:pPr>
                </w:p>
                <w:sdt>
                  <w:sdtPr>
                    <w:alias w:val="pr. 2 p."/>
                    <w:tag w:val="part_4d0dddb34a1943688a834ecaf1bb03e4"/>
                    <w:lock w:val="sdtLocked"/>
                    <w:richText/>
                  </w:sdtPr>
                  <w:sdtContent>
                    <w:p>
                      <w:pPr>
                        <w:tabs>
                          <w:tab w:val="left" w:pos="187"/>
                        </w:tabs>
                        <w:jc w:val="both"/>
                        <w:rPr>
                          <w:szCs w:val="24"/>
                        </w:rPr>
                      </w:pPr>
                      <w:sdt>
                        <w:sdtPr>
                          <w:alias w:val="Numeris"/>
                          <w:tag w:val="nr_4d0dddb34a1943688a834ecaf1bb03e4"/>
                          <w:lock w:val="sdtLocked"/>
                          <w:richText/>
                        </w:sdtPr>
                        <w:sdtContent>
                          <w:r>
                            <w:rPr>
                              <w:b/>
                              <w:bCs/>
                              <w:szCs w:val="24"/>
                            </w:rPr>
                            <w:t>2</w:t>
                          </w:r>
                        </w:sdtContent>
                      </w:sdt>
                      <w:r>
                        <w:rPr>
                          <w:b/>
                          <w:bCs/>
                          <w:szCs w:val="24"/>
                        </w:rPr>
                        <w:t>. Statistinių teisėjo vidutinės bylų nagrinėjimo trukmės duomenų apibendrintas vertinimas</w:t>
                      </w:r>
                      <w:r>
                        <w:rPr>
                          <w:szCs w:val="24"/>
                        </w:rPr>
                        <w:t xml:space="preserve">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187"/>
                        </w:tabs>
                        <w:jc w:val="both"/>
                        <w:rPr>
                          <w:b/>
                          <w:bCs/>
                          <w:i/>
                          <w:iCs/>
                          <w:szCs w:val="24"/>
                        </w:rPr>
                      </w:pPr>
                      <w:r>
                        <w:rPr>
                          <w:b/>
                          <w:bCs/>
                          <w:i/>
                          <w:iCs/>
                          <w:szCs w:val="24"/>
                        </w:rPr>
                        <w:t xml:space="preserve">Duomenys apie teisėjo veiklos vertinimo laikotarpiu išnagrinėtas civilines bylas (ginčo teisena, ypatingąja teisena), administracines bylas (ginčo teisena), kuriose nagrinėjimas buvo sustabdytas: </w:t>
                      </w:r>
                    </w:p>
                    <w:p>
                      <w:pPr>
                        <w:tabs>
                          <w:tab w:val="left" w:pos="187"/>
                        </w:tabs>
                        <w:jc w:val="both"/>
                        <w:rPr>
                          <w:b/>
                          <w:bCs/>
                          <w:i/>
                          <w:iCs/>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270"/>
                        <w:gridCol w:w="5242"/>
                        <w:gridCol w:w="2554"/>
                      </w:tblGrid>
                      <w:tr>
                        <w:tc>
                          <w:tcPr>
                            <w:tcW w:w="710" w:type="dxa"/>
                          </w:tcPr>
                          <w:p>
                            <w:pPr>
                              <w:tabs>
                                <w:tab w:val="left" w:pos="187"/>
                              </w:tabs>
                              <w:jc w:val="both"/>
                              <w:rPr>
                                <w:szCs w:val="24"/>
                              </w:rPr>
                            </w:pPr>
                            <w:r>
                              <w:rPr>
                                <w:szCs w:val="24"/>
                              </w:rPr>
                              <w:t>Eilės Nr.</w:t>
                            </w:r>
                          </w:p>
                        </w:tc>
                        <w:tc>
                          <w:tcPr>
                            <w:tcW w:w="1270" w:type="dxa"/>
                          </w:tcPr>
                          <w:p>
                            <w:pPr>
                              <w:tabs>
                                <w:tab w:val="left" w:pos="187"/>
                              </w:tabs>
                              <w:jc w:val="both"/>
                              <w:rPr>
                                <w:szCs w:val="24"/>
                              </w:rPr>
                            </w:pPr>
                            <w:r>
                              <w:rPr>
                                <w:szCs w:val="24"/>
                              </w:rPr>
                              <w:t>Bylos Nr.</w:t>
                            </w:r>
                          </w:p>
                        </w:tc>
                        <w:tc>
                          <w:tcPr>
                            <w:tcW w:w="5242" w:type="dxa"/>
                          </w:tcPr>
                          <w:p>
                            <w:pPr>
                              <w:tabs>
                                <w:tab w:val="left" w:pos="187"/>
                              </w:tabs>
                              <w:jc w:val="both"/>
                              <w:rPr>
                                <w:szCs w:val="24"/>
                              </w:rPr>
                            </w:pPr>
                            <w:r>
                              <w:rPr>
                                <w:szCs w:val="24"/>
                              </w:rPr>
                              <w:t>Bylos tipas ir teisena</w:t>
                            </w:r>
                          </w:p>
                        </w:tc>
                        <w:tc>
                          <w:tcPr>
                            <w:tcW w:w="2554" w:type="dxa"/>
                          </w:tcPr>
                          <w:p>
                            <w:pPr>
                              <w:tabs>
                                <w:tab w:val="left" w:pos="187"/>
                              </w:tabs>
                              <w:jc w:val="both"/>
                              <w:rPr>
                                <w:szCs w:val="24"/>
                              </w:rPr>
                            </w:pPr>
                            <w:r>
                              <w:rPr>
                                <w:szCs w:val="24"/>
                              </w:rPr>
                              <w:t>Bylos sustabdymo trukmė dienomis</w:t>
                            </w:r>
                          </w:p>
                        </w:tc>
                      </w:tr>
                      <w:tr>
                        <w:tc>
                          <w:tcPr>
                            <w:tcW w:w="710" w:type="dxa"/>
                          </w:tcPr>
                          <w:p>
                            <w:pPr>
                              <w:tabs>
                                <w:tab w:val="left" w:pos="187"/>
                              </w:tabs>
                              <w:jc w:val="both"/>
                              <w:rPr>
                                <w:szCs w:val="24"/>
                              </w:rPr>
                            </w:pPr>
                          </w:p>
                        </w:tc>
                        <w:tc>
                          <w:tcPr>
                            <w:tcW w:w="1270" w:type="dxa"/>
                          </w:tcPr>
                          <w:p>
                            <w:pPr>
                              <w:tabs>
                                <w:tab w:val="left" w:pos="187"/>
                              </w:tabs>
                              <w:jc w:val="both"/>
                              <w:rPr>
                                <w:szCs w:val="24"/>
                              </w:rPr>
                            </w:pPr>
                          </w:p>
                        </w:tc>
                        <w:tc>
                          <w:tcPr>
                            <w:tcW w:w="5242" w:type="dxa"/>
                          </w:tcPr>
                          <w:p>
                            <w:pPr>
                              <w:tabs>
                                <w:tab w:val="left" w:pos="187"/>
                              </w:tabs>
                              <w:jc w:val="both"/>
                              <w:rPr>
                                <w:szCs w:val="24"/>
                              </w:rPr>
                            </w:pPr>
                            <w:r>
                              <w:rPr>
                                <w:szCs w:val="24"/>
                              </w:rPr>
                              <w:t>Pvz., civilinė byla (ginčo teisena)</w:t>
                            </w:r>
                          </w:p>
                        </w:tc>
                        <w:tc>
                          <w:tcPr>
                            <w:tcW w:w="2554" w:type="dxa"/>
                          </w:tcPr>
                          <w:p>
                            <w:pPr>
                              <w:tabs>
                                <w:tab w:val="left" w:pos="187"/>
                              </w:tabs>
                              <w:jc w:val="both"/>
                              <w:rPr>
                                <w:szCs w:val="24"/>
                              </w:rPr>
                            </w:pPr>
                          </w:p>
                        </w:tc>
                      </w:tr>
                      <w:tr>
                        <w:tc>
                          <w:tcPr>
                            <w:tcW w:w="710" w:type="dxa"/>
                          </w:tcPr>
                          <w:p>
                            <w:pPr>
                              <w:tabs>
                                <w:tab w:val="left" w:pos="187"/>
                              </w:tabs>
                              <w:jc w:val="both"/>
                              <w:rPr>
                                <w:szCs w:val="24"/>
                              </w:rPr>
                            </w:pPr>
                          </w:p>
                        </w:tc>
                        <w:tc>
                          <w:tcPr>
                            <w:tcW w:w="1270" w:type="dxa"/>
                          </w:tcPr>
                          <w:p>
                            <w:pPr>
                              <w:tabs>
                                <w:tab w:val="left" w:pos="187"/>
                              </w:tabs>
                              <w:jc w:val="both"/>
                              <w:rPr>
                                <w:szCs w:val="24"/>
                              </w:rPr>
                            </w:pPr>
                          </w:p>
                        </w:tc>
                        <w:tc>
                          <w:tcPr>
                            <w:tcW w:w="5242" w:type="dxa"/>
                          </w:tcPr>
                          <w:p>
                            <w:pPr>
                              <w:tabs>
                                <w:tab w:val="left" w:pos="187"/>
                              </w:tabs>
                              <w:jc w:val="both"/>
                              <w:rPr>
                                <w:szCs w:val="24"/>
                              </w:rPr>
                            </w:pPr>
                            <w:r>
                              <w:rPr>
                                <w:szCs w:val="24"/>
                              </w:rPr>
                              <w:t>Pvz., administracinė byla</w:t>
                            </w:r>
                          </w:p>
                        </w:tc>
                        <w:tc>
                          <w:tcPr>
                            <w:tcW w:w="2554" w:type="dxa"/>
                          </w:tcPr>
                          <w:p>
                            <w:pPr>
                              <w:tabs>
                                <w:tab w:val="left" w:pos="187"/>
                              </w:tabs>
                              <w:jc w:val="both"/>
                              <w:rPr>
                                <w:b/>
                                <w:bCs/>
                                <w:szCs w:val="24"/>
                              </w:rPr>
                            </w:pPr>
                          </w:p>
                        </w:tc>
                      </w:tr>
                    </w:tbl>
                    <w:p>
                      <w:pPr>
                        <w:tabs>
                          <w:tab w:val="left" w:pos="187"/>
                        </w:tabs>
                        <w:jc w:val="both"/>
                        <w:rPr>
                          <w:szCs w:val="24"/>
                        </w:rPr>
                      </w:pPr>
                    </w:p>
                    <w:p>
                      <w:pPr>
                        <w:tabs>
                          <w:tab w:val="left" w:pos="187"/>
                        </w:tabs>
                        <w:jc w:val="both"/>
                        <w:rPr>
                          <w:szCs w:val="24"/>
                        </w:rPr>
                      </w:pPr>
                      <w:r>
                        <w:rPr>
                          <w:b/>
                          <w:bCs/>
                          <w:szCs w:val="24"/>
                        </w:rPr>
                        <w:t>Atvejai, susiję su ilgai užsitęsusiu bylų nagrinėjimu (ilgiau kaip metus nagrinėjamos baudžiamosios, civilinės ir administracinės bylos</w:t>
                      </w:r>
                      <w:r>
                        <w:rPr>
                          <w:szCs w:val="24"/>
                        </w:rPr>
                        <w:t xml:space="preserve"> </w:t>
                      </w:r>
                      <w:r>
                        <w:rPr>
                          <w:b/>
                          <w:bCs/>
                          <w:szCs w:val="24"/>
                        </w:rPr>
                        <w:t xml:space="preserve">bei ilgiau kaip pusę metų nagrinėjamos administracinių nusižengimų bylos), juos lėmusios apibendrintos priežastys ir jų vertinimas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
                  <w:sdtPr>
                    <w:alias w:val="pr. 3 p."/>
                    <w:tag w:val="part_6a707c11f0204449a95b4418d7922e73"/>
                    <w:lock w:val="sdtLocked"/>
                    <w:richText/>
                  </w:sdtPr>
                  <w:sdtContent>
                    <w:p>
                      <w:pPr>
                        <w:tabs>
                          <w:tab w:val="left" w:pos="187"/>
                        </w:tabs>
                        <w:jc w:val="both"/>
                        <w:rPr>
                          <w:i/>
                          <w:spacing w:val="5"/>
                          <w:szCs w:val="24"/>
                        </w:rPr>
                      </w:pPr>
                      <w:sdt>
                        <w:sdtPr>
                          <w:alias w:val="Numeris"/>
                          <w:tag w:val="nr_6a707c11f0204449a95b4418d7922e73"/>
                          <w:lock w:val="sdtLocked"/>
                          <w:richText/>
                        </w:sdtPr>
                        <w:sdtContent>
                          <w:r>
                            <w:rPr>
                              <w:b/>
                              <w:bCs/>
                              <w:szCs w:val="24"/>
                            </w:rPr>
                            <w:t>3</w:t>
                          </w:r>
                        </w:sdtContent>
                      </w:sdt>
                      <w:r>
                        <w:rPr>
                          <w:b/>
                          <w:bCs/>
                          <w:szCs w:val="24"/>
                        </w:rPr>
                        <w:t>. Procesinių sprendimų panaikinimo ir pakeitimo apibendrintos priežastys ir jų vertinimas</w:t>
                      </w:r>
                      <w:r>
                        <w:rPr>
                          <w:szCs w:val="24"/>
                        </w:rPr>
                        <w:t xml:space="preserve">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pripažintas padaręs administracinį teisės pažeidimą, numatytą Lietuvos Respublikos</w:t>
                      </w:r>
                      <w:r>
                        <w:rPr>
                          <w:i/>
                          <w:szCs w:val="24"/>
                        </w:rPr>
                        <w:t xml:space="preserve"> administracinių nusižengimų kodekso 115 straipsnį</w:t>
                      </w:r>
                      <w:r>
                        <w:rPr>
                          <w:sz w:val="16"/>
                          <w:szCs w:val="16"/>
                        </w:rPr>
                        <w:t xml:space="preserve"> </w:t>
                      </w:r>
                      <w:r>
                        <w:rPr>
                          <w:i/>
                          <w:iCs/>
                          <w:szCs w:val="24"/>
                        </w:rPr>
                        <w:t xml:space="preserve">ir </w:t>
                      </w:r>
                      <w:r>
                        <w:rPr>
                          <w:i/>
                          <w:color w:val="000000"/>
                          <w:szCs w:val="24"/>
                        </w:rPr>
                        <w:t xml:space="preserve">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0"/>
                          <w:tab w:val="left" w:pos="187"/>
                        </w:tabs>
                        <w:ind w:firstLine="62"/>
                        <w:jc w:val="both"/>
                        <w:rPr>
                          <w:szCs w:val="24"/>
                        </w:rPr>
                      </w:pPr>
                      <w:r>
                        <w:rPr>
                          <w:szCs w:val="24"/>
                        </w:rPr>
                        <w:t>Procesinių sprendimų aiškumas, logiškumas, kalbos raiška</w:t>
                      </w:r>
                      <w:r>
                        <w:rPr>
                          <w:szCs w:val="24"/>
                          <w:vertAlign w:val="superscript"/>
                        </w:rPr>
                        <w:footnoteReference w:id="1"/>
                      </w:r>
                      <w:r>
                        <w:rPr>
                          <w:szCs w:val="24"/>
                        </w:rPr>
                        <w:t xml:space="preserve">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shd w:val="clear" w:color="auto" w:fill="auto"/>
                          </w:tcPr>
                          <w:p>
                            <w:pPr>
                              <w:tabs>
                                <w:tab w:val="left" w:pos="187"/>
                              </w:tabs>
                              <w:rPr>
                                <w:szCs w:val="24"/>
                              </w:rPr>
                            </w:pPr>
                            <w:r>
                              <w:rPr>
                                <w:szCs w:val="24"/>
                              </w:rPr>
                              <w:t>Teisėjo priimami procesiniai sprendimai:</w:t>
                            </w:r>
                          </w:p>
                        </w:tc>
                        <w:tc>
                          <w:tcPr>
                            <w:tcW w:w="3402" w:type="dxa"/>
                            <w:shd w:val="clear" w:color="auto" w:fill="auto"/>
                          </w:tcPr>
                          <w:p>
                            <w:pPr>
                              <w:tabs>
                                <w:tab w:val="left" w:pos="187"/>
                              </w:tabs>
                              <w:rPr>
                                <w:szCs w:val="24"/>
                              </w:rPr>
                            </w:pPr>
                            <w:r>
                              <w:rPr>
                                <w:szCs w:val="24"/>
                              </w:rPr>
                              <w:t>Pažymėti tinkamą variantą:</w:t>
                            </w:r>
                          </w:p>
                        </w:tc>
                        <w:tc>
                          <w:tcPr>
                            <w:tcW w:w="3402" w:type="dxa"/>
                            <w:shd w:val="clear" w:color="auto" w:fill="auto"/>
                          </w:tcPr>
                          <w:p>
                            <w:pPr>
                              <w:tabs>
                                <w:tab w:val="left" w:pos="34"/>
                              </w:tabs>
                              <w:ind w:left="34"/>
                              <w:rPr>
                                <w:szCs w:val="24"/>
                              </w:rPr>
                            </w:pPr>
                            <w:r>
                              <w:rPr>
                                <w:szCs w:val="24"/>
                              </w:rPr>
                              <w:t xml:space="preserve">Pastabos, komentarai </w:t>
                            </w:r>
                            <w:r>
                              <w:rPr>
                                <w:i/>
                                <w:szCs w:val="24"/>
                              </w:rPr>
                              <w:t>(pateikti, jei pažymima „labiau taip nei ne“, „labiau ne nei taip“, „ne“ , „kita“ arba esant poreikiui)</w:t>
                            </w:r>
                          </w:p>
                        </w:tc>
                      </w:tr>
                      <w:tr>
                        <w:tc>
                          <w:tcPr>
                            <w:tcW w:w="3085" w:type="dxa"/>
                            <w:shd w:val="clear" w:color="auto" w:fill="auto"/>
                          </w:tcPr>
                          <w:p>
                            <w:pPr>
                              <w:tabs>
                                <w:tab w:val="left" w:pos="187"/>
                              </w:tabs>
                              <w:rPr>
                                <w:szCs w:val="24"/>
                              </w:rPr>
                            </w:pPr>
                            <w:r>
                              <w:rPr>
                                <w:szCs w:val="24"/>
                              </w:rPr>
                              <w:t>aiškūs, suprantami, argumentuoti, motyvuoti, logiški, nuoseklūs</w:t>
                            </w:r>
                          </w:p>
                        </w:tc>
                        <w:tc>
                          <w:tcPr>
                            <w:tcW w:w="3402" w:type="dxa"/>
                            <w:shd w:val="clear" w:color="auto" w:fill="auto"/>
                          </w:tcPr>
                          <w:p>
                            <w:pPr>
                              <w:tabs>
                                <w:tab w:val="left" w:pos="459"/>
                              </w:tabs>
                              <w:jc w:val="both"/>
                              <w:rPr>
                                <w:szCs w:val="24"/>
                              </w:rPr>
                            </w:pPr>
                            <w:r>
                              <w:rPr>
                                <w:szCs w:val="24"/>
                                <w:lang w:eastAsia="lt-LT"/>
                              </w:rPr>
                              <mc:AlternateContent>
                                <mc:Choice Requires="wps">
                                  <w:drawing>
                                    <wp:anchor distT="0" distB="0" distL="114300" distR="114300" simplePos="0" relativeHeight="251670528"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2" name="Stačiakamp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4" o:spid="_x0000_s1026" style="position:absolute;margin-left:2.95pt;margin-top:2.75pt;width:10.5pt;height: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IdXP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cec WTAk0SrC0w8FD2C8CmwyT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KAh1c8pAgAAQA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76672"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7"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22RpKQIAAEAEAAAOAAAAZHJzL2Uyb0RvYy54bWysU9tuEzEQfUfiHyy/k83mQtpVN1WVUoRU oFLhAyZeb9aqb4ydbMo/8Ff9MMbeNKTAE8IPlsczPp45Z+bicm8020kMytmal6MxZ9IK1yi7qfnX LzdvzjgLEWwD2llZ80cZ+OXy9auL3ldy4jqnG4mMQGyoel/zLkZfFUUQnTQQRs5LS87WoYFIJm6K BqEndKOLyXj8tugdNh6dkCHQ7fXg5MuM37ZSxM9tG2RkuuaUW8w75n2d9mJ5AdUGwXdKHNKAf8jC gLL06RHqGiKwLao/oIwS6IJr40g4U7i2VULmGqiacvxbNfcdeJlrIXKCP9IU/h+s+LS7Q6aami84 s2BIovsITz8UPIDxKrDpNHHU+1BR6L2/w1Rl8LdOPARm3aoDu5FXiK7vJDSUWZniixcPkhHoKVv3 H11DX8A2ukzXvkWTAIkIts+qPB5VkfvIBF2W0+l0TtoJcpXj2WIxzz9A9fzYY4jvpTMsHWqOJHoG h91tiCkZqJ5DcvJOq+ZGaZ0N3KxXGtkOqEFu8jqgh9MwbVlf8/P5ZJ6RX/jCKcQ4r79BGBWp07Uy NT87BkGVWHtnm9yHEZQezpSytgcaE3ODAmvXPBKL6IY2prGjQ+fwO2c9tXDNw7ctoORMf7CkxHk5 m6Wez8ZsvpiQgaee9akHrCComkfOhuMqDnOy9ag2Hf1U5tqtuyL1WpWZTcoOWR2SpTbNhB9GKs3B qZ2jfg3+8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322RpKQIAAEA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77696"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8"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fknCJwIAAEAEAAAOAAAAZHJzL2Uyb0RvYy54bWysU9tuEzEQfUfiHyy/093NhdJVNlXVUoRU oFLgAyZeb9aqb4ydbMo/8Fd8GGNvGlLgCeEHy+MZH8+cM7O43BvNdhKDcrbh1VnJmbTCtcpuGv7l 8+2rN5yFCLYF7axs+KMM/HL58sVi8LWcuN7pViIjEBvqwTe8j9HXRRFELw2EM+elJWfn0EAkEzdF izAQutHFpCxfF4PD1qMTMgS6vRmdfJnxu06K+KnrgoxMN5xyi3nHvK/TXiwXUG8QfK/EIQ34hywM KEufHqFuIALbovoDyiiBLrgunglnCtd1SshcA1VTlb9Vs+rBy1wLkRP8kabw/2DFx909MtU2nISy YEiiVYQf3xU8gPEqsOk0cTT4UFPoyt9jqjL4OyceArPuuge7kVeIbugltJRZleKLZw+SEegpWw8f XEtfwDa6TNe+Q5MAiQi2z6o8HlWR+8gEXVbT6XRO2glyVeXs/Hyef4D66bHHEN9JZ1g6NBxJ9AwO u7sQUzJQP4Xk5J1W7a3SOhu4WV9rZDugBrnN64AeTsO0ZUPDL+aTeUZ+5gunEGVef4MwKlKna2WI 6mMQ1Im1t7bNfRhB6fFMKWt7oDExNyqwdu0jsYhubGMaOzr0Dr9xNlALNzx83QJKzvR7S0pcVLNZ 6vlszObnEzLw1LM+9YAVBNXwyNl4vI7jnGw9qk1PP1W5duuuSL1OZWaTsmNWh2SpTTPhh5FKc3Bq 56hfg7/8CQAA//8DAFBLAwQUAAYACAAAACEA8ZRWmtoAAAAFAQAADwAAAGRycy9kb3ducmV2Lnht bEyOwU7DMBBE70j8g7VI3KhDgEJDnAqBisSxTS/cNvGSBOJ1FDtt4OtZTuU0Gs1o5uXr2fXqQGPo PBu4XiSgiGtvO24M7MvN1QOoEJEt9p7JwDcFWBfnZzlm1h95S4ddbJSMcMjQQBvjkGkd6pYchoUf iCX78KPDKHZstB3xKOOu12mSLLXDjuWhxYGeW6q/dpMzUHXpHn+25WviVpub+DaXn9P7izGXF/PT I6hIczyV4Q9f0KEQpspPbIPqDdytpGjgNgUlaboUW4km96CLXP+nL34BAAD//wMAUEsBAi0AFAAG AAgAAAAhALaDOJL+AAAA4QEAABMAAAAAAAAAAAAAAAAAAAAAAFtDb250ZW50X1R5cGVzXS54bWxQ SwECLQAUAAYACAAAACEAOP0h/9YAAACUAQAACwAAAAAAAAAAAAAAAAAvAQAAX3JlbHMvLnJlbHNQ SwECLQAUAAYACAAAACEAJX5JwicCAABABAAADgAAAAAAAAAAAAAAAAAuAgAAZHJzL2Uyb0RvYy54 bWxQSwECLQAUAAYACAAAACEA8ZRWmtoAAAAFAQAADwAAAAAAAAAAAAAAAACBBAAAZHJzL2Rvd25y ZXYueG1sUEsFBgAAAAAEAAQA8wAAAIgFAAAAAA== "/>
                                  </w:pict>
                                </mc:Fallback>
                              </mc:AlternateContent>
                            </w:r>
                            <w:r>
                              <w:rPr>
                                <w:szCs w:val="24"/>
                              </w:rPr>
                              <w:t xml:space="preserve">        Labiau ne nei taip</w:t>
                            </w:r>
                          </w:p>
                          <w:p>
                            <w:pPr>
                              <w:tabs>
                                <w:tab w:val="left" w:pos="459"/>
                              </w:tabs>
                              <w:jc w:val="both"/>
                              <w:rPr>
                                <w:szCs w:val="24"/>
                              </w:rPr>
                            </w:pPr>
                            <w:r>
                              <w:rPr>
                                <w:szCs w:val="24"/>
                                <w:lang w:eastAsia="lt-LT"/>
                              </w:rPr>
                              <mc:AlternateContent>
                                <mc:Choice Requires="wps">
                                  <w:drawing>
                                    <wp:anchor distT="0" distB="0" distL="114300" distR="114300" simplePos="0" relativeHeight="251671552"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9"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Ye34KA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85 s2BIolWEpx8KHsB4FdhkkjjqfagodOXvMVUZ/J0TD4FZt+zAbuQ1ous7CQ1lVqb44sWDZAR6ytb9 R9fQF7CNLtO1b9EkQCKC7bMqj0dV5D4yQZflZDKZkXaCXOVoen4+yz9A9fzYY4jvpTMsHWqOJHoG h91diCkZqJ5DcvJOq+ZWaZ0N3KyXGtkOqEFu8zqgh9MwbVlPFM3Gs4z8whdOIUZ5/Q3CqEidrpWp +cUxCKrE2jvb5D6MoPRwppS1PdCYmBsUWLvmkVhEN7QxjR0dOoffOeuphWsevm0BJWf6gyUlLsvp NPV8Nqaz8zEZeOpZn3rACoKqeeRsOC7jMCdbj2rT0U9lrt26a1KvVZnZpOyQ1SFZatNM+GGk0hyc 2jnq1+AvfgIAAP//AwBQSwMEFAAGAAgAAAAhAPGUVpraAAAABQEAAA8AAABkcnMvZG93bnJldi54 bWxMjsFOwzAQRO9I/IO1SNyoQ4BCQ5wKgYrEsU0v3DbxkgTidRQ7beDrWU7lNBrNaObl69n16kBj 6DwbuF4koIhrbztuDOzLzdUDqBCRLfaeycA3BVgX52c5ZtYfeUuHXWyUjHDI0EAb45BpHeqWHIaF H4gl+/Cjwyh2bLQd8Sjjrtdpkiy1w47locWBnluqv3aTM1B16R5/tuVr4labm/g2l5/T+4sxlxfz 0yOoSHM8leEPX9ChEKbKT2yD6g3craRo4DYFJWm6FFuJJvegi1z/py9+AQAA//8DAFBLAQItABQA BgAIAAAAIQC2gziS/gAAAOEBAAATAAAAAAAAAAAAAAAAAAAAAABbQ29udGVudF9UeXBlc10ueG1s UEsBAi0AFAAGAAgAAAAhADj9If/WAAAAlAEAAAsAAAAAAAAAAAAAAAAALwEAAF9yZWxzLy5yZWxz UEsBAi0AFAAGAAgAAAAhAIBh7fgoAgAAQAQAAA4AAAAAAAAAAAAAAAAALgIAAGRycy9lMm9Eb2Mu eG1sUEsBAi0AFAAGAAgAAAAhAPGUVpraAAAABQEAAA8AAAAAAAAAAAAAAAAAggQAAGRycy9kb3du cmV2LnhtbFBLBQYAAAAABAAEAPMAAACJBQ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72576"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10" name="Stačiakampi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2" o:spid="_x0000_s1026" style="position:absolute;margin-left:2.95pt;margin-top:2.2pt;width:10.5pt;height: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rdGHKAIAAEEEAAAOAAAAZHJzL2Uyb0RvYy54bWysU9tuEzEQfUfiHyy/083mQttVNlWVUoRU oFLgAyZeb9aqb4ydbMo/8Ff9MMbeNKTAE8IPlsczPj5zZmZ+tTea7SQG5WzNy7MRZ9IK1yi7qfnX L7dvLjgLEWwD2llZ80cZ+NXi9at57ys5dp3TjURGIDZUva95F6OviiKIThoIZ85LS87WoYFIJm6K BqEndKOL8Wj0tugdNh6dkCHQ7c3g5IuM37ZSxM9tG2RkuubELeYd875Oe7GYQ7VB8J0SBxrwDywM KEufHqFuIALbovoDyiiBLrg2nglnCte2SsicA2VTjn7LZtWBlzkXEif4o0zh/8GKT7t7ZKqh2pE8 FgzVaBXh6YeCBzBeBTYZJ5F6HyqKXfl7TGkGf+fEQ2DWLTuwG3mN6PpOQkPUyhRfvHiQjEBP2br/ 6Br6ArbRZb32LZoESEqwfS7L47Esch+ZoMtyMpnMiJ0gVzmanp/P8g9QPT/2GOJ76QxLh5ojVT2D w+4uxEQGqueQTN5p1dwqrbOBm/VSI9sBdchtXgf0cBqmLetrfjkbzzLyC184hRjl9TcIoyK1ulam 5hfHIKiSau9skxsxgtLDmShre5AxKTdUYO2aR1IR3dDHNHd06Bx+56ynHq55+LYFlJzpD5YqcVlO p6npszGdnY/JwFPP+tQDVhBUzSNnw3EZh0HZelSbjn4qc+7WXVP1WpWVTZUdWB3IUp9mwQ8zlQbh 1M5RvyZ/8RMAAP//AwBQSwMEFAAGAAgAAAAhABT4/MLaAAAABQEAAA8AAABkcnMvZG93bnJldi54 bWxMjsFOwzAQRO9I/IO1SNyoTSgVSeNUCFQkjm164ebES5ISr6PYaQNfz3Iqp9FoRjMv38yuFycc Q+dJw/1CgUCqve2o0XAot3dPIEI0ZE3vCTV8Y4BNcX2Vm8z6M+3wtI+N4BEKmdHQxjhkUoa6RWfC wg9InH360ZnIdmykHc2Zx10vE6VW0pmO+KE1A760WH/tJ6eh6pKD+dmVb8ql24f4PpfH6eNV69ub +XkNIuIcL2X4w2d0KJip8hPZIHoNjykXNSyXIDhNVmwrVpWCLHL5n774BQAA//8DAFBLAQItABQA BgAIAAAAIQC2gziS/gAAAOEBAAATAAAAAAAAAAAAAAAAAAAAAABbQ29udGVudF9UeXBlc10ueG1s UEsBAi0AFAAGAAgAAAAhADj9If/WAAAAlAEAAAsAAAAAAAAAAAAAAAAALwEAAF9yZWxzLy5yZWxz UEsBAi0AFAAGAAgAAAAhAP2t0YcoAgAAQQQAAA4AAAAAAAAAAAAAAAAALgIAAGRycy9lMm9Eb2Mu eG1sUEsBAi0AFAAGAAgAAAAhABT4/MLaAAAABQEAAA8AAAAAAAAAAAAAAAAAggQAAGRycy9kb3du cmV2LnhtbFBLBQYAAAAABAAEAPMAAACJBQ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3085" w:type="dxa"/>
                            <w:shd w:val="clear" w:color="auto" w:fill="auto"/>
                          </w:tcPr>
                          <w:p>
                            <w:pPr>
                              <w:tabs>
                                <w:tab w:val="left" w:pos="187"/>
                              </w:tabs>
                              <w:jc w:val="both"/>
                              <w:rPr>
                                <w:szCs w:val="24"/>
                              </w:rPr>
                            </w:pPr>
                            <w:r>
                              <w:rPr>
                                <w:szCs w:val="24"/>
                              </w:rPr>
                              <w:t>sprendimų kalba raiški, laikomasi bendrinės kalbos normų</w:t>
                            </w:r>
                          </w:p>
                        </w:tc>
                        <w:tc>
                          <w:tcPr>
                            <w:tcW w:w="3402" w:type="dxa"/>
                            <w:shd w:val="clear" w:color="auto" w:fill="auto"/>
                          </w:tcPr>
                          <w:p>
                            <w:pPr>
                              <w:tabs>
                                <w:tab w:val="left" w:pos="187"/>
                              </w:tabs>
                              <w:jc w:val="both"/>
                              <w:rPr>
                                <w:szCs w:val="24"/>
                              </w:rPr>
                            </w:pPr>
                            <w:r>
                              <w:rPr>
                                <w:szCs w:val="24"/>
                                <w:lang w:eastAsia="lt-LT"/>
                              </w:rPr>
                              <mc:AlternateContent>
                                <mc:Choice Requires="wps">
                                  <w:drawing>
                                    <wp:anchor distT="0" distB="0" distL="114300" distR="114300" simplePos="0" relativeHeight="251673600"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11" name="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8" o:spid="_x0000_s1026" style="position:absolute;margin-left:2.95pt;margin-top:2.75pt;width:10.5pt;height:8.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EgnTKQIAAEEEAAAOAAAAZHJzL2Uyb0RvYy54bWysU11uEzEQfkfiDpbf6WbThKarbqqqJQip QKXAASZeb9aq/xg72YQ7cKsejLE3DSnwhPCD5fGMP89838zV9c5otpUYlLM1L89GnEkrXKPsuuZf vyzezDgLEWwD2llZ870M/Hr++tVV7ys5dp3TjURGIDZUva95F6OviiKIThoIZ85LS87WoYFIJq6L BqEndKOL8Wj0tugdNh6dkCHQ7d3g5POM37ZSxM9tG2RkuuaUW8w75n2V9mJ+BdUawXdKHNKAf8jC gLL06RHqDiKwDao/oIwS6IJr45lwpnBtq4TMNVA15ei3apYdeJlrIXKCP9IU/h+s+LR9QKYa0q7k zIIhjZYRnn4oeATjVWDjWSKp96Gi2KV/wFRm8PdOPAZm3W0Hdi1vEF3fSWgotTLFFy8eJCPQU7bq P7qGvoBNdJmvXYsmARITbJdl2R9lkbvIBF2W5+fnUxJPkKscTS4upvkHqJ4fewzxvXSGpUPNkVTP 4LC9DzElA9VzSE7eadUslNbZwPXqViPbAnXIIq8DejgN05b1Nb+cjqcZ+YUvnEKM8vobhFGRWl0r U/PZMQiqxNo72+RGjKD0cKaUtT3QmJgbFFi5Zk8sohv6mOaODp3D75z11MM1D982gJIz/cGSEpfl ZJKaPhuT6cWYDDz1rE49YAVB1TxyNhxv4zAoG49q3dFPZa7duhtSr1WZ2aTskNUhWerTTPhhptIg nNo56tfkz38C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MsSCdMpAgAAQQ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78720"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2"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8Pj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m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NF8Pj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79744"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3"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CGfZ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h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oCGfZKQIAAEEEAAAOAAAAAAAAAAAAAAAAAC4CAABkcnMvZTJvRG9j LnhtbFBLAQItABQABgAIAAAAIQDxlFaa2gAAAAUBAAAPAAAAAAAAAAAAAAAAAIMEAABkcnMvZG93 bnJldi54bWxQSwUGAAAAAAQABADzAAAAigUAAAAA "/>
                                  </w:pict>
                                </mc:Fallback>
                              </mc:AlternateContent>
                            </w:r>
                            <w:r>
                              <w:rPr>
                                <w:szCs w:val="24"/>
                              </w:rPr>
                              <w:t xml:space="preserve">        Labiau ne nei taip</w:t>
                            </w:r>
                          </w:p>
                          <w:p>
                            <w:pPr>
                              <w:tabs>
                                <w:tab w:val="left" w:pos="187"/>
                              </w:tabs>
                              <w:jc w:val="both"/>
                              <w:rPr>
                                <w:szCs w:val="24"/>
                              </w:rPr>
                            </w:pPr>
                            <w:r>
                              <w:rPr>
                                <w:szCs w:val="24"/>
                                <w:lang w:eastAsia="lt-LT"/>
                              </w:rPr>
                              <mc:AlternateContent>
                                <mc:Choice Requires="wps">
                                  <w:drawing>
                                    <wp:anchor distT="0" distB="0" distL="114300" distR="114300" simplePos="0" relativeHeight="251674624"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4" name="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7" o:spid="_x0000_s1026" style="position:absolute;margin-left:2.95pt;margin-top:2.1pt;width:10.5pt;height:8.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wWz/KQIAAEEEAAAOAAAAZHJzL2Uyb0RvYy54bWysU11uEzEQfkfiDpbfyWbThLSrbqoqpQip QKXAASZeb9aq/xg72ZQ7cKsejLE3DSnwhPCD5fGMP89838zl1d5otpMYlLM1L0djzqQVrlF2U/Ov X27fnHMWItgGtLOy5o8y8KvF61eXva/kxHVONxIZgdhQ9b7mXYy+KoogOmkgjJyXlpytQwORTNwU DUJP6EYXk/H4bdE7bDw6IUOg25vByRcZv22liJ/bNsjIdM0pt5h3zPs67cXiEqoNgu+UOKQB/5CF AWXp0yPUDURgW1R/QBkl0AXXxpFwpnBtq4TMNVA15fi3alYdeJlrIXKCP9IU/h+s+LS7R6Ya0m7K mQVDGq0iPP1Q8ADGq8Am80RS70NFsSt/j6nM4O+ceAjMumUHdiOvEV3fSWgotTLFFy8eJCPQU7bu P7qGvoBtdJmvfYsmARITbJ9leTzKIveRCbosz87OZiSeIFc5ns7ns/wDVM+PPYb4XjrD0qHmSKpn cNjdhZiSgeo5JCfvtGpuldbZwM16qZHtgDrkNq8DejgN05b1Nb+YTWYZ+YUvnEKM8/obhFGRWl0r U/PzYxBUibV3tsmNGEHp4Uwpa3ugMTE3KLB2zSOxiG7oY5o7OnQOv3PWUw/XPHzbAkrO9AdLSlyU 02lq+mxMZ/MJGXjqWZ96wAqCqnnkbDgu4zAoW49q09FPZa7dumtSr1WZ2aTskNUhWerTTPhhptIg nNo56tfkL34C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MwWz/KQIAAEEEAAAOAAAAAAAAAAAAAAAAAC4CAABkcnMvZTJvRG9j LnhtbFBLAQItABQABgAIAAAAIQDxlFaa2gAAAAUBAAAPAAAAAAAAAAAAAAAAAIMEAABkcnMvZG93 bnJldi54bWxQSwUGAAAAAAQABADzAAAAigU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75648"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17"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6" o:spid="_x0000_s1026" style="position:absolute;margin-left:2.95pt;margin-top:2.2pt;width:10.5pt;height: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ZNqhKQIAAEEEAAAOAAAAZHJzL2Uyb0RvYy54bWysU11uEzEQfkfiDpbfyWbTpGlX3VRVShFS gUqBA0y83qxV/zF2sil34FYcjLE3DSnwhPCD5fGMP89838zV9d5otpMYlLM1L0djzqQVrlF2U/Mv n+/eXHAWItgGtLOy5k8y8OvF61dXva/kxHVONxIZgdhQ9b7mXYy+KoogOmkgjJyXlpytQwORTNwU DUJP6EYXk/H4vOgdNh6dkCHQ7e3g5IuM37ZSxE9tG2RkuuaUW8w75n2d9mJxBdUGwXdKHNKAf8jC gLL06RHqFiKwLao/oIwS6IJr40g4U7i2VULmGqiacvxbNasOvMy1EDnBH2kK/w9WfNw9IFMNaTfn zIIhjVYRfnxX8AjGq8Am54mk3oeKYlf+AVOZwd878RiYdcsO7EbeILq+k9BQamWKL148SEagp2zd f3ANfQHb6DJf+xZNAiQm2D7L8nSURe4jE3RZnp2dzUg8Qa5yPJ3PZ/kHqJ4fewzxnXSGpUPNkVTP 4LC7DzElA9VzSE7eadXcKa2zgZv1UiPbAXXIXV4H9HAapi3ra345m8wy8gtfOIUY5/U3CKMitbpW puYXxyCoEmtvbZMbMYLSw5lS1vZAY2JuUGDtmidiEd3QxzR3dOgcfuOspx6uefi6BZSc6feWlLgs p9PU9NmYzuYTMvDUsz71gBUEVfPI2XBcxmFQth7VpqOfyly7dTekXqsys0nZIatDstSnmfDDTKVB OLVz1K/JX/wEAAD//wMAUEsDBBQABgAIAAAAIQAU+PzC2gAAAAUBAAAPAAAAZHJzL2Rvd25yZXYu eG1sTI7BTsMwEETvSPyDtUjcqE0oFUnjVAhUJI5teuHmxEuSEq+j2GkDX89yKqfRaEYzL9/Mrhcn HEPnScP9QoFAqr3tqNFwKLd3TyBCNGRN7wk1fGOATXF9lZvM+jPt8LSPjeARCpnR0MY4ZFKGukVn wsIPSJx9+tGZyHZspB3NmcddLxOlVtKZjvihNQO+tFh/7SenoeqSg/nZlW/KpduH+D6Xx+njVevb m/l5DSLiHC9l+MNndCiYqfIT2SB6DY8pFzUslyA4TVZsK1aVgixy+Z+++AUAAP//AwBQSwECLQAU AAYACAAAACEAtoM4kv4AAADhAQAAEwAAAAAAAAAAAAAAAAAAAAAAW0NvbnRlbnRfVHlwZXNdLnht bFBLAQItABQABgAIAAAAIQA4/SH/1gAAAJQBAAALAAAAAAAAAAAAAAAAAC8BAABfcmVscy8ucmVs c1BLAQItABQABgAIAAAAIQBZZNqhKQIAAEEEAAAOAAAAAAAAAAAAAAAAAC4CAABkcnMvZTJvRG9j LnhtbFBLAQItABQABgAIAAAAIQAU+PzC2gAAAAUBAAAPAAAAAAAAAAAAAAAAAIMEAABkcnMvZG93 bnJldi54bWxQSwUGAAAAAAQABADzAAAAigU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9889" w:type="dxa"/>
                            <w:gridSpan w:val="3"/>
                            <w:shd w:val="clear" w:color="auto" w:fill="auto"/>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4 p."/>
                    <w:tag w:val="part_8f54ea478e654cc0be9622a5ab016edf"/>
                    <w:lock w:val="sdtLocked"/>
                    <w:richText/>
                  </w:sdtPr>
                  <w:sdtContent>
                    <w:p>
                      <w:pPr>
                        <w:tabs>
                          <w:tab w:val="left" w:pos="187"/>
                        </w:tabs>
                        <w:jc w:val="both"/>
                        <w:rPr>
                          <w:szCs w:val="24"/>
                        </w:rPr>
                      </w:pPr>
                      <w:sdt>
                        <w:sdtPr>
                          <w:alias w:val="Numeris"/>
                          <w:tag w:val="nr_8f54ea478e654cc0be9622a5ab016edf"/>
                          <w:lock w:val="sdtLocked"/>
                          <w:richText/>
                        </w:sdtPr>
                        <w:sdtContent>
                          <w:r>
                            <w:rPr>
                              <w:b/>
                              <w:bCs/>
                              <w:szCs w:val="24"/>
                            </w:rPr>
                            <w:t>4</w:t>
                          </w:r>
                        </w:sdtContent>
                      </w:sdt>
                      <w:r>
                        <w:rPr>
                          <w:b/>
                          <w:bCs/>
                          <w:szCs w:val="24"/>
                        </w:rPr>
                        <w:t>. Teisėjo vadovavimo procesui kokybė ir darbo organizavimo gebėjimai:</w:t>
                      </w:r>
                      <w:r>
                        <w:rPr>
                          <w:szCs w:val="24"/>
                        </w:rPr>
                        <w:t xml:space="preserve"> (</w:t>
                      </w:r>
                      <w:r>
                        <w:rPr>
                          <w:i/>
                          <w:szCs w:val="24"/>
                        </w:rPr>
                        <w:t>įrašyti prašomą informaciją ir pažymėti tinkamą variantą)</w:t>
                      </w:r>
                      <w:r>
                        <w:rPr>
                          <w:szCs w:val="24"/>
                        </w:rPr>
                        <w:t>:</w:t>
                      </w:r>
                    </w:p>
                    <w:sdt>
                      <w:sdtPr>
                        <w:alias w:val="pr. 4.1 pp."/>
                        <w:tag w:val="part_5978480cf53f47ef88e476f038dc142b"/>
                        <w:lock w:val="sdtLocked"/>
                        <w:richText/>
                      </w:sdtPr>
                      <w:sdtContent>
                        <w:p>
                          <w:pPr>
                            <w:tabs>
                              <w:tab w:val="left" w:pos="187"/>
                            </w:tabs>
                            <w:jc w:val="both"/>
                            <w:rPr>
                              <w:szCs w:val="24"/>
                            </w:rPr>
                          </w:pPr>
                          <w:sdt>
                            <w:sdtPr>
                              <w:alias w:val="Numeris"/>
                              <w:tag w:val="nr_5978480cf53f47ef88e476f038dc142b"/>
                              <w:lock w:val="sdtLocked"/>
                              <w:richText/>
                            </w:sdtPr>
                            <w:sdtContent>
                              <w:r>
                                <w:rPr>
                                  <w:b/>
                                  <w:bCs/>
                                  <w:szCs w:val="24"/>
                                </w:rPr>
                                <w:t>4.1</w:t>
                              </w:r>
                            </w:sdtContent>
                          </w:sdt>
                          <w:r>
                            <w:rPr>
                              <w:b/>
                              <w:bCs/>
                              <w:szCs w:val="24"/>
                            </w:rPr>
                            <w:t>.</w:t>
                          </w:r>
                          <w:r>
                            <w:rPr>
                              <w:szCs w:val="24"/>
                            </w:rPr>
                            <w:t xml:space="preserve"> Išklausytų teismo posėdžių garso įrašų ir/ar stebėtų teismo posėdžių datos ir bylų numeriai, pagal kuriuos buvo padarytos išvados dėl teisėjo vadovavimo procesui kokybės: </w:t>
                          </w:r>
                        </w:p>
                        <w:p>
                          <w:pPr>
                            <w:tabs>
                              <w:tab w:val="left" w:pos="187"/>
                            </w:tabs>
                            <w:jc w:val="both"/>
                            <w:rPr>
                              <w:szCs w:val="24"/>
                            </w:rPr>
                          </w:pPr>
                          <w:r>
                            <w:rPr>
                              <w:szCs w:val="24"/>
                            </w:rPr>
                            <w:t>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864"/>
                            <w:gridCol w:w="3940"/>
                          </w:tblGrid>
                          <w:tr>
                            <w:tc>
                              <w:tcPr>
                                <w:tcW w:w="3085" w:type="dxa"/>
                              </w:tcPr>
                              <w:p>
                                <w:pPr>
                                  <w:tabs>
                                    <w:tab w:val="left" w:pos="187"/>
                                  </w:tabs>
                                  <w:jc w:val="both"/>
                                  <w:rPr>
                                    <w:szCs w:val="24"/>
                                  </w:rPr>
                                </w:pPr>
                                <w:r>
                                  <w:rPr>
                                    <w:szCs w:val="24"/>
                                  </w:rPr>
                                  <w:t>Teisėjas, vadovaudamas procesui:</w:t>
                                </w:r>
                              </w:p>
                            </w:tc>
                            <w:tc>
                              <w:tcPr>
                                <w:tcW w:w="2864" w:type="dxa"/>
                              </w:tcPr>
                              <w:p>
                                <w:pPr>
                                  <w:tabs>
                                    <w:tab w:val="left" w:pos="187"/>
                                  </w:tabs>
                                  <w:rPr>
                                    <w:szCs w:val="24"/>
                                  </w:rPr>
                                </w:pPr>
                                <w:r>
                                  <w:rPr>
                                    <w:szCs w:val="24"/>
                                  </w:rPr>
                                  <w:t>Pažymėti tinkamą variantą:</w:t>
                                </w:r>
                              </w:p>
                            </w:tc>
                            <w:tc>
                              <w:tcPr>
                                <w:tcW w:w="3940"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ind w:firstLine="62"/>
                            <w:jc w:val="both"/>
                            <w:rPr>
                              <w:szCs w:val="24"/>
                            </w:rPr>
                          </w:pPr>
                          <w:r>
                            <w:rPr>
                              <w:szCs w:val="24"/>
                            </w:rPr>
                            <w:t xml:space="preserve">[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
                      <w:sdtPr>
                        <w:alias w:val="pr. 4.2 pp."/>
                        <w:tag w:val="part_4955d129074b42acba2bf597587563d9"/>
                        <w:lock w:val="sdtLocked"/>
                        <w:richText/>
                      </w:sdtPr>
                      <w:sdtContent>
                        <w:p>
                          <w:pPr>
                            <w:tabs>
                              <w:tab w:val="left" w:pos="187"/>
                            </w:tabs>
                            <w:jc w:val="both"/>
                            <w:rPr>
                              <w:szCs w:val="24"/>
                            </w:rPr>
                          </w:pPr>
                          <w:sdt>
                            <w:sdtPr>
                              <w:alias w:val="Numeris"/>
                              <w:tag w:val="nr_4955d129074b42acba2bf597587563d9"/>
                              <w:lock w:val="sdtLocked"/>
                              <w:richText/>
                            </w:sdtPr>
                            <w:sdtContent>
                              <w:r>
                                <w:rPr>
                                  <w:b/>
                                  <w:bCs/>
                                  <w:szCs w:val="24"/>
                                </w:rPr>
                                <w:t>4.2</w:t>
                              </w:r>
                            </w:sdtContent>
                          </w:sdt>
                          <w:r>
                            <w:rPr>
                              <w:b/>
                              <w:bCs/>
                              <w:szCs w:val="24"/>
                            </w:rPr>
                            <w:t>.</w:t>
                          </w:r>
                          <w:r>
                            <w:rPr>
                              <w:szCs w:val="24"/>
                            </w:rPr>
                            <w:t xml:space="preserve"> Teisėjo darbo organizavimo gebėjimai: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864"/>
                            <w:gridCol w:w="3940"/>
                          </w:tblGrid>
                          <w:tr>
                            <w:tc>
                              <w:tcPr>
                                <w:tcW w:w="2977" w:type="dxa"/>
                              </w:tcPr>
                              <w:p>
                                <w:pPr>
                                  <w:tabs>
                                    <w:tab w:val="left" w:pos="187"/>
                                  </w:tabs>
                                  <w:jc w:val="both"/>
                                  <w:rPr>
                                    <w:szCs w:val="24"/>
                                  </w:rPr>
                                </w:pPr>
                                <w:r>
                                  <w:rPr>
                                    <w:szCs w:val="24"/>
                                  </w:rPr>
                                  <w:t>Teisėjas darbą organizuoja:</w:t>
                                </w:r>
                              </w:p>
                            </w:tc>
                            <w:tc>
                              <w:tcPr>
                                <w:tcW w:w="2864" w:type="dxa"/>
                              </w:tcPr>
                              <w:p>
                                <w:pPr>
                                  <w:tabs>
                                    <w:tab w:val="left" w:pos="187"/>
                                  </w:tabs>
                                  <w:rPr>
                                    <w:szCs w:val="24"/>
                                  </w:rPr>
                                </w:pPr>
                                <w:r>
                                  <w:rPr>
                                    <w:szCs w:val="24"/>
                                  </w:rPr>
                                  <w:t>Pažymėti tinkamą variantą:</w:t>
                                </w:r>
                              </w:p>
                            </w:tc>
                            <w:tc>
                              <w:tcPr>
                                <w:tcW w:w="3940"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t xml:space="preserve">tinkamai planuodamas ir organizuodamas teismo procesą, atskirų procesinių veiksmų atlikimą, rasdamas balansą tarp greito ir kokybiško bylų nagrinėjimo </w:t>
                                </w:r>
                              </w:p>
                            </w:tc>
                            <w:tc>
                              <w:tcPr>
                                <w:tcW w:w="2864" w:type="dxa"/>
                              </w:tcPr>
                              <w:p>
                                <w:pPr>
                                  <w:tabs>
                                    <w:tab w:val="left" w:pos="187"/>
                                  </w:tabs>
                                </w:pPr>
                                <w:r>
                                  <w:t xml:space="preserve">[ ]     Taip</w:t>
                                </w:r>
                              </w:p>
                              <w:p>
                                <w:pPr>
                                  <w:tabs>
                                    <w:tab w:val="left" w:pos="187"/>
                                  </w:tabs>
                                  <w:rPr>
                                    <w:szCs w:val="24"/>
                                  </w:rPr>
                                </w:pPr>
                                <w:r>
                                  <w:rPr>
                                    <w:szCs w:val="24"/>
                                  </w:rPr>
                                  <w:t xml:space="preserve">[ ]     Ne</w:t>
                                </w:r>
                              </w:p>
                              <w:p>
                                <w:pPr>
                                  <w:tabs>
                                    <w:tab w:val="left" w:pos="187"/>
                                  </w:tabs>
                                  <w:rPr>
                                    <w:szCs w:val="24"/>
                                  </w:rPr>
                                </w:pPr>
                                <w:r>
                                  <w:rPr>
                                    <w:szCs w:val="24"/>
                                  </w:rPr>
                                  <w:t xml:space="preserve">[ ]     Kita</w:t>
                                </w:r>
                              </w:p>
                            </w:tc>
                            <w:tc>
                              <w:tcPr>
                                <w:tcW w:w="3940" w:type="dxa"/>
                              </w:tcPr>
                              <w:p>
                                <w:pPr>
                                  <w:tabs>
                                    <w:tab w:val="left" w:pos="0"/>
                                  </w:tabs>
                                  <w:rPr>
                                    <w:szCs w:val="24"/>
                                  </w:rPr>
                                </w:pPr>
                              </w:p>
                            </w:tc>
                          </w:tr>
                          <w:tr>
                            <w:tc>
                              <w:tcPr>
                                <w:tcW w:w="2977" w:type="dxa"/>
                              </w:tcPr>
                              <w:p>
                                <w:pPr>
                                  <w:tabs>
                                    <w:tab w:val="left" w:pos="187"/>
                                  </w:tabs>
                                  <w:jc w:val="both"/>
                                  <w:rPr>
                                    <w:szCs w:val="24"/>
                                  </w:rPr>
                                </w:pPr>
                                <w:r>
                                  <w:rPr>
                                    <w:szCs w:val="24"/>
                                  </w:rPr>
                                  <w:t xml:space="preserve">tinkamai planuodamas savo ir kitų su juo dirbančių darbuotojų darbą </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940"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numatydamas problemas, kurios gali turėti įtakos jo darbo kokybei ir imdamas jas spręsti</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nesusijusių su teisingumo vykdymu, dėl teisėjo darbo organizavimo ar bendravimo gebėjimų </w:t>
                          </w:r>
                          <w:r>
                            <w:rPr>
                              <w:i/>
                              <w:szCs w:val="24"/>
                            </w:rPr>
                            <w:t>(tinkamą variantą pažymėti, jei pažymima „gauta“, informaciją detalizuoti)</w:t>
                          </w:r>
                          <w:r>
                            <w:rPr>
                              <w:szCs w:val="24"/>
                            </w:rPr>
                            <w:t>:</w:t>
                          </w:r>
                        </w:p>
                        <w:p>
                          <w:pPr>
                            <w:tabs>
                              <w:tab w:val="left" w:pos="187"/>
                            </w:tabs>
                            <w:jc w:val="both"/>
                            <w:rPr>
                              <w:szCs w:val="24"/>
                            </w:rPr>
                          </w:pPr>
                          <w:r>
                            <w:rPr>
                              <w:szCs w:val="24"/>
                            </w:rPr>
                            <w:t xml:space="preserve">[ ]    Negauta</w:t>
                          </w:r>
                        </w:p>
                        <w:p>
                          <w:pPr>
                            <w:tabs>
                              <w:tab w:val="left" w:pos="187"/>
                            </w:tabs>
                            <w:jc w:val="both"/>
                            <w:rPr>
                              <w:szCs w:val="24"/>
                            </w:rPr>
                          </w:pPr>
                          <w:r>
                            <w:rPr>
                              <w:szCs w:val="24"/>
                            </w:rPr>
                            <w:t xml:space="preserve">[ ]    Gauta</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10"/>
                          </w:tblGrid>
                          <w:tr>
                            <w:tc>
                              <w:tcPr>
                                <w:tcW w:w="9810"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Content>
            </w:sdt>
          </w:sdtContent>
        </w:sdt>
        <w:sdt>
          <w:sdtPr>
            <w:alias w:val="skyrius"/>
            <w:tag w:val="part_7aa5c2aafd2944f8bd173b2ac7cff2e2"/>
            <w:lock w:val="sdtLocked"/>
            <w:richText/>
          </w:sdtPr>
          <w:sdtContent>
            <w:p>
              <w:pPr>
                <w:tabs>
                  <w:tab w:val="left" w:pos="187"/>
                </w:tabs>
                <w:ind w:left="720" w:hanging="720"/>
                <w:jc w:val="center"/>
                <w:rPr>
                  <w:b/>
                  <w:bCs/>
                  <w:szCs w:val="24"/>
                </w:rPr>
              </w:pPr>
              <w:sdt>
                <w:sdtPr>
                  <w:alias w:val="Numeris"/>
                  <w:tag w:val="nr_7aa5c2aafd2944f8bd173b2ac7cff2e2"/>
                  <w:lock w:val="sdtLocked"/>
                  <w:richText/>
                </w:sdtPr>
                <w:sdtContent>
                  <w:r>
                    <w:rPr>
                      <w:b/>
                      <w:bCs/>
                      <w:szCs w:val="24"/>
                    </w:rPr>
                    <w:t>II</w:t>
                  </w:r>
                </w:sdtContent>
              </w:sdt>
              <w:r>
                <w:rPr>
                  <w:b/>
                  <w:bCs/>
                  <w:szCs w:val="24"/>
                </w:rPr>
                <w:t xml:space="preserve">.  </w:t>
              </w:r>
              <w:sdt>
                <w:sdtPr>
                  <w:alias w:val="Pavadinimas"/>
                  <w:tag w:val="title_7aa5c2aafd2944f8bd173b2ac7cff2e2"/>
                  <w:lock w:val="sdtLocked"/>
                  <w:richText/>
                </w:sdtPr>
                <w:sdtContent>
                  <w:r>
                    <w:rPr>
                      <w:b/>
                      <w:bCs/>
                      <w:szCs w:val="24"/>
                    </w:rPr>
                    <w:t>Asmeninių ir dalykinių savybių vertinimo rezultatai:</w:t>
                  </w:r>
                </w:sdtContent>
              </w:sdt>
            </w:p>
            <w:p>
              <w:pPr>
                <w:tabs>
                  <w:tab w:val="left" w:pos="187"/>
                </w:tabs>
                <w:jc w:val="both"/>
                <w:rPr>
                  <w:szCs w:val="24"/>
                </w:rPr>
              </w:pPr>
            </w:p>
            <w:sdt>
              <w:sdtPr>
                <w:alias w:val="pr. 5 p."/>
                <w:tag w:val="part_84797ef1dada47f38b15dd268a16c764"/>
                <w:lock w:val="sdtLocked"/>
                <w:richText/>
              </w:sdtPr>
              <w:sdtContent>
                <w:p>
                  <w:pPr>
                    <w:tabs>
                      <w:tab w:val="left" w:pos="187"/>
                    </w:tabs>
                    <w:jc w:val="both"/>
                    <w:rPr>
                      <w:b/>
                      <w:szCs w:val="24"/>
                    </w:rPr>
                  </w:pPr>
                  <w:sdt>
                    <w:sdtPr>
                      <w:alias w:val="Numeris"/>
                      <w:tag w:val="nr_84797ef1dada47f38b15dd268a16c764"/>
                      <w:lock w:val="sdtLocked"/>
                      <w:richText/>
                    </w:sdtPr>
                    <w:sdtContent>
                      <w:r>
                        <w:rPr>
                          <w:b/>
                          <w:szCs w:val="24"/>
                        </w:rPr>
                        <w:t>5</w:t>
                      </w:r>
                    </w:sdtContent>
                  </w:sdt>
                  <w:r>
                    <w:rPr>
                      <w:b/>
                      <w:szCs w:val="24"/>
                    </w:rPr>
                    <w:t>. Asmeninių ir dalykinių teisėjų savybių įvertinimas:</w:t>
                  </w:r>
                </w:p>
                <w:sdt>
                  <w:sdtPr>
                    <w:alias w:val="pr. 5.1 pp."/>
                    <w:tag w:val="part_64d1a0cb3b55407692467c31ec2b8004"/>
                    <w:lock w:val="sdtLocked"/>
                    <w:richText/>
                  </w:sdtPr>
                  <w:sdtContent>
                    <w:p>
                      <w:pPr>
                        <w:tabs>
                          <w:tab w:val="left" w:pos="187"/>
                        </w:tabs>
                        <w:jc w:val="both"/>
                        <w:rPr>
                          <w:szCs w:val="24"/>
                        </w:rPr>
                      </w:pPr>
                      <w:sdt>
                        <w:sdtPr>
                          <w:alias w:val="Numeris"/>
                          <w:tag w:val="nr_64d1a0cb3b55407692467c31ec2b8004"/>
                          <w:lock w:val="sdtLocked"/>
                          <w:richText/>
                        </w:sdtPr>
                        <w:sdtContent>
                          <w:r>
                            <w:rPr>
                              <w:b/>
                              <w:bCs/>
                              <w:szCs w:val="24"/>
                            </w:rPr>
                            <w:t>5.1</w:t>
                          </w:r>
                        </w:sdtContent>
                      </w:sdt>
                      <w:r>
                        <w:rPr>
                          <w:b/>
                          <w:bCs/>
                          <w:szCs w:val="24"/>
                        </w:rPr>
                        <w:t>.</w:t>
                      </w:r>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rPr>
                                <w:szCs w:val="24"/>
                              </w:rPr>
                            </w:pPr>
                            <w:r>
                              <w:rPr>
                                <w:szCs w:val="24"/>
                              </w:rPr>
                              <w:t>Teisėjas su kitais teisėjais, advokatais, prokurorais, proceso dalyviais, teismo ir</w:t>
                            </w:r>
                            <w:r>
                              <w:rPr>
                                <w:strike/>
                                <w:szCs w:val="24"/>
                              </w:rPr>
                              <w:t xml:space="preserve"> </w:t>
                            </w:r>
                            <w:r>
                              <w:rPr>
                                <w:szCs w:val="24"/>
                              </w:rPr>
                              <w:t>kitų teismų ir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p>
                          <w:p>
                            <w:pPr>
                              <w:tabs>
                                <w:tab w:val="left" w:pos="0"/>
                              </w:tabs>
                              <w:rPr>
                                <w:szCs w:val="24"/>
                              </w:rPr>
                            </w:pPr>
                            <w:r>
                              <w:rPr>
                                <w:i/>
                                <w:szCs w:val="24"/>
                              </w:rPr>
                              <w:t>(pateikti, jei pažymima „netinkamai“, „kita“ arba esant poreikiui)</w:t>
                            </w:r>
                          </w:p>
                        </w:tc>
                      </w:tr>
                      <w:tr>
                        <w:tc>
                          <w:tcPr>
                            <w:tcW w:w="3085" w:type="dxa"/>
                          </w:tcPr>
                          <w:p>
                            <w:pPr>
                              <w:tabs>
                                <w:tab w:val="left" w:pos="187"/>
                              </w:tabs>
                              <w:rPr>
                                <w:szCs w:val="24"/>
                              </w:rPr>
                            </w:pPr>
                            <w:r>
                              <w:rPr>
                                <w:szCs w:val="24"/>
                              </w:rPr>
                              <w:t xml:space="preserve">Su juo dirbančiais teismo darbuotojais, teisėjo komandos nariais (padėjėju, posėdžio sekretoriumi) bendrauja </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r>
                              <w:rPr>
                                <w:i/>
                                <w:szCs w:val="24"/>
                              </w:rPr>
                              <w:t>(pateikti,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5.2 pp."/>
                    <w:tag w:val="part_ba1712d5c02e46658852290ccccd132a"/>
                    <w:lock w:val="sdtLocked"/>
                    <w:richText/>
                  </w:sdtPr>
                  <w:sdtContent>
                    <w:p>
                      <w:pPr>
                        <w:tabs>
                          <w:tab w:val="left" w:pos="187"/>
                        </w:tabs>
                        <w:jc w:val="both"/>
                        <w:rPr>
                          <w:szCs w:val="24"/>
                        </w:rPr>
                      </w:pPr>
                      <w:sdt>
                        <w:sdtPr>
                          <w:alias w:val="Numeris"/>
                          <w:tag w:val="nr_ba1712d5c02e46658852290ccccd132a"/>
                          <w:lock w:val="sdtLocked"/>
                          <w:richText/>
                        </w:sdtPr>
                        <w:sdtContent>
                          <w:r>
                            <w:rPr>
                              <w:b/>
                              <w:bCs/>
                              <w:szCs w:val="24"/>
                            </w:rPr>
                            <w:t>5.2</w:t>
                          </w:r>
                        </w:sdtContent>
                      </w:sdt>
                      <w:r>
                        <w:rPr>
                          <w:b/>
                          <w:bCs/>
                          <w:szCs w:val="24"/>
                        </w:rPr>
                        <w:t xml:space="preserve">. </w:t>
                      </w:r>
                      <w:r>
                        <w:rPr>
                          <w:szCs w:val="24"/>
                        </w:rPr>
                        <w:t>Lietuvos Respublikos teisėjų etikos kodekso reikalavimų laikymasis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p>
                          <w:p>
                            <w:pPr>
                              <w:tabs>
                                <w:tab w:val="left" w:pos="0"/>
                              </w:tabs>
                              <w:rPr>
                                <w:szCs w:val="24"/>
                              </w:rPr>
                            </w:pP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5.3 pp."/>
                    <w:tag w:val="part_e947d94599994af1affb5b3633e5b06b"/>
                    <w:lock w:val="sdtLocked"/>
                    <w:richText/>
                  </w:sdtPr>
                  <w:sdtContent>
                    <w:p>
                      <w:pPr>
                        <w:tabs>
                          <w:tab w:val="left" w:pos="187"/>
                        </w:tabs>
                        <w:jc w:val="both"/>
                        <w:rPr>
                          <w:szCs w:val="24"/>
                        </w:rPr>
                      </w:pPr>
                      <w:sdt>
                        <w:sdtPr>
                          <w:alias w:val="Numeris"/>
                          <w:tag w:val="nr_e947d94599994af1affb5b3633e5b06b"/>
                          <w:lock w:val="sdtLocked"/>
                          <w:richText/>
                        </w:sdtPr>
                        <w:sdtContent>
                          <w:r>
                            <w:rPr>
                              <w:b/>
                              <w:bCs/>
                              <w:szCs w:val="24"/>
                            </w:rPr>
                            <w:t>5.3</w:t>
                          </w:r>
                        </w:sdtContent>
                      </w:sdt>
                      <w:r>
                        <w:rPr>
                          <w:b/>
                          <w:bCs/>
                          <w:szCs w:val="24"/>
                        </w:rPr>
                        <w:t>.</w:t>
                      </w:r>
                      <w:r>
                        <w:rPr>
                          <w:szCs w:val="24"/>
                        </w:rPr>
                        <w:t xml:space="preserve"> Kitos teisėjo asmeninės savybės (atsakingumas, taktiškumas, pareigingumas, nuovokumas, aktyvumas teismų bendruomenėje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
                  <w:sdtPr>
                    <w:alias w:val="pr. 5.4 pp."/>
                    <w:tag w:val="part_832af255603f41129d87259be129df60"/>
                    <w:lock w:val="sdtLocked"/>
                    <w:richText/>
                  </w:sdtPr>
                  <w:sdtContent>
                    <w:p>
                      <w:pPr>
                        <w:tabs>
                          <w:tab w:val="left" w:pos="187"/>
                        </w:tabs>
                        <w:ind w:right="-142"/>
                        <w:jc w:val="both"/>
                        <w:rPr>
                          <w:szCs w:val="24"/>
                        </w:rPr>
                      </w:pPr>
                      <w:sdt>
                        <w:sdtPr>
                          <w:alias w:val="Numeris"/>
                          <w:tag w:val="nr_832af255603f41129d87259be129df60"/>
                          <w:lock w:val="sdtLocked"/>
                          <w:richText/>
                        </w:sdtPr>
                        <w:sdtContent>
                          <w:r>
                            <w:rPr>
                              <w:b/>
                              <w:bCs/>
                              <w:szCs w:val="24"/>
                            </w:rPr>
                            <w:t>5.4</w:t>
                          </w:r>
                        </w:sdtContent>
                      </w:sdt>
                      <w:r>
                        <w:rPr>
                          <w:b/>
                          <w:bCs/>
                          <w:szCs w:val="24"/>
                        </w:rPr>
                        <w:t xml:space="preserve">. </w:t>
                      </w:r>
                      <w:r>
                        <w:rPr>
                          <w:szCs w:val="24"/>
                        </w:rPr>
                        <w:t>Kitos teisėjo dalykinės savybės: kvalifikacijos kėlimas Lietuvoje ir užsienio šalyse, dalyvavimas tarptautiniuose mokymuose, stažuotėse ar seminaruose, mokslinėje-pedagoginėje veikloje; teismų savivaldoje, bendruomenės visuomeninėje veikloje, tarptautiniuose tinkluose bei projektuose,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b2260806411ed8df094f359a60216">
                        <w:r w:rsidRPr="00532B9F">
                          <w:rPr>
                            <w:rFonts w:ascii="Times New Roman" w:eastAsia="MS Mincho" w:hAnsi="Times New Roman"/>
                            <w:sz w:val="20"/>
                            <w:i/>
                            <w:iCs/>
                            <w:color w:val="0000FF" w:themeColor="hyperlink"/>
                            <w:u w:val="single"/>
                          </w:rPr>
                          <w:t>13P-231-(7.1.2.)</w:t>
                        </w:r>
                      </w:fldSimple>
                      <w:r>
                        <w:rPr>
                          <w:rFonts w:ascii="Times New Roman" w:eastAsia="MS Mincho" w:hAnsi="Times New Roman"/>
                          <w:sz w:val="20"/>
                          <w:i/>
                          <w:iCs/>
                        </w:rPr>
                        <w:t>,
2022-12-19,
paskelbta TAR 2022-12-20, i. k. 2022-26037            </w:t>
                      </w:r>
                    </w:p>
                    <w:p/>
                  </w:sdtContent>
                </w:sdt>
              </w:sdtContent>
            </w:sdt>
            <w:sdt>
              <w:sdtPr>
                <w:alias w:val="pr. 6 p."/>
                <w:tag w:val="part_89269d6c487f420b8df49e814ef67f1a"/>
                <w:lock w:val="sdtLocked"/>
                <w:richText/>
              </w:sdtPr>
              <w:sdtContent>
                <w:p>
                  <w:pPr>
                    <w:tabs>
                      <w:tab w:val="left" w:pos="187"/>
                    </w:tabs>
                    <w:jc w:val="both"/>
                    <w:rPr>
                      <w:szCs w:val="24"/>
                    </w:rPr>
                  </w:pPr>
                  <w:sdt>
                    <w:sdtPr>
                      <w:alias w:val="Numeris"/>
                      <w:tag w:val="nr_89269d6c487f420b8df49e814ef67f1a"/>
                      <w:lock w:val="sdtLocked"/>
                      <w:richText/>
                    </w:sdtPr>
                    <w:sdtContent>
                      <w:r>
                        <w:rPr>
                          <w:b/>
                          <w:bCs/>
                          <w:szCs w:val="24"/>
                        </w:rPr>
                        <w:t>6</w:t>
                      </w:r>
                    </w:sdtContent>
                  </w:sdt>
                  <w:r>
                    <w:rPr>
                      <w:b/>
                      <w:bCs/>
                      <w:szCs w:val="24"/>
                    </w:rPr>
                    <w:t>. Kita teisėjo veiklos vertinimui svarbi informacija</w:t>
                  </w:r>
                  <w:r>
                    <w:rPr>
                      <w:szCs w:val="24"/>
                    </w:rPr>
                    <w:t xml:space="preserve">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r>
                    <w:rPr>
                      <w:szCs w:val="24"/>
                    </w:rPr>
                    <w:t>PRIDEDAMA. __________________________________________________________________ .</w:t>
                  </w:r>
                </w:p>
                <w:p>
                  <w:pPr>
                    <w:tabs>
                      <w:tab w:val="left" w:pos="187"/>
                    </w:tabs>
                    <w:rPr>
                      <w:i/>
                      <w:szCs w:val="24"/>
                      <w:vertAlign w:val="superscript"/>
                    </w:rPr>
                  </w:pPr>
                  <w:r>
                    <w:rPr>
                      <w:i/>
                      <w:szCs w:val="24"/>
                      <w:vertAlign w:val="superscript"/>
                    </w:rPr>
                    <w:t>(nurodomas kiekvienas pridedamas dokumentas, tarp jų ir teismo, kuriame vertinimo laikotarpiu dirbo teisėjas, pirmininko nuomonė, ir jo lapų skaičius)</w:t>
                  </w:r>
                </w:p>
                <w:tbl>
                  <w:tblPr>
                    <w:tblW w:w="9798" w:type="dxa"/>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p>
                        <w:pPr>
                          <w:tabs>
                            <w:tab w:val="left" w:pos="0"/>
                          </w:tabs>
                          <w:jc w:val="both"/>
                          <w:rPr>
                            <w:szCs w:val="24"/>
                          </w:rPr>
                        </w:pPr>
                      </w:p>
                    </w:tc>
                  </w:tr>
                </w:tbl>
                <w:p>
                  <w:pPr>
                    <w:widowControl w:val="0"/>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355340c13d11e6bcd2d69186780352">
            <w:r w:rsidRPr="00532B9F">
              <w:rPr>
                <w:rFonts w:ascii="Times New Roman" w:eastAsia="MS Mincho" w:hAnsi="Times New Roman"/>
                <w:sz w:val="20"/>
                <w:iCs/>
                <w:color w:val="0000FF" w:themeColor="hyperlink"/>
                <w:u w:val="single"/>
              </w:rPr>
              <w:t>13P-129-(7.1.2)</w:t>
            </w:r>
          </w:fldSimple>
          <w:r>
            <w:rPr>
              <w:rFonts w:ascii="Times New Roman" w:eastAsia="MS Mincho" w:hAnsi="Times New Roman"/>
              <w:sz w:val="20"/>
              <w:iCs/>
            </w:rPr>
            <w:t>,
2016-12-09,
paskelbta TAR 2016-12-14, i. k. 2016-28851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027300613511e79198ffdb108a3753">
            <w:r w:rsidRPr="00532B9F">
              <w:rPr>
                <w:rFonts w:ascii="Times New Roman" w:eastAsia="MS Mincho" w:hAnsi="Times New Roman"/>
                <w:sz w:val="20"/>
                <w:iCs/>
                <w:color w:val="0000FF" w:themeColor="hyperlink"/>
                <w:u w:val="single"/>
              </w:rPr>
              <w:t>13P-114-(7.1.2)</w:t>
            </w:r>
          </w:fldSimple>
          <w:r>
            <w:rPr>
              <w:rFonts w:ascii="Times New Roman" w:eastAsia="MS Mincho" w:hAnsi="Times New Roman"/>
              <w:sz w:val="20"/>
              <w:iCs/>
            </w:rPr>
            <w:t>,
2017-06-30,
paskelbta TAR 2017-07-11, i. k. 2017-11849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0407a901acb11e88e8fef3b3f51dc2f">
            <w:r w:rsidRPr="00532B9F">
              <w:rPr>
                <w:rFonts w:ascii="Times New Roman" w:eastAsia="MS Mincho" w:hAnsi="Times New Roman"/>
                <w:sz w:val="20"/>
                <w:iCs/>
                <w:color w:val="0000FF" w:themeColor="hyperlink"/>
                <w:u w:val="single"/>
              </w:rPr>
              <w:t>13P-17-(7.1.2)</w:t>
            </w:r>
          </w:fldSimple>
          <w:r>
            <w:rPr>
              <w:rFonts w:ascii="Times New Roman" w:eastAsia="MS Mincho" w:hAnsi="Times New Roman"/>
              <w:sz w:val="20"/>
              <w:iCs/>
            </w:rPr>
            <w:t>,
2018-02-23,
paskelbta TAR 2018-02-26, i. k. 2018-02962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b9a90e6a011e99681cd81dcdca52c">
            <w:r w:rsidRPr="00532B9F">
              <w:rPr>
                <w:rFonts w:ascii="Times New Roman" w:eastAsia="MS Mincho" w:hAnsi="Times New Roman"/>
                <w:sz w:val="20"/>
                <w:iCs/>
                <w:color w:val="0000FF" w:themeColor="hyperlink"/>
                <w:u w:val="single"/>
              </w:rPr>
              <w:t>13P-159-(7.1.2)</w:t>
            </w:r>
          </w:fldSimple>
          <w:r>
            <w:rPr>
              <w:rFonts w:ascii="Times New Roman" w:eastAsia="MS Mincho" w:hAnsi="Times New Roman"/>
              <w:sz w:val="20"/>
              <w:iCs/>
            </w:rPr>
            <w:t>,
2019-09-27,
paskelbta TAR 2019-10-04, i. k. 2019-15862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e7b2260806411ed8df094f359a60216">
            <w:r w:rsidRPr="00532B9F">
              <w:rPr>
                <w:rFonts w:ascii="Times New Roman" w:eastAsia="MS Mincho" w:hAnsi="Times New Roman"/>
                <w:sz w:val="20"/>
                <w:iCs/>
                <w:color w:val="0000FF" w:themeColor="hyperlink"/>
                <w:u w:val="single"/>
              </w:rPr>
              <w:t>13P-231-(7.1.2.)</w:t>
            </w:r>
          </w:fldSimple>
          <w:r>
            <w:rPr>
              <w:rFonts w:ascii="Times New Roman" w:eastAsia="MS Mincho" w:hAnsi="Times New Roman"/>
              <w:sz w:val="20"/>
              <w:iCs/>
            </w:rPr>
            <w:t>,
2022-12-19,
paskelbta TAR 2022-12-20, i. k. 2022-26037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b/>
          <w:sz w:val="20"/>
        </w:rPr>
      </w:pPr>
      <w:r>
        <w:rPr>
          <w:b/>
          <w:sz w:val="20"/>
          <w:vertAlign w:val="superscript"/>
        </w:rPr>
        <w:footnoteRef/>
      </w:r>
      <w:r>
        <w:rPr>
          <w:b/>
          <w:sz w:val="20"/>
        </w:rPr>
        <w:t xml:space="preserve"> </w:t>
      </w:r>
      <w:r>
        <w:rPr>
          <w:sz w:val="20"/>
        </w:rPr>
        <w:t>Procesinių sprendimų kokybė gali būti vertinama ir pagal tai, ar teisėjas taiko gerąją procesinių sprendimų regimo praktiką (pavyzdžiui, Standartus).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E679CF"/>
  <w15:docId w15:val="{6276F8C3-A47D-4F5F-B26E-A12CA12F57F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4.xml"/>
  <Relationship Id="rId12" Type="http://schemas.openxmlformats.org/officeDocument/2006/relationships/header" Target="header15.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6.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cd12f2d8b0814767ac7c672b7bf49796">
    <Part Type="skyrius" Nr="1" Title="BENDROSIOS NUOSTATOS" DocPartId="a6ad763ec3d34730b73453f1eec0507e" PartId="07153f84cfcb4da5839e411e41853e22">
      <Part Type="punktas" Nr="1" Abbr="1 p." DocPartId="f20ea17f7e964258baacd2eb3a25e5c1" PartId="a4f204ecaa264b6cb72f8663de614028"/>
      <Part Type="punktas" Nr="2" Abbr="2 p." DocPartId="967c3b036eba4807898158191d13838c" PartId="c0600ed8c3f441d8a6b2596c4d67125e"/>
      <Part Type="punktas" Nr="3" Abbr="3 p." DocPartId="6bf8897cf2094758bbfb61b0436f1ead" PartId="b8566d6505a44e33af17fc43c4c83f98"/>
    </Part>
    <Part Type="skyrius" Nr="2" Title="TEISĖJŲ VEIKLOS VERTINIMO RŪŠYS" DocPartId="f454d0e69640464083c6afd47ce88578" PartId="cdd24b0be9e1434dbefd3eadaff346ee">
      <Part Type="punktas" Nr="4" Abbr="4 p." DocPartId="b024286fa2ce4cf5811798c9a7be5dc5" PartId="0dfbd720827942c59d677df73e6abaff">
        <Part Type="papunktis" Nr="4.1" Abbr="4.1 pp." DocPartId="ea81619eb181445f8b2a787e22cbdb2d" PartId="33e13d4de8a44b1fb24a00f0d31e376f"/>
        <Part Type="papunktis" Nr="4.2" Abbr="4.2 pp." DocPartId="72cf5bc65e6e4c44b6228034226ac836" PartId="f85fae0eb7ed4cc3a5a7c17fb52eaa9e"/>
      </Part>
      <Part Type="punktas" Nr="5" Abbr="5 p." DocPartId="b90932ef9ab14f40884e5e614cf14191" PartId="76999b5516c948f99e9f8d9fe58dcdc3"/>
      <Part Type="punktas" Nr="6" Abbr="6 p." DocPartId="d78a6570518f40b0ade687d819189c85" PartId="ce80863476e949fe9402dabe1ae7584f"/>
      <Part Type="punktas" Nr="7" Abbr="7 p." DocPartId="bdd2c64e987441ce8220af11d4bfe42a" PartId="7428e4ddef1545ea81829719d8eab046">
        <Part Type="papunktis" Nr="7.1" Abbr="7.1 pp." DocPartId="02a16668f6e14153886db47909e69f4d" PartId="dc5a62d9e1dc49cf95f6dd489adb4ccf"/>
        <Part Type="papunktis" Nr="7.2" Abbr="7.2 pp." DocPartId="fd3ae540814247b0bc6bcd605c94c16a" PartId="58fce993220a4f779cd76633a445c6ac"/>
        <Part Type="papunktis" Nr="7.3" Abbr="7.3 pp." DocPartId="28297f7fd3d2447a9fe9616f2e250568" PartId="438efe115cf24f7690ae87addab4a59f"/>
        <Part Type="papunktis" Nr="7.4" Abbr="7.4 pp." DocPartId="2486a99dcd76409291dae6efef4282f5" PartId="0c1104a2054f4c9f8bbdf25327c65520"/>
      </Part>
    </Part>
    <Part Type="skyrius" Nr="3" Title="TEISĖJŲ VEIKLOS VERTINIMO KRITERIJAI" DocPartId="23e2e8b141994d2a948c3fdc72af69fb" PartId="f74fa5e01c5546fe8ef91bdf2915c22b">
      <Part Type="punktas" Nr="8" Abbr="8 p." DocPartId="3e13adcd590d455585ffaa772193d280" PartId="ccda676618f24b8aaf1f83b4dd3a6bcd"/>
      <Part Type="punktas" Nr="9" Abbr="9 p." DocPartId="3d4be348ce844c8f8288070a7e548348" PartId="c4384113c1f14b4190d07c5b6883ac60"/>
      <Part Type="punktas" Nr="10" Abbr="10 p." DocPartId="a4c57bcd66004338b85a19023eae240d" PartId="d6a298ce61fa489eb0ed76946c6390e0">
        <Part Type="papunktis" Nr="10.1" Abbr="10.1 pp." DocPartId="ac465080da0b48b4abb67514ef9eef87" PartId="ced725f9b86e4d399fb3999517fd8c25"/>
        <Part Type="papunktis" Nr="10.2" Abbr="10.2 pp." DocPartId="c424d1956da74bb0b81c16219371d87d" PartId="d5a9259f2c9144b18ebb3c4aacbee411"/>
        <Part Type="papunktis" Nr="10.3" Abbr="10.3 pp." DocPartId="f85c770ebd3c43f6aabfe78d3e4b3491" PartId="d8c4ce17bd0545af9bb8be6d1d1b6488"/>
        <Part Type="papunktis" Nr="10.4" Abbr="10.4 pp." DocPartId="e956a1ddc75b45f8b6e6e5661ca11c59" PartId="d4831624dfb240ea932ae76b7073b79a"/>
        <Part Type="papunktis" Nr="10.5" Abbr="10.5 pp." DocPartId="25992574afaf443f8f0e7ae94a19c988" PartId="78a70ec8aa4d481b8401f519e8217217"/>
        <Part Type="papunktis" Nr="10.6" Abbr="10.6 pp." DocPartId="bb9464653d2c4eac9a0808293ec5bab0" PartId="8cf87942aed74dd3872184aa2a1613f8"/>
      </Part>
      <Part Type="punktas" Nr="11" Abbr="11 p." DocPartId="cf8c76f0bb2d4599a39663d63c820c12" PartId="fe01200ac6754339bbc4ae638cba4285">
        <Part Type="papunktis" Nr="11.1" Abbr="11.1 pp." DocPartId="f8c3dc8c96e9426f97d8d486eca7716c" PartId="fd1929d2d6d34179936bdec7964502ac"/>
        <Part Type="papunktis" Nr="11.2" Abbr="11.2 pp." DocPartId="47ed4bbda763460ab35b936021bcb645" PartId="32ae15cf287a40dfb069e4d8c763d613"/>
        <Part Type="papunktis" Nr="11.3" Abbr="11.3 pp." DocPartId="ccc7233846fc4fc5a19dfb5d7a2b7fc0" PartId="d32c932a85d74b408b51ad8052f2a232"/>
        <Part Type="papunktis" Nr="11.4" Abbr="11.4 pp." DocPartId="e2e174155d2347f1a826fb7baa64e515" PartId="048738b6ea224d249b0546774cc2fcf0"/>
        <Part Type="papunktis" Nr="11.5" Abbr="11.5 pp." DocPartId="79f7ee8daae746a2a4d906ec07de5636" PartId="273be560d9c047139c42b245a9a04ef6"/>
      </Part>
      <Part Type="punktas" Nr="12" Abbr="12 p." DocPartId="c72889e8de3040409e3688d5488ae7ee" PartId="adfd6d64f324413f9e9148f9e9d1ab80">
        <Part Type="papunktis" Nr="12.1" Abbr="12.1 pp." DocPartId="38e0a838850742a0a3765ccdf3ec6c2a" PartId="9935d67242bd49afa159999e2d84f688"/>
        <Part Type="papunktis" Nr="12.2" Abbr="12.2 pp." DocPartId="76281a0849564c5faf3ee07091648482" PartId="ca1f6706de084ae2a6c0ad4487b3995c"/>
        <Part Type="papunktis" Nr="12.3" Abbr="12.3 pp." DocPartId="b85966d2c28847c3869b27d1f934a2f0" PartId="72d8483a73024dadadc77739eb40e52b"/>
        <Part Type="papunktis" Nr="12.4" Abbr="12.4 pp." DocPartId="76b36c118d4240c3b55bd2b57df0a6da" PartId="800ce7a1284b46cfbf6a6e273a4efc64"/>
      </Part>
      <Part Type="punktas" Nr="13" Abbr="13 p." DocPartId="6425d5adbf2045c69cb8f9bbb4f2b089" PartId="7fa7cd23653f411ea93a6a6deb8ca830">
        <Part Type="papunktis" Nr="13.1" Abbr="13.1 pp." DocPartId="8e1d7747d03a4b9eba1d26750170f02c" PartId="e8ef157709074aa78a29e70af60ccc3c"/>
        <Part Type="papunktis" Nr="13.2" Abbr="13.2 pp." DocPartId="d0701f144cb44096bc9d0de7cee9a9e3" PartId="1e03f281a4d444a083d181153d672919"/>
        <Part Type="papunktis" Nr="13.3" Abbr="13.3 pp." DocPartId="686ef281a88b4adfac56a6f5d4ffe925" PartId="f9bdc509876e4e939e00d5123691bc2d"/>
      </Part>
      <Part Type="punktas" Nr="14" Abbr="14 p." DocPartId="2b5eb064dfab47d6a47b8a105e38c593" PartId="abc22a4b7e83452d94ecfa7b3d30e826"/>
      <Part Type="punktas" Nr="15" Abbr="15 p." DocPartId="d231eb723e0a4d5b83f7b90fd8db3b60" PartId="bd5350faa3074cb7aae3da703e5dd391">
        <Part Type="papunktis" Nr="15.1" Abbr="15.1 pp." DocPartId="2f8f151f4afc435a8981bcc7cf91ef6d" PartId="a42b565bf8694960969d741658b62960"/>
        <Part Type="papunktis" Nr="15.2" Abbr="15.2 pp." DocPartId="72d85a71a0414b449cb436112fc43c2e" PartId="4f81dd9dc57f4e52b5cb94b584c38bd8"/>
        <Part Type="papunktis" Nr="15.3" Abbr="15.3 pp." DocPartId="77e59852bd6440dfac1a61000ed3f2b8" PartId="73d42ad683f0403a8860c6ba0a59a1b9"/>
        <Part Type="papunktis" Nr="15.4" Abbr="15.4 pp." DocPartId="c11db4439a0744198da6e9526654f3cb" PartId="395d7dc156b74b7e96d5df22923b46a7"/>
        <Part Type="papunktis" Nr="15.5" Abbr="15.5 pp." DocPartId="a8e43862b94b405aa67b64fe4e1760d2" PartId="c563624223b74946b23bd8a237d47878"/>
      </Part>
      <Part Type="punktas" Nr="16" Abbr="16 p." DocPartId="e144257000c0407ba956955ffaf3271b" PartId="da2922b8903e432b8c349fcd61107d0b">
        <Part Type="papunktis" Nr="16.1" Abbr="16.1 pp." DocPartId="82c8b1eb120049cf8cfc08eace1b6c8b" PartId="0085d975f1a045bc93d058fedd75c886"/>
        <Part Type="papunktis" Nr="16.2" Abbr="16.2 pp." DocPartId="86cc19c625804bca94db08b1bc11ce2c" PartId="15e1b538bdd149c399320b5f07872559"/>
        <Part Type="papunktis" Nr="16.3" Abbr="16.3 pp." DocPartId="1dbdcc08635b43378da556a1e9c1564d" PartId="df6bdad97cb24096a9ae8dccdd1d34a1"/>
        <Part Type="papunktis" Nr="16.4" Abbr="16.4 pp." DocPartId="a3a21b52521e4b8d9fe614aa3aa660d9" PartId="547414a71297446eb70649b370b090d4"/>
      </Part>
      <Part Type="punktas" Nr="16-1" Abbr="16-1 p." DocPartId="de6fbf2f5a834c598b12734cb235b419" PartId="c733fa24941e41ef94eb63f32a715614"/>
    </Part>
    <Part Type="skyrius" Nr="4" Title="TEISĖJŲ VEIKLOS VERTINIMUI REIKALINGOS INFORMACIJOS GAVIMO BŪDAI" DocPartId="05db50c8783f4998aaf2582887d182b7" PartId="cee79d4614e04e16bd6554695ddef459">
      <Part Type="punktas" Nr="17" Abbr="17 p." DocPartId="736af67dd6eb4887b786e2d8f3d08cbb" PartId="2924cdebc2c74f13917f896791dc6765">
        <Part Type="papunktis" Nr="17.1" Abbr="17.1 pp." DocPartId="f159e2fff5574ce29cb96f99b7cd5e75" PartId="d6b791eec63a4b7480a445bbdada3280"/>
        <Part Type="papunktis" Nr="17.2" Abbr="17.2 pp." DocPartId="2aea1efdddbc426fb1ba80f0c1fc517a" PartId="97a9abf03e9946fa9ecb9c47c177e042"/>
        <Part Type="papunktis" Nr="17.3" Abbr="17.3 pp." DocPartId="59facd02650e4b46a099f614514b106e" PartId="cbac93282eb14fdd8f6e83b78c2732f5"/>
        <Part Type="papunktis" Nr="17.4" Abbr="17.4 pp." DocPartId="dd18ba5fd77441d6b2eea1add29a6c20" PartId="bc608bec5580479087bb7cfb2a9f807d"/>
        <Part Type="papunktis" Nr="17.5" Abbr="17.5 pp." DocPartId="1307190748d541318f3345b60547cb66" PartId="b32eee5a3c6d452ba8583aa073081520"/>
        <Part Type="papunktis" Nr="17.6" Abbr="17.6 pp." DocPartId="bb3dd0d180bb48798db28c7e1d42c13b" PartId="5c96a23fa57c4967b5c743799609c06c"/>
      </Part>
      <Part Type="punktas" Nr="18" Abbr="18 p." DocPartId="48096db20a8e4e98b7c591c7aaafdbf1" PartId="6dc2e8fceb014f379011ce7460059417"/>
      <Part Type="punktas" Nr="18-1" Abbr="18-1 p." DocPartId="8b2402e564c44471a739feda1cd7d5be" PartId="306ea6dc424d4144b65c8aedb4a4d12b"/>
      <Part Type="punktas" Nr="18-2" Abbr="18-2 p." DocPartId="60023f1cb84d40bdbb1d66adac537cb4" PartId="8b28b0dee3154125952977fde0347284"/>
    </Part>
    <Part Type="skyrius" Nr="5" Title="TEISĖJŲ VEIKLOS VERTINIMO ORGANIZAVIMAS" DocPartId="32298367df01494d972a489653986add" PartId="d531a0cc336b4668a2ce059f415b6c1b">
      <Part Type="punktas" Nr="19" Abbr="19 p." DocPartId="d107fa8189fd46f4a14a22b4829cbfb7" PartId="ff748d640b9b48559516678962cfd0f1"/>
      <Part Type="punktas" Nr="20" Abbr="20 p." DocPartId="c7f4e557b05948b59ece0f5d375201e0" PartId="8b521fc129294d2bad485ec515fb5cd9"/>
      <Part Type="punktas" Nr="21" Abbr="21 p." DocPartId="a72a0cb7f2484ff793b18d6820382c2f" PartId="4a7189871d3549b188500f00189d3924"/>
      <Part Type="punktas" Nr="22" Abbr="22 p." DocPartId="dbced0f20c4249fbad945d2d9090d5d1" PartId="f5e856a187e94732b1a6ce50a0710d6d"/>
      <Part Type="punktas" Nr="23" Abbr="23 p." DocPartId="62a62cd5690a4ae1941775f2de538368" PartId="36af028d7bd345b5a754a31e68689e7c"/>
      <Part Type="punktas" Nr="24" Abbr="24 p." DocPartId="ee0695c51ce644da8b21295927347d87" PartId="08977452669a4682851fa0b533af7f56"/>
      <Part Type="punktas" Nr="25" Abbr="25 p." DocPartId="afc2e227ebbd467f986c50b37a4b17c4" PartId="9d7446691cc24419a18b5d8e3afe0340"/>
      <Part Type="punktas" Nr="26" Abbr="26 p." DocPartId="b9f4716251e1483db98a8b87b307bc02" PartId="f9578d328ce34276a7873b8a6ee62b6d"/>
      <Part Type="punktas" Nr="27" Abbr="27 p." DocPartId="d4d033a9cf264e24804eff9bedbe49d0" PartId="dd8c01612cb743409d4d00da0ce60315"/>
      <Part Type="punktas" Nr="28" Abbr="28 p." DocPartId="097805e83c6d44c480413d09fcae26af" PartId="db327f6e7fba45229454f137b87f6afe"/>
    </Part>
    <Part Type="skyrius" Nr="6" Title="TEISĖJŲ VEIKLOS VERTINIMO PROCEDŪRA" DocPartId="e4aaf7eef87e44cc8eee33aefc723fb3" PartId="91b1ab9803384249992b504833978824">
      <Part Type="punktas" Nr="29" Abbr="29 p." DocPartId="c894a32055a746739c73f5cf9badb43d" PartId="be29f4a347a9411e99e82766d98aabfe"/>
      <Part Type="punktas" Nr="29-1" Abbr="29-1 p." DocPartId="1c27f05ba79d41ad823d0cc9dff73080" PartId="9f1586bd1f4d410aaed97d943f686b65"/>
      <Part Type="punktas" Nr="30" Abbr="30 p." DocPartId="b66b91c0d3e2493eb0df7b48db930c1d" PartId="80b6344ffdcc4f8ebdbfc61804b1cf81"/>
      <Part Type="punktas" Nr="31" Abbr="31 p." DocPartId="0156d04841c74d3eac7ea681effdfe17" PartId="e4d18347794d45a28e11a0ea69fb5d0e"/>
      <Part Type="punktas" Nr="32" Abbr="32 p." DocPartId="8f15498c20af450aabd327efc6df5d5d" PartId="b849a23a54c04e67aa9c3fd06506666d"/>
      <Part Type="punktas" Nr="33" Abbr="33 p." DocPartId="a7fe81ac05fc4018ae97cb11fd13713d" PartId="a6cd58152ac04568b2072d22ee95fda7"/>
      <Part Type="punktas" Nr="34" Abbr="34 p." DocPartId="146dd279df184af0803ec33b00a7486a" PartId="bc4faac1398a4125bd31f52205016ca2"/>
      <Part Type="punktas" Nr="35" Abbr="35 p." DocPartId="0ab80e927f8e46e283bdebf7d2954c59" PartId="dd9177b054434777acc0455bfa7d0ceb"/>
      <Part Type="punktas" Nr="36" Abbr="36 p." DocPartId="107f0cc2a7c04c16b6d58a4f8b5e0ba1" PartId="f179485cbc0b41f68e8af26b5208702d"/>
      <Part Type="punktas" Nr="37" Abbr="37 p." DocPartId="fed73edaa71f4381bc9a7c3b85111f9b" PartId="dd316de47ecc4792babc569f356e0188"/>
      <Part Type="punktas" Nr="38" Abbr="38 p." DocPartId="fac97ca7b0584f0390f63257e7360955" PartId="f6ace6077aed4fcfa67c009ee8407dff">
        <Part Type="papunktis" Nr="38.1" Abbr="38.1 pp." DocPartId="37a8a366e77d4cd68bf70e06f0b17a93" PartId="7aa19baf92fc4bb79659994e7cab5b35"/>
        <Part Type="papunktis" Nr="38.2" Abbr="38.2 pp." DocPartId="d0c22773b09d444daa94dfeb3c278cf6" PartId="1663dc95e3f5439aa9819f5da57494f1"/>
      </Part>
      <Part Type="punktas" Nr="39" Abbr="39 p." DocPartId="164dabbf0106448894aa30363cb4ecf7" PartId="2ae54f4a5afd4b4d8fd93a13bacd6107"/>
      <Part Type="punktas" Nr="40" Abbr="40 p." DocPartId="2b9db4e486ed4691872b0819eaf1b800" PartId="0c508ab6ca8549a6bd0091880c47dd60"/>
    </Part>
    <Part Type="skyrius" Nr="7" Title="BAIGIAMOSIOS NUOSTATOS" DocPartId="af3da4bc65724a88b385386854bfcd15" PartId="514b8202d66a4179a27af9b6a21c159a">
      <Part Type="punktas" Nr="41" Abbr="41 p." DocPartId="f2eabf82664548f59703b1461521c8cc" PartId="7b59136303e547f4b99c724abca15783"/>
      <Part Type="punktas" Nr="42" Abbr="42 p." DocPartId="29aada2dde0a439499e70ad85b030f8c" PartId="cf80969b36c3446aa31d1087941b5a1b"/>
    </Part>
    <Part Type="pabaiga" DocPartId="1907741a42794ed892c65f8b5896ecf9" PartId="4158a728a5fa415795b7fe9d3916ae08"/>
  </Part>
  <Part Type="priedas" Abbr="pr." DocPartId="ea3cd83b30164f43b18e6a35261e6bd4" PartId="04022ca96b734fa582b12dde099ae2df">
    <Part Type="skyrius" Nr="1" Title="Profesinės veiklos (teisinio darbo kokybė) vertinimo rezultatai:" DocPartId="497fbb0ab4634214808735ebadb86d30" PartId="ea77a6fe301f48368fa32defdecf42cc">
      <Part Type="punktas" Nr="1" Abbr="pr. 1 p." DocPartId="97c9135428ce40c289b15a07d12957a5" PartId="f466fa85506d4ab9a8c10a90cb80ad1f"/>
      <Part Type="poskyris" Title="Duomenys apie teisėjo nagrinėtose civilinėse bylose sudarytas taikos sutartis, teisėjo perduotų nagrinėti teisminės mediacijos būdu bylų skaičių, teisėjo – teismo mediatoriaus – teisminės mediacijos būdu išnagrinėtų bylų skaičių ir jų apibendrintas vertinimas:" DocPartId="85040c4d319c44ab88062f4b886027e0" PartId="0f7638131e6e49e8a7bb42069c9cc906">
        <Part Type="punktas" Nr="2" Abbr="pr. 2 p." DocPartId="3c254c6e9f8b463daef1ed180ba95db9" PartId="4d0dddb34a1943688a834ecaf1bb03e4"/>
        <Part Type="punktas" Nr="3" Abbr="pr. 3 p." DocPartId="6f094d5c10c541c8a28b651488f23dc6" PartId="6a707c11f0204449a95b4418d7922e73"/>
        <Part Type="punktas" Nr="4" Abbr="pr. 4 p." DocPartId="9f6e00b889aa4374824b3ef70bfee5c9" PartId="8f54ea478e654cc0be9622a5ab016edf">
          <Part Type="papunktis" Nr="4.1" Abbr="pr. 4.1 pp." DocPartId="c8c18529a730439e8b50fef0067299af" PartId="5978480cf53f47ef88e476f038dc142b"/>
          <Part Type="papunktis" Nr="4.2" Abbr="pr. 4.2 pp." DocPartId="4062884c98cf4e09b23d07643bf9c008" PartId="4955d129074b42acba2bf597587563d9"/>
        </Part>
      </Part>
    </Part>
    <Part Type="skyrius" Nr="2" Title="Asmeninių ir dalykinių savybių vertinimo rezultatai:" DocPartId="371c5028c59643ff97b6af7b91cb700b" PartId="7aa5c2aafd2944f8bd173b2ac7cff2e2">
      <Part Type="punktas" Nr="5" Abbr="pr. 5 p." DocPartId="b3ff938f1b9a4ae698b6fec1ae1e4929" PartId="84797ef1dada47f38b15dd268a16c764">
        <Part Type="papunktis" Nr="5.1" Abbr="pr. 5.1 pp." DocPartId="40add58fd31f4127a547dabf24ee73f7" PartId="64d1a0cb3b55407692467c31ec2b8004"/>
        <Part Type="papunktis" Nr="5.2" Abbr="pr. 5.2 pp." DocPartId="d658229233cd411cb0fd02a62b7217b9" PartId="ba1712d5c02e46658852290ccccd132a"/>
        <Part Type="papunktis" Nr="5.3" Abbr="pr. 5.3 pp." DocPartId="cd7366b9b3924aafa4eae6ec82f4928e" PartId="e947d94599994af1affb5b3633e5b06b"/>
        <Part Type="papunktis" Nr="5.4" Abbr="pr. 5.4 pp." DocPartId="c98c42fe59e449689b35a091e2f40560" PartId="832af255603f41129d87259be129df60"/>
      </Part>
      <Part Type="punktas" Nr="6" Abbr="pr. 6 p." DocPartId="0fad315d7b6445af99e6fa700550a38a" PartId="89269d6c487f420b8df49e814ef67f1a"/>
    </Part>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7D45C6-784A-485E-8FED-F4512439BD62}">
  <ds:schemaRefs>
    <ds:schemaRef ds:uri="http://lrs.lt/TAIS/DocParts"/>
  </ds:schemaRefs>
</ds:datastoreItem>
</file>

<file path=customXml/itemProps3.xml><?xml version="1.0" encoding="utf-8"?>
<ds:datastoreItem xmlns:ds="http://schemas.openxmlformats.org/officeDocument/2006/customXml" ds:itemID="{C88D0658-8A09-4387-86FB-5EEA39A41B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14</Pages>
  <Words>5123</Words>
  <Characters>38370</Characters>
  <Application>Microsoft Office Word</Application>
  <DocSecurity>0</DocSecurity>
  <Lines>319</Lines>
  <Paragraphs>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43407</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2022-12-21T11:41:00Z</dcterms:modified>
  <revision>14</revision>
  <dc:title>Projektas</dc:title>
</coreProperties>
</file>