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Arial" w:hAnsi="Arial"/>
            </w:rPr>
          </w:pPr>
          <w:r>
            <w:rPr>
              <w:rFonts w:ascii="Arial" w:hAnsi="Arial"/>
              <w:b/>
              <w:i/>
            </w:rPr>
            <w:t>Suvestinė redakcija nuo 2024-03-19 iki 2024-05-07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2022-05-31, i. k. 2022-11649</w:t>
          </w:r>
        </w:p>
        <w:p>
          <w:pPr>
            <w:jc w:val="both"/>
            <w:rPr>
              <w:rFonts w:ascii="Arial" w:hAnsi="Arial"/>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ef27804ea411edbc04912defe897d1">
                <w:r w:rsidRPr="00532B9F">
                  <w:rPr>
                    <w:rFonts w:ascii="Arial" w:eastAsia="MS Mincho" w:hAnsi="Arial"/>
                    <w:sz w:val="20"/>
                    <w:i/>
                    <w:iCs/>
                    <w:color w:val="0000FF" w:themeColor="hyperlink"/>
                    <w:u w:val="single"/>
                  </w:rPr>
                  <w:t>V-1647</w:t>
                </w:r>
              </w:fldSimple>
              <w:r>
                <w:rPr>
                  <w:rFonts w:ascii="Arial" w:eastAsia="MS Mincho" w:hAnsi="Arial"/>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56b606307d3e44638f5f8e3042d48b16"/>
        <w:lock w:val="sdtLocked"/>
        <w:richText/>
      </w:sdtPr>
      <w:sdtContent>
        <w:p>
          <w:pPr>
            <w:rPr>
              <w:color w:val="000000"/>
              <w:szCs w:val="24"/>
            </w:rP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5" w:right="567" w:bottom="1134" w:left="1701" w:header="567" w:footer="567" w:gutter="0"/>
              <w:cols w:space="1296"/>
              <w:titlePg/>
              <w:docGrid w:linePitch="360"/>
            </w:sectPr>
          </w:pPr>
        </w:p>
        <w:p>
          <w:pPr>
            <w:ind w:left="3828"/>
            <w:jc w:val="both"/>
            <w:rPr>
              <w:color w:val="000000"/>
              <w:szCs w:val="27"/>
              <w:lang w:eastAsia="lt-LT"/>
            </w:rPr>
          </w:pPr>
          <w:r>
            <w:rPr>
              <w:color w:val="000000"/>
              <w:szCs w:val="27"/>
              <w:lang w:eastAsia="lt-LT"/>
            </w:rPr>
            <w:t>PATVIRTINTA</w:t>
          </w:r>
        </w:p>
        <w:p>
          <w:pPr>
            <w:ind w:left="3828"/>
            <w:jc w:val="both"/>
            <w:rPr>
              <w:color w:val="000000"/>
              <w:szCs w:val="27"/>
              <w:lang w:eastAsia="lt-LT"/>
            </w:rPr>
          </w:pPr>
          <w:r>
            <w:rPr>
              <w:color w:val="000000"/>
              <w:szCs w:val="27"/>
              <w:lang w:eastAsia="lt-LT"/>
            </w:rPr>
            <w:t xml:space="preserve">Lietuvos Respublikos švietimo, mokslo ir sporto ministro </w:t>
          </w:r>
        </w:p>
        <w:p>
          <w:pPr>
            <w:ind w:left="3828"/>
            <w:jc w:val="both"/>
            <w:rPr>
              <w:color w:val="000000"/>
              <w:szCs w:val="27"/>
              <w:lang w:eastAsia="lt-LT"/>
            </w:rPr>
          </w:pPr>
          <w:r>
            <w:rPr>
              <w:color w:val="000000"/>
              <w:szCs w:val="27"/>
              <w:lang w:eastAsia="lt-LT"/>
            </w:rPr>
            <w:t xml:space="preserve">2022 m. gegužės 31 d. įsakymu Nr. V-878 </w:t>
          </w:r>
        </w:p>
        <w:p>
          <w:pPr>
            <w:ind w:left="3828"/>
            <w:jc w:val="both"/>
            <w:rPr>
              <w:color w:val="000000"/>
              <w:szCs w:val="27"/>
              <w:lang w:eastAsia="lt-LT"/>
            </w:rPr>
          </w:pPr>
          <w:r>
            <w:rPr>
              <w:color w:val="000000"/>
              <w:szCs w:val="27"/>
              <w:lang w:eastAsia="lt-LT"/>
            </w:rPr>
            <w:t>(Lietuvos Respublikos švietimo, mokslo ir sporto ministro</w:t>
          </w:r>
        </w:p>
        <w:p>
          <w:pPr>
            <w:ind w:left="3828"/>
            <w:jc w:val="both"/>
          </w:pPr>
          <w:r>
            <w:rPr>
              <w:color w:val="000000"/>
              <w:szCs w:val="27"/>
              <w:lang w:eastAsia="lt-LT"/>
            </w:rPr>
            <w:t xml:space="preserve">2023 m. kovo 16 d. įsakymo Nr. </w:t>
          </w:r>
          <w:r>
            <w:t>V-343</w:t>
          </w:r>
        </w:p>
        <w:p>
          <w:pPr>
            <w:ind w:left="3828"/>
            <w:jc w:val="both"/>
            <w:rPr>
              <w:color w:val="000000"/>
              <w:szCs w:val="27"/>
              <w:lang w:eastAsia="lt-LT"/>
            </w:rPr>
          </w:pPr>
          <w:r>
            <w:rPr>
              <w:color w:val="000000"/>
              <w:szCs w:val="27"/>
              <w:lang w:eastAsia="lt-LT"/>
            </w:rPr>
            <w:t>redakcija)</w:t>
          </w:r>
        </w:p>
        <w:p>
          <w:pPr>
            <w:jc w:val="both"/>
            <w:rPr>
              <w:szCs w:val="24"/>
            </w:rPr>
          </w:pPr>
        </w:p>
        <w:p>
          <w:pPr>
            <w:rPr>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e5a8732405b54e6594a24c497a41e107"/>
            <w:lock w:val="sdtLocked"/>
            <w:richText/>
          </w:sdtPr>
          <w:sdtContent>
            <w:p>
              <w:pPr>
                <w:tabs>
                  <w:tab w:val="left" w:pos="1985"/>
                </w:tabs>
                <w:jc w:val="center"/>
                <w:rPr>
                  <w:b/>
                  <w:bCs/>
                </w:rPr>
              </w:pPr>
              <w:sdt>
                <w:sdtPr>
                  <w:alias w:val="Numeris"/>
                  <w:tag w:val="nr_e5a8732405b54e6594a24c497a41e107"/>
                  <w:lock w:val="sdtLocked"/>
                  <w:richText/>
                </w:sdtPr>
                <w:sdtContent>
                  <w:r>
                    <w:rPr>
                      <w:b/>
                      <w:bCs/>
                    </w:rPr>
                    <w:t>I</w:t>
                  </w:r>
                </w:sdtContent>
              </w:sdt>
              <w:r>
                <w:rPr>
                  <w:b/>
                  <w:bCs/>
                </w:rPr>
                <w:t xml:space="preserve"> SKYRIUS</w:t>
              </w:r>
            </w:p>
            <w:p>
              <w:pPr>
                <w:jc w:val="center"/>
                <w:rPr>
                  <w:b/>
                  <w:bCs/>
                  <w:lang w:eastAsia="lt-LT"/>
                </w:rPr>
              </w:pPr>
              <w:sdt>
                <w:sdtPr>
                  <w:alias w:val="Pavadinimas"/>
                  <w:tag w:val="title_e5a8732405b54e6594a24c497a41e107"/>
                  <w:lock w:val="sdtLocked"/>
                  <w:richText/>
                </w:sdtPr>
                <w:sdtContent>
                  <w:r>
                    <w:rPr>
                      <w:b/>
                      <w:bCs/>
                      <w:lang w:eastAsia="lt-LT"/>
                    </w:rPr>
                    <w:t>PLĖTROS PROGRAMOS PAŽANGOS PRIEMONĖS SIEKIAMI REZULTATAI</w:t>
                  </w:r>
                </w:sdtContent>
              </w:sdt>
            </w:p>
            <w:p>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trPr>
                  <w:trHeight w:val="348"/>
                </w:trPr>
                <w:tc>
                  <w:tcPr>
                    <w:tcW w:w="851" w:type="dxa"/>
                    <w:vMerge w:val="restart"/>
                    <w:shd w:val="clear" w:color="auto" w:fill="DEEAF6" w:themeFill="accent1" w:themeFillTint="33"/>
                    <w:vAlign w:val="center"/>
                  </w:tcPr>
                  <w:p>
                    <w:pPr>
                      <w:jc w:val="center"/>
                      <w:rPr>
                        <w:b/>
                        <w:bCs/>
                        <w:sz w:val="16"/>
                        <w:szCs w:val="16"/>
                      </w:rPr>
                    </w:pPr>
                    <w:r>
                      <w:rPr>
                        <w:b/>
                        <w:bCs/>
                        <w:sz w:val="16"/>
                        <w:szCs w:val="16"/>
                      </w:rPr>
                      <w:t>Rodiklio kodas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pPr>
                      <w:jc w:val="center"/>
                      <w:rPr>
                        <w:b/>
                        <w:bCs/>
                        <w:sz w:val="16"/>
                        <w:szCs w:val="16"/>
                      </w:rPr>
                    </w:pPr>
                    <w:r>
                      <w:rPr>
                        <w:b/>
                        <w:bCs/>
                        <w:sz w:val="16"/>
                        <w:szCs w:val="16"/>
                      </w:rPr>
                      <w:t>Matavimo vienetas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268" w:type="dxa"/>
                    <w:vMerge/>
                    <w:vAlign w:val="center"/>
                  </w:tcPr>
                  <w:p>
                    <w:pPr>
                      <w:spacing w:line="276" w:lineRule="auto"/>
                      <w:jc w:val="center"/>
                      <w:rPr>
                        <w:b/>
                        <w:sz w:val="22"/>
                        <w:szCs w:val="22"/>
                      </w:rPr>
                    </w:pPr>
                  </w:p>
                </w:tc>
                <w:tc>
                  <w:tcPr>
                    <w:tcW w:w="993"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EEAF6" w:themeFill="accent1" w:themeFillTint="33"/>
                  </w:tcPr>
                  <w:p>
                    <w:pPr>
                      <w:jc w:val="center"/>
                      <w:rPr>
                        <w:b/>
                        <w:bCs/>
                        <w:sz w:val="16"/>
                        <w:szCs w:val="16"/>
                      </w:rPr>
                    </w:pPr>
                    <w:r>
                      <w:rPr>
                        <w:b/>
                        <w:bCs/>
                        <w:sz w:val="16"/>
                        <w:szCs w:val="16"/>
                      </w:rPr>
                      <w:t>Tarpinė reikšmė 2025 m.</w:t>
                    </w:r>
                  </w:p>
                </w:tc>
                <w:tc>
                  <w:tcPr>
                    <w:tcW w:w="1134" w:type="dxa"/>
                    <w:shd w:val="clear" w:color="auto" w:fill="DEEAF6" w:themeFill="accent1" w:themeFillTint="33"/>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418" w:type="dxa"/>
                    <w:vMerge/>
                  </w:tcPr>
                  <w:p>
                    <w:pPr>
                      <w:spacing w:line="276" w:lineRule="auto"/>
                      <w:jc w:val="center"/>
                      <w:rPr>
                        <w:b/>
                        <w:sz w:val="16"/>
                        <w:szCs w:val="16"/>
                      </w:rPr>
                    </w:pPr>
                  </w:p>
                </w:tc>
              </w:tr>
              <w:tr>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8</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n / a</w:t>
                    </w:r>
                  </w:p>
                  <w:p>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Valstybės biudžetas</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20"/>
                      </w:rPr>
                    </w:pPr>
                    <w:r>
                      <w:rPr>
                        <w:sz w:val="20"/>
                      </w:rPr>
                      <w:t>0</w:t>
                    </w:r>
                  </w:p>
                </w:tc>
                <w:tc>
                  <w:tcPr>
                    <w:tcW w:w="992" w:type="dxa"/>
                    <w:shd w:val="clear" w:color="auto" w:fill="FFFFFF" w:themeFill="background1"/>
                    <w:vAlign w:val="center"/>
                  </w:tcPr>
                  <w:p>
                    <w:pPr>
                      <w:spacing w:line="276" w:lineRule="auto"/>
                      <w:jc w:val="center"/>
                      <w:rPr>
                        <w:sz w:val="20"/>
                      </w:rPr>
                    </w:pPr>
                    <w:r>
                      <w:rPr>
                        <w:sz w:val="20"/>
                      </w:rPr>
                      <w:t>460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rPr>
                    </w:pPr>
                    <w:r>
                      <w:rPr>
                        <w:sz w:val="20"/>
                      </w:rPr>
                      <w:t>0</w:t>
                    </w:r>
                  </w:p>
                </w:tc>
                <w:tc>
                  <w:tcPr>
                    <w:tcW w:w="992" w:type="dxa"/>
                    <w:shd w:val="clear" w:color="auto" w:fill="FFFFFF" w:themeFill="background1"/>
                    <w:vAlign w:val="center"/>
                  </w:tcPr>
                  <w:p>
                    <w:pPr>
                      <w:spacing w:line="276" w:lineRule="auto"/>
                      <w:jc w:val="center"/>
                      <w:rPr>
                        <w:sz w:val="20"/>
                      </w:rPr>
                    </w:pPr>
                    <w:r>
                      <w:rPr>
                        <w:sz w:val="20"/>
                      </w:rPr>
                      <w:t>1 675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P-12-003-03-01-04-07</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R-12-003-03-01-04-09</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20"/>
                      </w:rPr>
                      <w:t>n / a</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268" w:type="dxa"/>
                    <w:shd w:val="clear" w:color="auto" w:fill="FFFFFF" w:themeFill="background1"/>
                    <w:vAlign w:val="center"/>
                  </w:tcPr>
                  <w:p>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418" w:type="dxa"/>
                    <w:shd w:val="clear" w:color="auto" w:fill="FFFFFF" w:themeFill="background1"/>
                    <w:vAlign w:val="center"/>
                  </w:tcPr>
                  <w:p>
                    <w:pPr>
                      <w:spacing w:line="276" w:lineRule="auto"/>
                      <w:jc w:val="center"/>
                      <w:rPr>
                        <w:sz w:val="18"/>
                        <w:szCs w:val="18"/>
                      </w:rPr>
                    </w:pPr>
                    <w:r>
                      <w:rPr>
                        <w:sz w:val="18"/>
                        <w:szCs w:val="18"/>
                      </w:rPr>
                      <w:t>Ekonomikos gaivinimo ir atsparumo didinimo priemonė (EGADP)</w:t>
                    </w:r>
                  </w:p>
                </w:tc>
              </w:tr>
            </w:tbl>
            <w:p/>
            <w:p>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pPr>
                <w:rPr>
                  <w:sz w:val="20"/>
                </w:rPr>
              </w:pPr>
            </w:p>
          </w:sdtContent>
        </w:sdt>
        <w:sdt>
          <w:sdtPr>
            <w:alias w:val="skyrius"/>
            <w:tag w:val="part_e65e5e05641c4923b40c02cf1920e87e"/>
            <w:lock w:val="sdtLocked"/>
            <w:richText/>
          </w:sdtPr>
          <w:sdtContent>
            <w:p>
              <w:pPr>
                <w:jc w:val="center"/>
                <w:rPr>
                  <w:b/>
                  <w:bCs/>
                </w:rPr>
              </w:pPr>
              <w:sdt>
                <w:sdtPr>
                  <w:alias w:val="Numeris"/>
                  <w:tag w:val="nr_e65e5e05641c4923b40c02cf1920e87e"/>
                  <w:lock w:val="sdtLocked"/>
                  <w:richText/>
                </w:sdtPr>
                <w:sdtContent>
                  <w:r>
                    <w:rPr>
                      <w:b/>
                      <w:bCs/>
                    </w:rPr>
                    <w:t>II</w:t>
                  </w:r>
                </w:sdtContent>
              </w:sdt>
              <w:r>
                <w:rPr>
                  <w:b/>
                  <w:bCs/>
                </w:rPr>
                <w:t xml:space="preserve"> SKYRIUS</w:t>
              </w:r>
            </w:p>
            <w:p>
              <w:pPr>
                <w:jc w:val="center"/>
                <w:rPr>
                  <w:b/>
                  <w:bCs/>
                </w:rPr>
              </w:pPr>
              <w:sdt>
                <w:sdtPr>
                  <w:alias w:val="Pavadinimas"/>
                  <w:tag w:val="title_e65e5e05641c4923b40c02cf1920e87e"/>
                  <w:lock w:val="sdtLocked"/>
                  <w:richText/>
                </w:sdtPr>
                <w:sdtContent>
                  <w:r>
                    <w:rPr>
                      <w:b/>
                      <w:bCs/>
                    </w:rPr>
                    <w:t>PLĖTROS PROGRAMOS PAŽANGOS PRIEMONĖS FINANSAVIMO ŠALTINIAI</w:t>
                  </w:r>
                </w:sdtContent>
              </w:sdt>
            </w:p>
            <w:p>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p>
              <w:pPr>
                <w:tabs>
                  <w:tab w:val="center" w:pos="4986"/>
                  <w:tab w:val="right" w:pos="9972"/>
                </w:tabs>
              </w:pPr>
            </w:p>
          </w:sdtContent>
        </w:sdt>
        <w:sdt>
          <w:sdtPr>
            <w:alias w:val="skyrius"/>
            <w:tag w:val="part_aa6aa1e22bc54fe7a7d19fa278705b2d"/>
            <w:lock w:val="sdtLocked"/>
            <w:richText/>
          </w:sdtPr>
          <w:sdtContent>
            <w:p>
              <w:pPr>
                <w:jc w:val="center"/>
                <w:rPr>
                  <w:b/>
                  <w:bCs/>
                </w:rPr>
              </w:pPr>
              <w:sdt>
                <w:sdtPr>
                  <w:alias w:val="Numeris"/>
                  <w:tag w:val="nr_aa6aa1e22bc54fe7a7d19fa278705b2d"/>
                  <w:lock w:val="sdtLocked"/>
                  <w:richText/>
                </w:sdtPr>
                <w:sdtContent>
                  <w:r>
                    <w:rPr>
                      <w:b/>
                      <w:bCs/>
                    </w:rPr>
                    <w:t>III</w:t>
                  </w:r>
                </w:sdtContent>
              </w:sdt>
              <w:r>
                <w:rPr>
                  <w:b/>
                  <w:bCs/>
                </w:rPr>
                <w:t xml:space="preserve"> SKYRIUS</w:t>
              </w:r>
            </w:p>
            <w:p>
              <w:pPr>
                <w:jc w:val="center"/>
                <w:rPr>
                  <w:b/>
                  <w:bCs/>
                </w:rPr>
              </w:pPr>
              <w:sdt>
                <w:sdtPr>
                  <w:alias w:val="Pavadinimas"/>
                  <w:tag w:val="title_aa6aa1e22bc54fe7a7d19fa278705b2d"/>
                  <w:lock w:val="sdtLocked"/>
                  <w:richText/>
                </w:sdtPr>
                <w:sdtContent>
                  <w:r>
                    <w:rPr>
                      <w:b/>
                      <w:bCs/>
                    </w:rPr>
                    <w:t>PLĖTROS PROGRAMOS PAŽANGOS PRIEMONĖS VEIKLŲ SUVESTINĖ</w:t>
                  </w:r>
                </w:sdtContent>
              </w:sdt>
            </w:p>
            <w:p>
              <w:pPr>
                <w:jc w:val="center"/>
                <w:rPr>
                  <w:color w:val="000000"/>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trPr>
                  <w:trHeight w:val="700"/>
                </w:trPr>
                <w:tc>
                  <w:tcPr>
                    <w:tcW w:w="195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92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96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851"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127"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08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07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95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166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69"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1956" w:type="dxa"/>
                    <w:shd w:val="clear" w:color="auto" w:fill="DEEAF6" w:themeFill="accent1" w:themeFillTint="33"/>
                  </w:tcPr>
                  <w:p>
                    <w:pPr>
                      <w:jc w:val="center"/>
                      <w:rPr>
                        <w:b/>
                        <w:bCs/>
                        <w:sz w:val="16"/>
                        <w:szCs w:val="16"/>
                      </w:rPr>
                    </w:pPr>
                    <w:r>
                      <w:rPr>
                        <w:b/>
                        <w:bCs/>
                        <w:sz w:val="16"/>
                        <w:szCs w:val="16"/>
                      </w:rPr>
                      <w:t>1</w:t>
                    </w:r>
                  </w:p>
                </w:tc>
                <w:tc>
                  <w:tcPr>
                    <w:tcW w:w="923" w:type="dxa"/>
                    <w:shd w:val="clear" w:color="auto" w:fill="DEEAF6" w:themeFill="accent1" w:themeFillTint="33"/>
                  </w:tcPr>
                  <w:p>
                    <w:pPr>
                      <w:jc w:val="center"/>
                      <w:rPr>
                        <w:b/>
                        <w:bCs/>
                        <w:sz w:val="16"/>
                        <w:szCs w:val="16"/>
                      </w:rPr>
                    </w:pPr>
                    <w:r>
                      <w:rPr>
                        <w:b/>
                        <w:bCs/>
                        <w:sz w:val="16"/>
                        <w:szCs w:val="16"/>
                      </w:rPr>
                      <w:t>2</w:t>
                    </w:r>
                  </w:p>
                </w:tc>
                <w:tc>
                  <w:tcPr>
                    <w:tcW w:w="963" w:type="dxa"/>
                    <w:shd w:val="clear" w:color="auto" w:fill="DEEAF6" w:themeFill="accent1" w:themeFillTint="33"/>
                  </w:tcPr>
                  <w:p>
                    <w:pPr>
                      <w:jc w:val="center"/>
                      <w:rPr>
                        <w:b/>
                        <w:bCs/>
                        <w:sz w:val="16"/>
                        <w:szCs w:val="16"/>
                      </w:rPr>
                    </w:pPr>
                    <w:r>
                      <w:rPr>
                        <w:b/>
                        <w:bCs/>
                        <w:sz w:val="16"/>
                        <w:szCs w:val="16"/>
                      </w:rPr>
                      <w:t>3</w:t>
                    </w:r>
                  </w:p>
                </w:tc>
                <w:tc>
                  <w:tcPr>
                    <w:tcW w:w="851" w:type="dxa"/>
                    <w:shd w:val="clear" w:color="auto" w:fill="DEEAF6" w:themeFill="accent1" w:themeFillTint="33"/>
                  </w:tcPr>
                  <w:p>
                    <w:pPr>
                      <w:jc w:val="center"/>
                      <w:rPr>
                        <w:b/>
                        <w:bCs/>
                        <w:sz w:val="16"/>
                        <w:szCs w:val="16"/>
                      </w:rPr>
                    </w:pPr>
                    <w:r>
                      <w:rPr>
                        <w:b/>
                        <w:bCs/>
                        <w:sz w:val="16"/>
                        <w:szCs w:val="16"/>
                      </w:rPr>
                      <w:t>4</w:t>
                    </w:r>
                  </w:p>
                </w:tc>
                <w:tc>
                  <w:tcPr>
                    <w:tcW w:w="1040" w:type="dxa"/>
                    <w:shd w:val="clear" w:color="auto" w:fill="DEEAF6" w:themeFill="accent1" w:themeFillTint="33"/>
                  </w:tcPr>
                  <w:p>
                    <w:pPr>
                      <w:jc w:val="center"/>
                      <w:rPr>
                        <w:b/>
                        <w:bCs/>
                        <w:sz w:val="16"/>
                        <w:szCs w:val="16"/>
                      </w:rPr>
                    </w:pPr>
                    <w:r>
                      <w:rPr>
                        <w:b/>
                        <w:bCs/>
                        <w:sz w:val="16"/>
                        <w:szCs w:val="16"/>
                      </w:rPr>
                      <w:t>5</w:t>
                    </w:r>
                  </w:p>
                </w:tc>
                <w:tc>
                  <w:tcPr>
                    <w:tcW w:w="1040" w:type="dxa"/>
                    <w:shd w:val="clear" w:color="auto" w:fill="DEEAF6" w:themeFill="accent1" w:themeFillTint="33"/>
                  </w:tcPr>
                  <w:p>
                    <w:pPr>
                      <w:jc w:val="center"/>
                      <w:rPr>
                        <w:b/>
                        <w:bCs/>
                        <w:sz w:val="16"/>
                        <w:szCs w:val="16"/>
                      </w:rPr>
                    </w:pPr>
                    <w:r>
                      <w:rPr>
                        <w:b/>
                        <w:bCs/>
                        <w:sz w:val="16"/>
                        <w:szCs w:val="16"/>
                      </w:rPr>
                      <w:t>6</w:t>
                    </w:r>
                  </w:p>
                </w:tc>
                <w:tc>
                  <w:tcPr>
                    <w:tcW w:w="1127" w:type="dxa"/>
                    <w:shd w:val="clear" w:color="auto" w:fill="DEEAF6" w:themeFill="accent1" w:themeFillTint="33"/>
                  </w:tcPr>
                  <w:p>
                    <w:pPr>
                      <w:jc w:val="center"/>
                      <w:rPr>
                        <w:b/>
                        <w:bCs/>
                        <w:sz w:val="16"/>
                        <w:szCs w:val="16"/>
                      </w:rPr>
                    </w:pPr>
                    <w:r>
                      <w:rPr>
                        <w:b/>
                        <w:bCs/>
                        <w:sz w:val="16"/>
                        <w:szCs w:val="16"/>
                      </w:rPr>
                      <w:t>7</w:t>
                    </w:r>
                  </w:p>
                </w:tc>
                <w:tc>
                  <w:tcPr>
                    <w:tcW w:w="1083" w:type="dxa"/>
                    <w:shd w:val="clear" w:color="auto" w:fill="DEEAF6" w:themeFill="accent1" w:themeFillTint="33"/>
                  </w:tcPr>
                  <w:p>
                    <w:pPr>
                      <w:jc w:val="center"/>
                      <w:rPr>
                        <w:b/>
                        <w:bCs/>
                        <w:sz w:val="16"/>
                        <w:szCs w:val="16"/>
                      </w:rPr>
                    </w:pPr>
                    <w:r>
                      <w:rPr>
                        <w:b/>
                        <w:bCs/>
                        <w:sz w:val="16"/>
                        <w:szCs w:val="16"/>
                      </w:rPr>
                      <w:t>8</w:t>
                    </w:r>
                  </w:p>
                </w:tc>
                <w:tc>
                  <w:tcPr>
                    <w:tcW w:w="2072" w:type="dxa"/>
                    <w:shd w:val="clear" w:color="auto" w:fill="DEEAF6" w:themeFill="accent1" w:themeFillTint="33"/>
                  </w:tcPr>
                  <w:p>
                    <w:pPr>
                      <w:jc w:val="center"/>
                      <w:rPr>
                        <w:b/>
                        <w:bCs/>
                        <w:sz w:val="16"/>
                        <w:szCs w:val="16"/>
                      </w:rPr>
                    </w:pPr>
                    <w:r>
                      <w:rPr>
                        <w:b/>
                        <w:bCs/>
                        <w:sz w:val="16"/>
                        <w:szCs w:val="16"/>
                      </w:rPr>
                      <w:t>9</w:t>
                    </w:r>
                  </w:p>
                </w:tc>
                <w:tc>
                  <w:tcPr>
                    <w:tcW w:w="952" w:type="dxa"/>
                    <w:shd w:val="clear" w:color="auto" w:fill="DEEAF6" w:themeFill="accent1" w:themeFillTint="33"/>
                  </w:tcPr>
                  <w:p>
                    <w:pPr>
                      <w:jc w:val="center"/>
                      <w:rPr>
                        <w:b/>
                        <w:bCs/>
                        <w:sz w:val="16"/>
                        <w:szCs w:val="16"/>
                      </w:rPr>
                    </w:pPr>
                    <w:r>
                      <w:rPr>
                        <w:b/>
                        <w:bCs/>
                        <w:sz w:val="16"/>
                        <w:szCs w:val="16"/>
                      </w:rPr>
                      <w:t>10</w:t>
                    </w:r>
                  </w:p>
                </w:tc>
                <w:tc>
                  <w:tcPr>
                    <w:tcW w:w="1666" w:type="dxa"/>
                    <w:shd w:val="clear" w:color="auto" w:fill="DEEAF6" w:themeFill="accent1" w:themeFillTint="33"/>
                  </w:tcPr>
                  <w:p>
                    <w:pPr>
                      <w:jc w:val="center"/>
                      <w:rPr>
                        <w:b/>
                        <w:bCs/>
                        <w:sz w:val="16"/>
                        <w:szCs w:val="16"/>
                      </w:rPr>
                    </w:pPr>
                    <w:r>
                      <w:rPr>
                        <w:b/>
                        <w:bCs/>
                        <w:sz w:val="16"/>
                        <w:szCs w:val="16"/>
                      </w:rPr>
                      <w:t>11</w:t>
                    </w:r>
                  </w:p>
                </w:tc>
                <w:tc>
                  <w:tcPr>
                    <w:tcW w:w="1069" w:type="dxa"/>
                    <w:shd w:val="clear" w:color="auto" w:fill="DEEAF6" w:themeFill="accent1" w:themeFillTint="33"/>
                  </w:tcPr>
                  <w:p>
                    <w:pPr>
                      <w:jc w:val="center"/>
                      <w:rPr>
                        <w:b/>
                        <w:bCs/>
                        <w:sz w:val="16"/>
                        <w:szCs w:val="16"/>
                      </w:rPr>
                    </w:pPr>
                    <w:r>
                      <w:rPr>
                        <w:b/>
                        <w:bCs/>
                        <w:sz w:val="16"/>
                        <w:szCs w:val="16"/>
                      </w:rPr>
                      <w:t>12</w:t>
                    </w:r>
                  </w:p>
                </w:tc>
              </w:tr>
              <w:tr>
                <w:trPr>
                  <w:trHeight w:val="300"/>
                </w:trPr>
                <w:tc>
                  <w:tcPr>
                    <w:tcW w:w="1956" w:type="dxa"/>
                    <w:vMerge w:val="restart"/>
                    <w:tcBorders>
                      <w:top w:val="single" w:sz="4" w:space="0" w:color="auto"/>
                      <w:left w:val="single" w:sz="4" w:space="0" w:color="auto"/>
                      <w:right w:val="single" w:sz="4" w:space="0" w:color="auto"/>
                    </w:tcBorders>
                    <w:shd w:val="clear" w:color="auto" w:fill="DEEAF6" w:themeFill="accent1" w:themeFillTint="33"/>
                  </w:tcPr>
                  <w:p>
                    <w:pPr>
                      <w:rPr>
                        <w:b/>
                        <w:bCs/>
                        <w:sz w:val="16"/>
                        <w:szCs w:val="16"/>
                      </w:rPr>
                    </w:pPr>
                    <w:r>
                      <w:rPr>
                        <w:b/>
                        <w:bCs/>
                        <w:sz w:val="16"/>
                        <w:szCs w:val="16"/>
                      </w:rPr>
                      <w:t>1</w:t>
                    </w:r>
                    <w:r>
                      <w:rPr>
                        <w:bCs/>
                        <w:sz w:val="16"/>
                        <w:szCs w:val="16"/>
                      </w:rPr>
                      <w:t>. Įgyvendinti priemones, kad į ikimokyklinį ugdymą būtų sėkmingai įtraukti vaikai iš socialinę riziką patiriančių šeimų (Vaiko garantijos iniciatyva</w:t>
                    </w:r>
                    <w:r>
                      <w:rPr>
                        <w:b/>
                        <w:bCs/>
                        <w:sz w:val="16"/>
                        <w:szCs w:val="16"/>
                      </w:rPr>
                      <w:t>)</w:t>
                    </w:r>
                  </w:p>
                </w:tc>
                <w:tc>
                  <w:tcPr>
                    <w:tcW w:w="92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I</w:t>
                    </w:r>
                  </w:p>
                </w:tc>
                <w:tc>
                  <w:tcPr>
                    <w:tcW w:w="96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Savivaldybės, ESFA</w:t>
                    </w:r>
                  </w:p>
                </w:tc>
                <w:tc>
                  <w:tcPr>
                    <w:tcW w:w="851"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Taip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D</w:t>
                    </w:r>
                  </w:p>
                </w:tc>
                <w:tc>
                  <w:tcPr>
                    <w:tcW w:w="1127"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35 172</w:t>
                    </w:r>
                  </w:p>
                  <w:p>
                    <w:pPr>
                      <w:jc w:val="center"/>
                      <w:rPr>
                        <w:bCs/>
                        <w:sz w:val="16"/>
                        <w:szCs w:val="16"/>
                      </w:rPr>
                    </w:pPr>
                    <w:r>
                      <w:rPr>
                        <w:bCs/>
                        <w:sz w:val="16"/>
                        <w:szCs w:val="16"/>
                      </w:rPr>
                      <w:t>(SR: ES – 2 950; BF – 2 950; VVL: ES – 24 881; BF – 4 391)</w:t>
                    </w:r>
                  </w:p>
                </w:tc>
                <w:tc>
                  <w:tcPr>
                    <w:tcW w:w="108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2021–2027 IP</w:t>
                    </w:r>
                  </w:p>
                </w:tc>
                <w:tc>
                  <w:tcPr>
                    <w:tcW w:w="20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R – Socialinės rizikos šeimose augančių vaikų, kurie yra privalomai ugdomi pagal ikimokyklinio ar priešmokyklinio ugdymo programas ne trumpiau kaip 6 mėnesius, dalis</w:t>
                    </w:r>
                  </w:p>
                </w:tc>
                <w:tc>
                  <w:tcPr>
                    <w:tcW w:w="95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80</w:t>
                    </w:r>
                  </w:p>
                </w:tc>
                <w:tc>
                  <w:tcPr>
                    <w:tcW w:w="1666"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CPVA</w:t>
                    </w:r>
                  </w:p>
                </w:tc>
                <w:tc>
                  <w:tcPr>
                    <w:tcW w:w="1069"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SADM“.</w:t>
                    </w:r>
                  </w:p>
                </w:tc>
              </w:tr>
              <w:tr>
                <w:trPr>
                  <w:trHeight w:val="990"/>
                </w:trPr>
                <w:tc>
                  <w:tcPr>
                    <w:tcW w:w="1956" w:type="dxa"/>
                    <w:vMerge/>
                    <w:tcBorders>
                      <w:left w:val="single" w:sz="4" w:space="0" w:color="auto"/>
                      <w:right w:val="single" w:sz="4" w:space="0" w:color="auto"/>
                    </w:tcBorders>
                  </w:tcPr>
                  <w:p>
                    <w:pPr>
                      <w:ind w:left="-57" w:right="-57"/>
                      <w:rPr>
                        <w:sz w:val="18"/>
                        <w:szCs w:val="18"/>
                      </w:rPr>
                    </w:pPr>
                  </w:p>
                </w:tc>
                <w:tc>
                  <w:tcPr>
                    <w:tcW w:w="923" w:type="dxa"/>
                    <w:vMerge/>
                    <w:tcBorders>
                      <w:left w:val="single" w:sz="4" w:space="0" w:color="auto"/>
                      <w:right w:val="single" w:sz="4" w:space="0" w:color="auto"/>
                    </w:tcBorders>
                  </w:tcPr>
                  <w:p>
                    <w:pPr>
                      <w:ind w:left="-57" w:right="-57"/>
                      <w:rPr>
                        <w:sz w:val="18"/>
                        <w:szCs w:val="18"/>
                      </w:rPr>
                    </w:pPr>
                  </w:p>
                </w:tc>
                <w:tc>
                  <w:tcPr>
                    <w:tcW w:w="963" w:type="dxa"/>
                    <w:vMerge/>
                    <w:tcBorders>
                      <w:left w:val="single" w:sz="4" w:space="0" w:color="auto"/>
                      <w:right w:val="single" w:sz="4" w:space="0" w:color="auto"/>
                    </w:tcBorders>
                  </w:tcPr>
                  <w:p>
                    <w:pPr>
                      <w:ind w:left="-57" w:right="-57"/>
                      <w:rPr>
                        <w:sz w:val="18"/>
                        <w:szCs w:val="18"/>
                      </w:rPr>
                    </w:pPr>
                  </w:p>
                </w:tc>
                <w:tc>
                  <w:tcPr>
                    <w:tcW w:w="851" w:type="dxa"/>
                    <w:vMerge/>
                    <w:tcBorders>
                      <w:left w:val="single" w:sz="4" w:space="0" w:color="auto"/>
                      <w:right w:val="single" w:sz="4" w:space="0" w:color="auto"/>
                    </w:tcBorders>
                  </w:tcPr>
                  <w:p>
                    <w:pPr>
                      <w:ind w:left="-57" w:right="-57"/>
                      <w:rPr>
                        <w:sz w:val="18"/>
                        <w:szCs w:val="18"/>
                      </w:rPr>
                    </w:pPr>
                  </w:p>
                </w:tc>
                <w:tc>
                  <w:tcPr>
                    <w:tcW w:w="1040" w:type="dxa"/>
                    <w:vMerge/>
                    <w:tcBorders>
                      <w:left w:val="single" w:sz="4" w:space="0" w:color="auto"/>
                      <w:right w:val="single" w:sz="4" w:space="0" w:color="auto"/>
                    </w:tcBorders>
                  </w:tcPr>
                  <w:p>
                    <w:pPr>
                      <w:ind w:left="-60" w:right="-60"/>
                      <w:jc w:val="center"/>
                      <w:textAlignment w:val="baseline"/>
                      <w:rPr>
                        <w:sz w:val="16"/>
                        <w:szCs w:val="16"/>
                        <w:lang w:eastAsia="lt-LT"/>
                      </w:rPr>
                    </w:pPr>
                  </w:p>
                </w:tc>
                <w:tc>
                  <w:tcPr>
                    <w:tcW w:w="1040" w:type="dxa"/>
                    <w:vMerge/>
                    <w:tcBorders>
                      <w:left w:val="single" w:sz="4" w:space="0" w:color="auto"/>
                      <w:right w:val="single" w:sz="4" w:space="0" w:color="auto"/>
                    </w:tcBorders>
                  </w:tcPr>
                  <w:p>
                    <w:pPr>
                      <w:ind w:left="-57" w:right="-57"/>
                      <w:jc w:val="center"/>
                      <w:rPr>
                        <w:sz w:val="18"/>
                        <w:szCs w:val="18"/>
                      </w:rPr>
                    </w:pPr>
                  </w:p>
                </w:tc>
                <w:tc>
                  <w:tcPr>
                    <w:tcW w:w="1127" w:type="dxa"/>
                    <w:vMerge/>
                    <w:tcBorders>
                      <w:left w:val="single" w:sz="4" w:space="0" w:color="auto"/>
                      <w:right w:val="single" w:sz="4" w:space="0" w:color="auto"/>
                    </w:tcBorders>
                  </w:tcPr>
                  <w:p>
                    <w:pPr>
                      <w:ind w:left="-57" w:right="-57"/>
                      <w:jc w:val="center"/>
                      <w:rPr>
                        <w:sz w:val="18"/>
                        <w:szCs w:val="18"/>
                      </w:rPr>
                    </w:pPr>
                  </w:p>
                </w:tc>
                <w:tc>
                  <w:tcPr>
                    <w:tcW w:w="1083" w:type="dxa"/>
                    <w:vMerge/>
                    <w:tcBorders>
                      <w:left w:val="single" w:sz="4" w:space="0" w:color="auto"/>
                      <w:right w:val="single" w:sz="4" w:space="0" w:color="auto"/>
                    </w:tcBorders>
                  </w:tcPr>
                  <w:p>
                    <w:pPr>
                      <w:ind w:left="-57" w:right="-57"/>
                      <w:jc w:val="center"/>
                      <w:rPr>
                        <w:sz w:val="18"/>
                        <w:szCs w:val="18"/>
                      </w:rPr>
                    </w:pPr>
                  </w:p>
                </w:tc>
                <w:tc>
                  <w:tcPr>
                    <w:tcW w:w="2072" w:type="dxa"/>
                    <w:tcBorders>
                      <w:left w:val="single" w:sz="4" w:space="0" w:color="auto"/>
                    </w:tcBorders>
                  </w:tcPr>
                  <w:p>
                    <w:pPr>
                      <w:ind w:left="-57" w:right="-57"/>
                      <w:rPr>
                        <w:sz w:val="18"/>
                        <w:szCs w:val="18"/>
                      </w:rPr>
                    </w:pPr>
                    <w:r>
                      <w:rPr>
                        <w:sz w:val="18"/>
                        <w:szCs w:val="18"/>
                      </w:rPr>
                      <w:t>P – Jaunesnių nei 18 metų vaikų skaičius</w:t>
                    </w:r>
                  </w:p>
                </w:tc>
                <w:tc>
                  <w:tcPr>
                    <w:tcW w:w="952" w:type="dxa"/>
                    <w:tcBorders>
                      <w:right w:val="single" w:sz="4" w:space="0" w:color="auto"/>
                    </w:tcBorders>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1666" w:type="dxa"/>
                    <w:vMerge/>
                    <w:tcBorders>
                      <w:left w:val="single" w:sz="4" w:space="0" w:color="auto"/>
                      <w:right w:val="single" w:sz="4" w:space="0" w:color="auto"/>
                    </w:tcBorders>
                  </w:tcPr>
                  <w:p>
                    <w:pPr>
                      <w:ind w:left="-57" w:right="-57"/>
                      <w:rPr>
                        <w:sz w:val="18"/>
                        <w:szCs w:val="18"/>
                      </w:rPr>
                    </w:pPr>
                  </w:p>
                </w:tc>
                <w:tc>
                  <w:tcPr>
                    <w:tcW w:w="1069" w:type="dxa"/>
                    <w:vMerge/>
                    <w:tcBorders>
                      <w:left w:val="single" w:sz="4" w:space="0" w:color="auto"/>
                      <w:right w:val="single" w:sz="4" w:space="0" w:color="auto"/>
                    </w:tcBorders>
                  </w:tcPr>
                  <w:p>
                    <w:pPr>
                      <w:ind w:left="-57" w:right="-57"/>
                      <w:rPr>
                        <w:sz w:val="18"/>
                        <w:szCs w:val="18"/>
                      </w:rPr>
                    </w:pPr>
                  </w:p>
                </w:tc>
              </w:tr>
              <w:tr>
                <w:trPr>
                  <w:trHeight w:val="613"/>
                </w:trPr>
                <w:tc>
                  <w:tcPr>
                    <w:tcW w:w="1956" w:type="dxa"/>
                    <w:vMerge w:val="restart"/>
                  </w:tcPr>
                  <w:p>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5 900</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510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29 272</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2 540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p>
                </w:tc>
                <w:tc>
                  <w:tcPr>
                    <w:tcW w:w="1083"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SR – 2 340, VVL – 6 000</w:t>
                    </w:r>
                  </w:p>
                </w:tc>
                <w:tc>
                  <w:tcPr>
                    <w:tcW w:w="1666"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1069" w:type="dxa"/>
                    <w:vMerge w:val="restart"/>
                  </w:tcPr>
                  <w:p>
                    <w:pPr>
                      <w:ind w:left="-57" w:right="-57"/>
                      <w:jc w:val="center"/>
                      <w:rPr>
                        <w:sz w:val="18"/>
                        <w:szCs w:val="18"/>
                      </w:rPr>
                    </w:pPr>
                    <w:r>
                      <w:rPr>
                        <w:sz w:val="18"/>
                        <w:szCs w:val="18"/>
                      </w:rPr>
                      <w:t>–</w:t>
                    </w:r>
                  </w:p>
                </w:tc>
              </w:tr>
              <w:tr>
                <w:trPr>
                  <w:trHeight w:val="405"/>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ind w:left="-57" w:right="-57"/>
                      <w:rPr>
                        <w:sz w:val="18"/>
                        <w:szCs w:val="18"/>
                      </w:rPr>
                    </w:pPr>
                  </w:p>
                </w:tc>
                <w:tc>
                  <w:tcPr>
                    <w:tcW w:w="1069" w:type="dxa"/>
                    <w:vMerge/>
                  </w:tcPr>
                  <w:p>
                    <w:pPr>
                      <w:ind w:left="-57" w:right="-57"/>
                      <w:rPr>
                        <w:sz w:val="18"/>
                        <w:szCs w:val="18"/>
                      </w:rPr>
                    </w:pPr>
                  </w:p>
                </w:tc>
              </w:tr>
              <w:t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jc w:val="center"/>
                      <w:rPr>
                        <w:sz w:val="18"/>
                        <w:szCs w:val="18"/>
                      </w:rPr>
                    </w:pPr>
                    <w:r>
                      <w:rPr>
                        <w:sz w:val="18"/>
                        <w:szCs w:val="18"/>
                      </w:rPr>
                      <w:t>1</w:t>
                    </w:r>
                  </w:p>
                </w:tc>
                <w:tc>
                  <w:tcPr>
                    <w:tcW w:w="1666" w:type="dxa"/>
                    <w:vMerge/>
                  </w:tcPr>
                  <w:p/>
                </w:tc>
                <w:tc>
                  <w:tcPr>
                    <w:tcW w:w="1069" w:type="dxa"/>
                    <w:vMerge/>
                  </w:tcPr>
                  <w:p/>
                </w:tc>
              </w:tr>
              <w:t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jc w:val="center"/>
                      <w:rPr>
                        <w:sz w:val="18"/>
                        <w:szCs w:val="18"/>
                      </w:rPr>
                    </w:pPr>
                    <w:r>
                      <w:rPr>
                        <w:sz w:val="18"/>
                        <w:szCs w:val="18"/>
                      </w:rPr>
                      <w:t>SR – 2 740, VVL – 7 060</w:t>
                    </w:r>
                  </w:p>
                </w:tc>
                <w:tc>
                  <w:tcPr>
                    <w:tcW w:w="1666" w:type="dxa"/>
                    <w:vMerge/>
                  </w:tcPr>
                  <w:p/>
                </w:tc>
                <w:tc>
                  <w:tcPr>
                    <w:tcW w:w="1069" w:type="dxa"/>
                    <w:vMerge/>
                  </w:tcPr>
                  <w:p/>
                </w:tc>
              </w:tr>
              <w:tr>
                <w:trPr>
                  <w:trHeight w:val="984"/>
                </w:trPr>
                <w:tc>
                  <w:tcPr>
                    <w:tcW w:w="1956" w:type="dxa"/>
                    <w:vMerge w:val="restart"/>
                  </w:tcPr>
                  <w:p>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1 316</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right="-57"/>
                      <w:jc w:val="center"/>
                      <w:rPr>
                        <w:sz w:val="18"/>
                        <w:szCs w:val="18"/>
                      </w:rPr>
                    </w:pPr>
                    <w:r>
                      <w:rPr>
                        <w:sz w:val="18"/>
                        <w:szCs w:val="18"/>
                      </w:rPr>
                      <w:t>2 340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2 740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070"/>
                </w:trPr>
                <w:tc>
                  <w:tcPr>
                    <w:tcW w:w="1956" w:type="dxa"/>
                    <w:vMerge w:val="restart"/>
                  </w:tcPr>
                  <w:p>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3 384</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6 000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070"/>
                </w:trPr>
                <w:tc>
                  <w:tcPr>
                    <w:tcW w:w="1956" w:type="dxa"/>
                    <w:vMerge/>
                  </w:tcPr>
                  <w:p>
                    <w:pPr>
                      <w:ind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7 060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33"/>
                </w:trPr>
                <w:tc>
                  <w:tcPr>
                    <w:tcW w:w="1956"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 (IP metodologinio dokumento 4.3.2 veikla)</w:t>
                    </w:r>
                  </w:p>
                  <w:p>
                    <w:pPr>
                      <w:ind w:left="-57" w:right="-57"/>
                      <w:rPr>
                        <w:sz w:val="18"/>
                        <w:szCs w:val="18"/>
                      </w:rPr>
                    </w:pP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Mokyklos, savivaldybės, 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 xml:space="preserve">D </w:t>
                    </w:r>
                  </w:p>
                </w:tc>
                <w:tc>
                  <w:tcPr>
                    <w:tcW w:w="1127" w:type="dxa"/>
                    <w:vMerge w:val="restart"/>
                  </w:tcPr>
                  <w:p>
                    <w:pPr>
                      <w:ind w:left="-57" w:right="-57"/>
                      <w:jc w:val="center"/>
                      <w:rPr>
                        <w:sz w:val="18"/>
                        <w:szCs w:val="18"/>
                      </w:rPr>
                    </w:pPr>
                    <w:r>
                      <w:rPr>
                        <w:sz w:val="18"/>
                        <w:szCs w:val="18"/>
                      </w:rPr>
                      <w:t>6 000</w:t>
                    </w:r>
                  </w:p>
                  <w:p>
                    <w:pPr>
                      <w:ind w:left="-57" w:right="-57"/>
                      <w:jc w:val="center"/>
                      <w:rPr>
                        <w:sz w:val="18"/>
                        <w:szCs w:val="18"/>
                      </w:rPr>
                    </w:pP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R – Asmenų, kurie dalyvavę mokymuose įgijo kompetenciją,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33"/>
                </w:trP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rPr>
                        <w:sz w:val="18"/>
                        <w:szCs w:val="18"/>
                      </w:rPr>
                    </w:pPr>
                    <w:r>
                      <w:rPr>
                        <w:sz w:val="18"/>
                        <w:szCs w:val="18"/>
                      </w:rPr>
                      <w:t>P – Asmenys, turintys tretinį (ISCED 5–8 kodai) išsilavinimą</w:t>
                    </w:r>
                  </w:p>
                </w:tc>
                <w:tc>
                  <w:tcPr>
                    <w:tcW w:w="952" w:type="dxa"/>
                  </w:tcPr>
                  <w:p>
                    <w:pPr>
                      <w:jc w:val="center"/>
                      <w:rPr>
                        <w:sz w:val="18"/>
                        <w:szCs w:val="18"/>
                      </w:rPr>
                    </w:pPr>
                    <w:r>
                      <w:rPr>
                        <w:sz w:val="18"/>
                        <w:szCs w:val="18"/>
                      </w:rPr>
                      <w:t>VVL – 1 370</w:t>
                    </w:r>
                  </w:p>
                </w:tc>
                <w:tc>
                  <w:tcPr>
                    <w:tcW w:w="1666" w:type="dxa"/>
                    <w:vMerge/>
                  </w:tcPr>
                  <w:p/>
                </w:tc>
                <w:tc>
                  <w:tcPr>
                    <w:tcW w:w="1069" w:type="dxa"/>
                    <w:vMerge/>
                  </w:tcPr>
                  <w:p/>
                </w:tc>
              </w:tr>
              <w:tr>
                <w:trPr>
                  <w:trHeight w:val="233"/>
                </w:trPr>
                <w:tc>
                  <w:tcPr>
                    <w:tcW w:w="1956" w:type="dxa"/>
                    <w:vMerge w:val="restart"/>
                  </w:tcPr>
                  <w:p>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923" w:type="dxa"/>
                    <w:vMerge w:val="restart"/>
                  </w:tcPr>
                  <w:p>
                    <w:pPr>
                      <w:jc w:val="center"/>
                      <w:rPr>
                        <w:sz w:val="18"/>
                        <w:szCs w:val="18"/>
                      </w:rPr>
                    </w:pPr>
                    <w:r>
                      <w:rPr>
                        <w:sz w:val="18"/>
                        <w:szCs w:val="18"/>
                      </w:rPr>
                      <w:t>A</w:t>
                    </w:r>
                  </w:p>
                </w:tc>
                <w:tc>
                  <w:tcPr>
                    <w:tcW w:w="963" w:type="dxa"/>
                    <w:vMerge w:val="restart"/>
                  </w:tcPr>
                  <w:p>
                    <w:pPr>
                      <w:jc w:val="center"/>
                      <w:rPr>
                        <w:sz w:val="18"/>
                        <w:szCs w:val="18"/>
                      </w:rPr>
                    </w:pPr>
                    <w:r>
                      <w:rPr>
                        <w:sz w:val="18"/>
                        <w:szCs w:val="18"/>
                      </w:rPr>
                      <w:t>–</w:t>
                    </w:r>
                  </w:p>
                </w:tc>
                <w:tc>
                  <w:tcPr>
                    <w:tcW w:w="851" w:type="dxa"/>
                    <w:vMerge w:val="restart"/>
                  </w:tcPr>
                  <w:p>
                    <w:pPr>
                      <w:jc w:val="center"/>
                      <w:rPr>
                        <w:sz w:val="18"/>
                        <w:szCs w:val="18"/>
                      </w:rPr>
                    </w:pPr>
                    <w:r>
                      <w:rPr>
                        <w:sz w:val="18"/>
                        <w:szCs w:val="18"/>
                      </w:rPr>
                      <w:t>–</w:t>
                    </w:r>
                  </w:p>
                </w:tc>
                <w:tc>
                  <w:tcPr>
                    <w:tcW w:w="1040" w:type="dxa"/>
                    <w:vMerge w:val="restart"/>
                  </w:tcPr>
                  <w:p>
                    <w:pPr>
                      <w:spacing w:line="259" w:lineRule="auto"/>
                      <w:jc w:val="center"/>
                      <w:rPr>
                        <w:sz w:val="16"/>
                        <w:szCs w:val="16"/>
                      </w:rPr>
                    </w:pPr>
                    <w:r>
                      <w:rPr>
                        <w:sz w:val="16"/>
                        <w:szCs w:val="16"/>
                      </w:rPr>
                      <w:t>Ne</w:t>
                    </w:r>
                  </w:p>
                </w:tc>
                <w:tc>
                  <w:tcPr>
                    <w:tcW w:w="1040" w:type="dxa"/>
                    <w:vMerge w:val="restart"/>
                  </w:tcPr>
                  <w:p>
                    <w:pPr>
                      <w:jc w:val="center"/>
                      <w:rPr>
                        <w:sz w:val="18"/>
                        <w:szCs w:val="18"/>
                      </w:rPr>
                    </w:pPr>
                    <w:r>
                      <w:rPr>
                        <w:sz w:val="18"/>
                        <w:szCs w:val="18"/>
                      </w:rPr>
                      <w:t>–</w:t>
                    </w:r>
                  </w:p>
                </w:tc>
                <w:tc>
                  <w:tcPr>
                    <w:tcW w:w="1127" w:type="dxa"/>
                  </w:tcPr>
                  <w:p>
                    <w:pPr>
                      <w:ind w:left="-57" w:right="-57"/>
                      <w:jc w:val="center"/>
                      <w:rPr>
                        <w:sz w:val="18"/>
                        <w:szCs w:val="18"/>
                      </w:rPr>
                    </w:pPr>
                    <w:r>
                      <w:rPr>
                        <w:sz w:val="18"/>
                        <w:szCs w:val="18"/>
                      </w:rPr>
                      <w:t>–</w:t>
                    </w:r>
                  </w:p>
                </w:tc>
                <w:tc>
                  <w:tcPr>
                    <w:tcW w:w="1083" w:type="dxa"/>
                  </w:tcPr>
                  <w:p>
                    <w:pPr>
                      <w:jc w:val="center"/>
                      <w:rPr>
                        <w:sz w:val="18"/>
                        <w:szCs w:val="18"/>
                      </w:rPr>
                    </w:pPr>
                    <w:r>
                      <w:rPr>
                        <w:sz w:val="18"/>
                        <w:szCs w:val="18"/>
                      </w:rPr>
                      <w:t>EGADP</w:t>
                    </w:r>
                  </w:p>
                </w:tc>
                <w:tc>
                  <w:tcPr>
                    <w:tcW w:w="2072" w:type="dxa"/>
                  </w:tcPr>
                  <w:p>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52" w:type="dxa"/>
                  </w:tcPr>
                  <w:p>
                    <w:pPr>
                      <w:jc w:val="center"/>
                      <w:rPr>
                        <w:sz w:val="18"/>
                        <w:szCs w:val="18"/>
                      </w:rPr>
                    </w:pPr>
                    <w:r>
                      <w:rPr>
                        <w:sz w:val="18"/>
                        <w:szCs w:val="18"/>
                      </w:rPr>
                      <w:t>1</w:t>
                    </w:r>
                  </w:p>
                </w:tc>
                <w:tc>
                  <w:tcPr>
                    <w:tcW w:w="1666" w:type="dxa"/>
                    <w:vMerge w:val="restart"/>
                  </w:tcPr>
                  <w:p>
                    <w:pPr>
                      <w:jc w:val="center"/>
                      <w:rPr>
                        <w:sz w:val="22"/>
                        <w:szCs w:val="22"/>
                      </w:rPr>
                    </w:pPr>
                    <w:r>
                      <w:rPr>
                        <w:sz w:val="18"/>
                        <w:szCs w:val="18"/>
                      </w:rPr>
                      <w:t>–</w:t>
                    </w:r>
                  </w:p>
                </w:tc>
                <w:tc>
                  <w:tcPr>
                    <w:tcW w:w="1069" w:type="dxa"/>
                    <w:vMerge w:val="restart"/>
                  </w:tcPr>
                  <w:p>
                    <w:pPr>
                      <w:jc w:val="center"/>
                      <w:rPr>
                        <w:sz w:val="18"/>
                        <w:szCs w:val="18"/>
                      </w:rPr>
                    </w:pPr>
                    <w:r>
                      <w:rPr>
                        <w:sz w:val="18"/>
                        <w:szCs w:val="18"/>
                      </w:rPr>
                      <w:t>NŠA</w:t>
                    </w:r>
                  </w:p>
                </w:tc>
              </w:tr>
              <w:tr>
                <w:trPr>
                  <w:trHeight w:val="233"/>
                </w:trP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952" w:type="dxa"/>
                  </w:tcPr>
                  <w:p>
                    <w:pPr>
                      <w:jc w:val="center"/>
                      <w:rPr>
                        <w:sz w:val="18"/>
                        <w:szCs w:val="18"/>
                      </w:rPr>
                    </w:pPr>
                    <w:r>
                      <w:rPr>
                        <w:sz w:val="18"/>
                        <w:szCs w:val="18"/>
                      </w:rPr>
                      <w:t>95</w:t>
                    </w:r>
                  </w:p>
                </w:tc>
                <w:tc>
                  <w:tcPr>
                    <w:tcW w:w="1666" w:type="dxa"/>
                    <w:vMerge/>
                  </w:tcPr>
                  <w:p/>
                </w:tc>
                <w:tc>
                  <w:tcPr>
                    <w:tcW w:w="1069" w:type="dxa"/>
                    <w:vMerge/>
                  </w:tcPr>
                  <w:p/>
                </w:tc>
              </w:tr>
              <w:tr>
                <w:trPr>
                  <w:trHeight w:val="233"/>
                </w:trPr>
                <w:tc>
                  <w:tcPr>
                    <w:tcW w:w="1956" w:type="dxa"/>
                    <w:vMerge/>
                  </w:tcPr>
                  <w:p>
                    <w:pPr>
                      <w:rPr>
                        <w:sz w:val="18"/>
                        <w:szCs w:val="18"/>
                      </w:rPr>
                    </w:pPr>
                  </w:p>
                </w:tc>
                <w:tc>
                  <w:tcPr>
                    <w:tcW w:w="923" w:type="dxa"/>
                    <w:vMerge/>
                  </w:tcPr>
                  <w:p>
                    <w:pPr>
                      <w:jc w:val="center"/>
                      <w:rPr>
                        <w:sz w:val="18"/>
                        <w:szCs w:val="18"/>
                      </w:rPr>
                    </w:pPr>
                  </w:p>
                </w:tc>
                <w:tc>
                  <w:tcPr>
                    <w:tcW w:w="963" w:type="dxa"/>
                    <w:vMerge/>
                  </w:tcPr>
                  <w:p>
                    <w:pPr>
                      <w:jc w:val="center"/>
                      <w:rPr>
                        <w:sz w:val="18"/>
                        <w:szCs w:val="18"/>
                      </w:rPr>
                    </w:pPr>
                  </w:p>
                </w:tc>
                <w:tc>
                  <w:tcPr>
                    <w:tcW w:w="851" w:type="dxa"/>
                    <w:vMerge/>
                  </w:tcPr>
                  <w:p>
                    <w:pPr>
                      <w:jc w:val="center"/>
                      <w:rPr>
                        <w:sz w:val="18"/>
                        <w:szCs w:val="18"/>
                      </w:rPr>
                    </w:pPr>
                  </w:p>
                </w:tc>
                <w:tc>
                  <w:tcPr>
                    <w:tcW w:w="1040" w:type="dxa"/>
                    <w:vMerge/>
                  </w:tcPr>
                  <w:p>
                    <w:pPr>
                      <w:spacing w:line="259" w:lineRule="auto"/>
                      <w:jc w:val="center"/>
                      <w:rPr>
                        <w:sz w:val="16"/>
                        <w:szCs w:val="16"/>
                      </w:rPr>
                    </w:pPr>
                  </w:p>
                </w:tc>
                <w:tc>
                  <w:tcPr>
                    <w:tcW w:w="1040" w:type="dxa"/>
                    <w:vMerge/>
                  </w:tcPr>
                  <w:p>
                    <w:pPr>
                      <w:jc w:val="center"/>
                      <w:rPr>
                        <w:sz w:val="18"/>
                        <w:szCs w:val="18"/>
                      </w:rPr>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52" w:type="dxa"/>
                  </w:tcPr>
                  <w:p>
                    <w:pPr>
                      <w:jc w:val="center"/>
                      <w:rPr>
                        <w:sz w:val="14"/>
                        <w:szCs w:val="14"/>
                      </w:rPr>
                    </w:pPr>
                    <w:r>
                      <w:rPr>
                        <w:sz w:val="18"/>
                        <w:szCs w:val="18"/>
                      </w:rPr>
                      <w:t>Ne mažiau kaip 2 000</w:t>
                    </w:r>
                  </w:p>
                  <w:p>
                    <w:pPr>
                      <w:jc w:val="center"/>
                      <w:rPr>
                        <w:sz w:val="18"/>
                        <w:szCs w:val="18"/>
                      </w:rPr>
                    </w:pPr>
                  </w:p>
                </w:tc>
                <w:tc>
                  <w:tcPr>
                    <w:tcW w:w="1666" w:type="dxa"/>
                    <w:vMerge/>
                  </w:tcPr>
                  <w:p>
                    <w:pPr>
                      <w:spacing w:line="259" w:lineRule="auto"/>
                      <w:jc w:val="center"/>
                      <w:rPr>
                        <w:sz w:val="18"/>
                        <w:szCs w:val="18"/>
                      </w:rPr>
                    </w:pPr>
                  </w:p>
                </w:tc>
                <w:tc>
                  <w:tcPr>
                    <w:tcW w:w="1069" w:type="dxa"/>
                    <w:vMerge/>
                  </w:tcPr>
                  <w:p>
                    <w:pPr>
                      <w:spacing w:line="259" w:lineRule="auto"/>
                      <w:jc w:val="center"/>
                      <w:rPr>
                        <w:sz w:val="18"/>
                        <w:szCs w:val="18"/>
                      </w:rPr>
                    </w:pPr>
                  </w:p>
                </w:tc>
              </w:tr>
            </w:tbl>
            <w:p>
              <w:pPr>
                <w:jc w:val="center"/>
                <w:rPr>
                  <w:color w:val="000000"/>
                  <w:szCs w:val="24"/>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sdtContent>
        </w:sdt>
        <w:sdt>
          <w:sdtPr>
            <w:alias w:val="pabaiga"/>
            <w:tag w:val="part_b4b0dad2f71e4481b98d0977022f54c3"/>
            <w:lock w:val="sdtLocked"/>
            <w:richText/>
          </w:sdtPr>
          <w:sdtContent>
            <w:p>
              <w:pPr>
                <w:jc w:val="center"/>
              </w:pPr>
              <w:r>
                <w:rPr>
                  <w:sz w:val="22"/>
                  <w:szCs w:val="22"/>
                </w:rPr>
                <w:t>____________________________</w:t>
              </w:r>
            </w:p>
          </w:sdtContent>
        </w:sdt>
      </w:sdtContent>
    </w:sdt>
    <w:sdt>
      <w:sdtPr>
        <w:alias w:val="1 pr."/>
        <w:tag w:val="part_95bdc822ba9a4fec9d591d69b43d57a3"/>
        <w:lock w:val="sdtLocked"/>
        <w:richText/>
      </w:sdtPr>
      <w:sdtContent>
        <w:p>
          <w:pPr>
            <w:rPr>
              <w:vanish/>
              <w:color w:val="000000"/>
              <w:szCs w:val="24"/>
              <w:specVanish/>
            </w:rPr>
          </w:pPr>
        </w:p>
        <w:p>
          <w:pPr>
            <w:ind w:firstLine="62"/>
            <w:rPr>
              <w:color w:val="000000"/>
              <w:szCs w:val="24"/>
            </w:rPr>
            <w:sectPr>
              <w:type w:val="continuous"/>
              <w:pgSz w:w="16840" w:h="11907" w:orient="landscape" w:code="9"/>
              <w:pgMar w:top="1699" w:right="142" w:bottom="562" w:left="1238" w:header="288" w:footer="720" w:gutter="0"/>
              <w:pgNumType w:start="1"/>
              <w:cols w:space="720"/>
              <w:noEndnote/>
              <w:titlePg/>
              <w:docGrid w:linePitch="326"/>
            </w:sectPr>
          </w:pPr>
        </w:p>
        <w:p>
          <w:pPr>
            <w:ind w:left="9356"/>
            <w:jc w:val="both"/>
            <w:rPr>
              <w:bCs/>
              <w:szCs w:val="24"/>
            </w:rPr>
          </w:pPr>
          <w:r>
            <w:rPr>
              <w:bCs/>
              <w:szCs w:val="24"/>
            </w:rPr>
            <w:t>2021–2030 m. plėtros programos valdytojos</w:t>
          </w:r>
        </w:p>
        <w:p>
          <w:pPr>
            <w:ind w:left="9356"/>
            <w:jc w:val="both"/>
            <w:rPr>
              <w:bCs/>
              <w:szCs w:val="24"/>
            </w:rPr>
          </w:pPr>
          <w:r>
            <w:rPr>
              <w:bCs/>
              <w:szCs w:val="24"/>
            </w:rPr>
            <w:t>Lietuvos Respublikos švietimo, mokslo ir sporto</w:t>
          </w:r>
        </w:p>
        <w:p>
          <w:pPr>
            <w:ind w:left="9356"/>
            <w:jc w:val="both"/>
            <w:rPr>
              <w:bCs/>
              <w:szCs w:val="24"/>
            </w:rPr>
          </w:pPr>
          <w:r>
            <w:rPr>
              <w:bCs/>
              <w:szCs w:val="24"/>
            </w:rPr>
            <w:t>ministerijos švietimo plėtros programos pažangos</w:t>
          </w:r>
        </w:p>
        <w:p>
          <w:pPr>
            <w:ind w:left="9356"/>
            <w:jc w:val="both"/>
            <w:rPr>
              <w:bCs/>
              <w:szCs w:val="24"/>
            </w:rPr>
          </w:pPr>
          <w:r>
            <w:rPr>
              <w:bCs/>
              <w:szCs w:val="24"/>
            </w:rPr>
            <w:t>priemonės Nr. 12-003-03-01-04 „Užtikrinti visiems</w:t>
          </w:r>
        </w:p>
        <w:p>
          <w:pPr>
            <w:ind w:left="9356"/>
            <w:jc w:val="both"/>
            <w:rPr>
              <w:bCs/>
              <w:szCs w:val="24"/>
            </w:rPr>
          </w:pPr>
          <w:r>
            <w:rPr>
              <w:bCs/>
              <w:szCs w:val="24"/>
            </w:rPr>
            <w:t>prieinamą ankstyvąjį ugdymą“ aprašo</w:t>
          </w:r>
        </w:p>
        <w:p>
          <w:pPr>
            <w:ind w:left="9356"/>
            <w:jc w:val="both"/>
            <w:rPr>
              <w:szCs w:val="24"/>
            </w:rPr>
          </w:pPr>
          <w:r>
            <w:rPr>
              <w:szCs w:val="24"/>
            </w:rPr>
            <w:t>1 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2 740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2 340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jc w:val="center"/>
                  <w:rPr>
                    <w:sz w:val="22"/>
                    <w:szCs w:val="22"/>
                  </w:rPr>
                </w:pPr>
                <w:r>
                  <w:rPr>
                    <w:sz w:val="22"/>
                    <w:szCs w:val="22"/>
                    <w:shd w:val="clear" w:color="auto" w:fill="FFFFFF"/>
                  </w:rPr>
                  <w:t>P-12-003-03-01-04-07</w:t>
                </w:r>
              </w:p>
            </w:tc>
            <w:tc>
              <w:tcPr>
                <w:tcW w:w="3688" w:type="dxa"/>
                <w:shd w:val="clear" w:color="auto" w:fill="auto"/>
                <w:vAlign w:val="center"/>
              </w:tcPr>
              <w:p>
                <w:pPr>
                  <w:jc w:val="center"/>
                  <w:rPr>
                    <w:sz w:val="22"/>
                    <w:szCs w:val="22"/>
                  </w:rPr>
                </w:pPr>
                <w:r>
                  <w:rPr>
                    <w:sz w:val="22"/>
                    <w:szCs w:val="22"/>
                  </w:rPr>
                  <w:t>vienetai</w:t>
                </w:r>
              </w:p>
            </w:tc>
            <w:tc>
              <w:tcPr>
                <w:tcW w:w="3688" w:type="dxa"/>
                <w:shd w:val="clear" w:color="auto" w:fill="auto"/>
                <w:vAlign w:val="center"/>
              </w:tcPr>
              <w:p>
                <w:pPr>
                  <w:jc w:val="cente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iCs/>
                    <w:sz w:val="22"/>
                    <w:szCs w:val="22"/>
                  </w:rPr>
                </w:pPr>
                <w:r>
                  <w:rPr>
                    <w:sz w:val="22"/>
                    <w:szCs w:val="22"/>
                    <w:shd w:val="clear" w:color="auto" w:fill="FFFFFF"/>
                  </w:rPr>
                  <w:t>P-12-003-03-01-04-08</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w:t>
                </w:r>
              </w:p>
            </w:tc>
          </w:tr>
        </w:tbl>
        <w:p>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7 060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6 000</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2.14.4.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punkte.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FN-05-04</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alias w:val="pabaiga"/>
            <w:tag w:val="part_57beb52b1919465e8f46e63983f8a24e"/>
            <w:lock w:val="sdtLocked"/>
            <w:richText/>
          </w:sdtPr>
          <w:sdtContent>
            <w:p>
              <w:pPr>
                <w:spacing w:line="276" w:lineRule="auto"/>
                <w:jc w:val="center"/>
                <w:rPr>
                  <w:rFonts w:eastAsia="Calibri"/>
                  <w:szCs w:val="24"/>
                </w:rPr>
              </w:pPr>
              <w:r>
                <w:rPr>
                  <w:rFonts w:eastAsia="Calibri"/>
                  <w:szCs w:val="24"/>
                </w:rPr>
                <w:t>________________</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sdtContent>
    </w:sdt>
    <w:sdt>
      <w:sdtPr>
        <w:alias w:val="pr."/>
        <w:tag w:val="part_bc062f0f1aa84cc0bb8c088bff7a385c"/>
        <w:lock w:val="sdtLocked"/>
        <w:richText/>
      </w:sdtPr>
      <w:sdtContent>
        <w:p>
          <w:pPr>
            <w:sectPr>
              <w:type w:val="continuous"/>
              <w:pgSz w:w="16840" w:h="11907" w:orient="landscape" w:code="9"/>
              <w:pgMar w:top="1699" w:right="142" w:bottom="562" w:left="1238" w:header="288" w:footer="720" w:gutter="0"/>
              <w:pgNumType w:start="1"/>
              <w:cols w:space="720"/>
              <w:noEndnote/>
              <w:titlePg/>
              <w:docGrid w:linePitch="326"/>
            </w:sectPr>
          </w:pPr>
        </w:p>
        <w:p>
          <w:pPr>
            <w:tabs>
              <w:tab w:val="left" w:pos="6285"/>
            </w:tabs>
            <w:ind w:left="7797"/>
            <w:jc w:val="both"/>
            <w:rPr>
              <w:szCs w:val="24"/>
              <w:lang w:eastAsia="lt-LT"/>
            </w:rPr>
          </w:pPr>
          <w:r>
            <w:rPr>
              <w:szCs w:val="24"/>
            </w:rPr>
            <w:t>1 priedo „2021-</w:t>
          </w:r>
          <w:r>
            <w:rPr>
              <w:szCs w:val="24"/>
              <w:lang w:eastAsia="lt-LT"/>
            </w:rPr>
            <w:t xml:space="preserve">2030 m. plėtros programos valdytojos </w:t>
          </w:r>
        </w:p>
        <w:p>
          <w:pPr>
            <w:tabs>
              <w:tab w:val="left" w:pos="6285"/>
            </w:tabs>
            <w:ind w:left="7797"/>
            <w:jc w:val="both"/>
            <w:rPr>
              <w:szCs w:val="24"/>
              <w:lang w:eastAsia="lt-LT"/>
            </w:rPr>
          </w:pPr>
          <w:r>
            <w:rPr>
              <w:szCs w:val="24"/>
              <w:lang w:eastAsia="lt-LT"/>
            </w:rPr>
            <w:t xml:space="preserve">Lietuvos Respublikos švietimo, mokslo ir sporto </w:t>
          </w:r>
        </w:p>
        <w:p>
          <w:pPr>
            <w:ind w:left="7797"/>
            <w:jc w:val="both"/>
            <w:rPr>
              <w:szCs w:val="24"/>
              <w:lang w:eastAsia="lt-LT"/>
            </w:rPr>
          </w:pPr>
          <w:r>
            <w:rPr>
              <w:szCs w:val="24"/>
              <w:lang w:eastAsia="lt-LT"/>
            </w:rPr>
            <w:t xml:space="preserve">ministerijos švietimo plėtros programos pažangos </w:t>
          </w:r>
        </w:p>
        <w:p>
          <w:pPr>
            <w:ind w:left="7797"/>
            <w:jc w:val="both"/>
            <w:rPr>
              <w:szCs w:val="24"/>
              <w:lang w:eastAsia="lt-LT"/>
            </w:rPr>
          </w:pPr>
          <w:r>
            <w:rPr>
              <w:szCs w:val="24"/>
              <w:lang w:eastAsia="lt-LT"/>
            </w:rPr>
            <w:t xml:space="preserve">priemonės Nr. 12-003-03-01-04 „Užtikrinti visiems </w:t>
          </w:r>
        </w:p>
        <w:p>
          <w:pPr>
            <w:ind w:left="7797"/>
            <w:jc w:val="both"/>
            <w:rPr>
              <w:szCs w:val="24"/>
              <w:lang w:eastAsia="lt-LT"/>
            </w:rPr>
          </w:pPr>
          <w:r>
            <w:rPr>
              <w:szCs w:val="24"/>
              <w:lang w:eastAsia="lt-LT"/>
            </w:rPr>
            <w:t xml:space="preserve">prieinamą ankstyvąjį ugdymą“ projektų finansavimo </w:t>
          </w:r>
        </w:p>
        <w:p>
          <w:pPr>
            <w:ind w:left="7797"/>
            <w:jc w:val="both"/>
            <w:rPr>
              <w:szCs w:val="24"/>
              <w:lang w:eastAsia="lt-LT"/>
            </w:rPr>
          </w:pPr>
          <w:r>
            <w:rPr>
              <w:szCs w:val="24"/>
              <w:lang w:eastAsia="lt-LT"/>
            </w:rPr>
            <w:t>sąlygų aprašo</w:t>
          </w:r>
          <w:r>
            <w:rPr>
              <w:szCs w:val="24"/>
            </w:rPr>
            <w:t>“</w:t>
          </w:r>
        </w:p>
        <w:p>
          <w:pPr>
            <w:ind w:left="7797"/>
            <w:jc w:val="both"/>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rPr>
              <w:color w:val="000000"/>
              <w:szCs w:val="24"/>
            </w:rPr>
          </w:pPr>
        </w:p>
        <w:p>
          <w:pPr>
            <w:rPr>
              <w:color w:val="000000"/>
              <w:szCs w:val="24"/>
            </w:rPr>
          </w:pPr>
        </w:p>
        <w:sdt>
          <w:sdtPr>
            <w:alias w:val="pabaiga"/>
            <w:tag w:val="part_e97c8e75d3b44f3bb9f95a55b378562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2 priedas (V-307)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91c360e50211eead77e967e3995264">
            <w:r w:rsidRPr="00532B9F">
              <w:rPr>
                <w:rFonts w:ascii="Arial" w:eastAsia="MS Mincho" w:hAnsi="Arial"/>
                <w:sz w:val="20"/>
                <w:i/>
                <w:iCs/>
                <w:color w:val="0000FF" w:themeColor="hyperlink"/>
                <w:u w:val="single"/>
              </w:rPr>
              <w:t>V-307</w:t>
            </w:r>
          </w:fldSimple>
          <w:r>
            <w:rPr>
              <w:rFonts w:ascii="Arial" w:eastAsia="MS Mincho" w:hAnsi="Arial"/>
              <w:sz w:val="20"/>
              <w:i/>
              <w:iCs/>
            </w:rPr>
            <w:t>,
2024-03-18,
paskelbta TAR 2024-03-18, i. k. 2024-04842        </w:t>
          </w:r>
        </w:p>
        <w:p/>
        <w:p>
          <w:pPr>
            <w:pStyle w:val="PlainText"/>
            <w:rPr>
              <w:rFonts w:ascii="Arial" w:eastAsia="MS Mincho" w:hAnsi="Arial"/>
              <w:sz w:val="20"/>
              <w:iCs/>
            </w:rPr>
          </w:pPr>
          <w:r>
            <w:rPr>
              <w:rFonts w:ascii="Arial" w:eastAsia="MS Mincho" w:hAnsi="Arial"/>
              <w:sz w:val="20"/>
              <w:iCs/>
            </w:rPr>
            <w:t>3 priedas (V-1174)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c78c804c8d11ee81b8b446907f594f">
            <w:r w:rsidRPr="00532B9F">
              <w:rPr>
                <w:rFonts w:ascii="Arial" w:eastAsia="MS Mincho" w:hAnsi="Arial"/>
                <w:sz w:val="20"/>
                <w:i/>
                <w:iCs/>
                <w:color w:val="0000FF" w:themeColor="hyperlink"/>
                <w:u w:val="single"/>
              </w:rPr>
              <w:t>V-1174</w:t>
            </w:r>
          </w:fldSimple>
          <w:r>
            <w:rPr>
              <w:rFonts w:ascii="Arial" w:eastAsia="MS Mincho" w:hAnsi="Arial"/>
              <w:sz w:val="20"/>
              <w:i/>
              <w:iCs/>
            </w:rPr>
            <w:t>,
2023-09-06,
paskelbta TAR 2023-09-06, i. k. 2023-17617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bef27804ea411edbc04912defe897d1">
            <w:r w:rsidRPr="00532B9F">
              <w:rPr>
                <w:rFonts w:ascii="Arial" w:eastAsia="MS Mincho" w:hAnsi="Arial"/>
                <w:sz w:val="20"/>
                <w:iCs/>
                <w:color w:val="0000FF" w:themeColor="hyperlink"/>
                <w:u w:val="single"/>
              </w:rPr>
              <w:t>V-1647</w:t>
            </w:r>
          </w:fldSimple>
          <w:r>
            <w:rPr>
              <w:rFonts w:ascii="Arial" w:eastAsia="MS Mincho" w:hAnsi="Arial"/>
              <w:sz w:val="20"/>
              <w:iCs/>
            </w:rPr>
            <w:t>,
2022-10-18,
paskelbta TAR 2022-10-18, i. k. 2022-21074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9a0bb6b0c3d611ed97b2975f7dad7488">
            <w:r w:rsidRPr="00532B9F">
              <w:rPr>
                <w:rFonts w:ascii="Arial" w:eastAsia="MS Mincho" w:hAnsi="Arial"/>
                <w:sz w:val="20"/>
                <w:iCs/>
                <w:color w:val="0000FF" w:themeColor="hyperlink"/>
                <w:u w:val="single"/>
              </w:rPr>
              <w:t>V-343</w:t>
            </w:r>
          </w:fldSimple>
          <w:r>
            <w:rPr>
              <w:rFonts w:ascii="Arial" w:eastAsia="MS Mincho" w:hAnsi="Arial"/>
              <w:sz w:val="20"/>
              <w:iCs/>
            </w:rPr>
            <w:t>,
2023-03-16,
paskelbta TAR 2023-03-16, i. k. 2023-04666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dc0c61047ec11ee9de9e7e0fd363afc">
            <w:r w:rsidRPr="00532B9F">
              <w:rPr>
                <w:rFonts w:ascii="Arial" w:eastAsia="MS Mincho" w:hAnsi="Arial"/>
                <w:sz w:val="20"/>
                <w:iCs/>
                <w:color w:val="0000FF" w:themeColor="hyperlink"/>
                <w:u w:val="single"/>
              </w:rPr>
              <w:t>V-1123</w:t>
            </w:r>
          </w:fldSimple>
          <w:r>
            <w:rPr>
              <w:rFonts w:ascii="Arial" w:eastAsia="MS Mincho" w:hAnsi="Arial"/>
              <w:sz w:val="20"/>
              <w:iCs/>
            </w:rPr>
            <w:t>,
2023-08-31,
paskelbta TAR 2023-08-31, i. k. 2023-17186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9c78c804c8d11ee81b8b446907f594f">
            <w:r w:rsidRPr="00532B9F">
              <w:rPr>
                <w:rFonts w:ascii="Arial" w:eastAsia="MS Mincho" w:hAnsi="Arial"/>
                <w:sz w:val="20"/>
                <w:iCs/>
                <w:color w:val="0000FF" w:themeColor="hyperlink"/>
                <w:u w:val="single"/>
              </w:rPr>
              <w:t>V-1174</w:t>
            </w:r>
          </w:fldSimple>
          <w:r>
            <w:rPr>
              <w:rFonts w:ascii="Arial" w:eastAsia="MS Mincho" w:hAnsi="Arial"/>
              <w:sz w:val="20"/>
              <w:iCs/>
            </w:rPr>
            <w:t>,
2023-09-06,
paskelbta TAR 2023-09-06, i. k. 2023-17617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591c360e50211eead77e967e3995264">
            <w:r w:rsidRPr="00532B9F">
              <w:rPr>
                <w:rFonts w:ascii="Arial" w:eastAsia="MS Mincho" w:hAnsi="Arial"/>
                <w:sz w:val="20"/>
                <w:iCs/>
                <w:color w:val="0000FF" w:themeColor="hyperlink"/>
                <w:u w:val="single"/>
              </w:rPr>
              <w:t>V-307</w:t>
            </w:r>
          </w:fldSimple>
          <w:r>
            <w:rPr>
              <w:rFonts w:ascii="Arial" w:eastAsia="MS Mincho" w:hAnsi="Arial"/>
              <w:sz w:val="20"/>
              <w:iCs/>
            </w:rPr>
            <w:t>,
2024-03-18,
paskelbta TAR 2024-03-18, i. k. 2024-04842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3</w:t>
    </w:r>
    <w:r>
      <w:rPr>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680"/>
        <w:tab w:val="left" w:pos="4988"/>
        <w:tab w:val="left" w:pos="6235"/>
        <w:tab w:val="left" w:pos="7482"/>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2529"/>
    <o:shapelayout v:ext="edit">
      <o:idmap v:ext="edit" data="1"/>
    </o:shapelayout>
  </w:shapeDefaults>
  <w:decimalSymbol w:val=","/>
  <w:listSeparator w:val=";"/>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34.xml"/>
  <Relationship Id="rId19" Type="http://schemas.openxmlformats.org/officeDocument/2006/relationships/header" Target="header35.xml"/>
  <Relationship Id="rId2" Type="http://schemas.openxmlformats.org/officeDocument/2006/relationships/header" Target="header17.xml"/>
  <Relationship Id="rId20" Type="http://schemas.openxmlformats.org/officeDocument/2006/relationships/footer" Target="footer34.xml"/>
  <Relationship Id="rId21" Type="http://schemas.openxmlformats.org/officeDocument/2006/relationships/footer" Target="footer35.xml"/>
  <Relationship Id="rId22" Type="http://schemas.openxmlformats.org/officeDocument/2006/relationships/header" Target="header36.xml"/>
  <Relationship Id="rId23" Type="http://schemas.openxmlformats.org/officeDocument/2006/relationships/footer" Target="footer36.xml"/>
  <Relationship Id="rId24" Type="http://schemas.openxmlformats.org/officeDocument/2006/relationships/customXml" Target="../customXml/item4.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56b606307d3e44638f5f8e3042d48b16">
    <Part Type="skyrius" Nr="1" Title="PLĖTROS PROGRAMOS PAŽANGOS PRIEMONĖS SIEKIAMI REZULTATAI" DocPartId="8d36a02680dc4b10859557c97fae04e5" PartId="e5a8732405b54e6594a24c497a41e107"/>
    <Part Type="skyrius" Nr="2" Title="PLĖTROS PROGRAMOS PAŽANGOS PRIEMONĖS FINANSAVIMO ŠALTINIAI" DocPartId="3ab36d6f34f84940bb612f5eb47514e3" PartId="e65e5e05641c4923b40c02cf1920e87e"/>
    <Part Type="skyrius" Nr="3" Title="PLĖTROS PROGRAMOS PAŽANGOS PRIEMONĖS VEIKLŲ SUVESTINĖ" DocPartId="9c75f00cef0e40f99770fab94873f6f2" PartId="aa6aa1e22bc54fe7a7d19fa278705b2d"/>
    <Part Type="pabaiga" DocPartId="280e7f5b395b45b28f40f6c9be47cd4a" PartId="b4b0dad2f71e4481b98d0977022f54c3"/>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DocPartId="2a1f0a00dede49d9b5791269f800201d" PartId="95bdc822ba9a4fec9d591d69b43d57a3">
    <Part Type="pabaiga" DocPartId="959bac37900546829cafa741743c8298" PartId="57beb52b1919465e8f46e63983f8a24e"/>
  </Part>
  <Part Type="priedas" Abbr="pr." Title="PROJEKTO (ĮSKAITANT JUNGTINĮ PROJEKTĄ) ATITIKTIES REIKŠMINGOS ŽALOS NEDARYMO HORIZONTALIAJAM PRINCIPUI VERTINIMO REIKALAVIMŲ APRAŠAS" DocPartId="ad3b4dccb7a64e19b8026c561ad504ab" PartId="bc062f0f1aa84cc0bb8c088bff7a385c">
    <Part Type="pabaiga" DocPartId="40757b2560a94c85b5eb42977b6bce04" PartId="e97c8e75d3b44f3bb9f95a55b3785626"/>
  </Part>
</Parts>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0E330C5-B2F1-4569-84E4-CB78E0719794}">
  <ds:schemaRefs>
    <ds:schemaRef ds:uri="http://lrs.lt/TAIS/DocParts"/>
  </ds:schemaRefs>
</ds:datastoreItem>
</file>

<file path=docProps/app.xml><?xml version="1.0" encoding="utf-8"?>
<Properties xmlns="http://schemas.openxmlformats.org/officeDocument/2006/extended-properties">
  <Template>Normal.dotm</Template>
  <TotalTime>19</TotalTime>
  <Pages>22</Pages>
  <Words>5092</Words>
  <Characters>35481</Characters>
  <Application>Microsoft Office Word</Application>
  <DocSecurity>0</DocSecurity>
  <Lines>295</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40493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DZIKAITĖ Jolanta</lastModifiedBy>
  <lastPrinted>2010-02-18T07:54:00Z</lastPrinted>
  <dcterms:modified xsi:type="dcterms:W3CDTF">2024-03-19T07:07:00Z</dcterms:modified>
  <revision>9</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