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2024-08-31 iki 2025-03-12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ea16590a175d447e8c215cf6205376f9"/>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firstLine="4366"/>
            <w:rPr>
              <w:color w:val="000000"/>
              <w:szCs w:val="27"/>
              <w:lang w:eastAsia="lt-LT"/>
            </w:rPr>
          </w:pPr>
          <w:r>
            <w:rPr>
              <w:color w:val="000000"/>
              <w:szCs w:val="27"/>
              <w:lang w:eastAsia="lt-LT"/>
            </w:rPr>
            <w:t>PATVIRTINTA</w:t>
          </w:r>
        </w:p>
        <w:p>
          <w:pPr>
            <w:ind w:firstLine="4366"/>
            <w:rPr>
              <w:color w:val="000000"/>
              <w:szCs w:val="27"/>
              <w:lang w:eastAsia="lt-LT"/>
            </w:rPr>
          </w:pPr>
          <w:r>
            <w:rPr>
              <w:color w:val="000000"/>
              <w:szCs w:val="27"/>
              <w:lang w:eastAsia="lt-LT"/>
            </w:rPr>
            <w:t xml:space="preserve">Lietuvos Respublikos švietimo, mokslo ir sporto ministro </w:t>
          </w:r>
        </w:p>
        <w:p>
          <w:pPr>
            <w:ind w:firstLine="4366"/>
            <w:rPr>
              <w:color w:val="000000"/>
              <w:szCs w:val="27"/>
              <w:lang w:eastAsia="lt-LT"/>
            </w:rPr>
          </w:pPr>
          <w:r>
            <w:rPr>
              <w:color w:val="000000"/>
              <w:szCs w:val="27"/>
              <w:lang w:eastAsia="lt-LT"/>
            </w:rPr>
            <w:t xml:space="preserve">2022 m. gegužės 31 d. įsakymu Nr. V-878 </w:t>
          </w:r>
        </w:p>
        <w:p>
          <w:pPr>
            <w:ind w:firstLine="4366"/>
            <w:rPr>
              <w:color w:val="000000"/>
              <w:szCs w:val="27"/>
              <w:lang w:eastAsia="lt-LT"/>
            </w:rPr>
          </w:pPr>
          <w:r>
            <w:rPr>
              <w:color w:val="000000"/>
              <w:szCs w:val="27"/>
              <w:lang w:eastAsia="lt-LT"/>
            </w:rPr>
            <w:t>(Lietuvos Respublikos švietimo, mokslo ir sporto ministro</w:t>
          </w:r>
        </w:p>
        <w:p>
          <w:pPr>
            <w:ind w:firstLine="4366"/>
          </w:pPr>
          <w:r>
            <w:rPr>
              <w:color w:val="000000"/>
              <w:szCs w:val="27"/>
              <w:lang w:eastAsia="lt-LT"/>
            </w:rPr>
            <w:t xml:space="preserve">2023 m. kovo 16 d. įsakymo Nr. </w:t>
          </w:r>
          <w:r>
            <w:t>V-343</w:t>
          </w:r>
        </w:p>
        <w:p>
          <w:pPr>
            <w:ind w:firstLine="4366"/>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855741841a934c388334d33ccd91b336"/>
            <w:lock w:val="sdtLocked"/>
            <w:richText/>
          </w:sdtPr>
          <w:sdtContent>
            <w:p>
              <w:pPr>
                <w:tabs>
                  <w:tab w:val="left" w:pos="1985"/>
                </w:tabs>
                <w:jc w:val="center"/>
                <w:rPr>
                  <w:b/>
                  <w:bCs/>
                </w:rPr>
              </w:pPr>
              <w:sdt>
                <w:sdtPr>
                  <w:alias w:val="Numeris"/>
                  <w:tag w:val="nr_855741841a934c388334d33ccd91b336"/>
                  <w:lock w:val="sdtLocked"/>
                  <w:richText/>
                </w:sdtPr>
                <w:sdtContent>
                  <w:r>
                    <w:rPr>
                      <w:b/>
                      <w:bCs/>
                    </w:rPr>
                    <w:t>I</w:t>
                  </w:r>
                </w:sdtContent>
              </w:sdt>
              <w:r>
                <w:rPr>
                  <w:b/>
                  <w:bCs/>
                </w:rPr>
                <w:t xml:space="preserve"> SKYRIUS</w:t>
              </w:r>
            </w:p>
            <w:p>
              <w:pPr>
                <w:jc w:val="center"/>
                <w:rPr>
                  <w:b/>
                  <w:bCs/>
                  <w:lang w:eastAsia="lt-LT"/>
                </w:rPr>
              </w:pPr>
              <w:sdt>
                <w:sdtPr>
                  <w:alias w:val="Pavadinimas"/>
                  <w:tag w:val="title_855741841a934c388334d33ccd91b336"/>
                  <w:lock w:val="sdtLocked"/>
                  <w:richText/>
                </w:sdtPr>
                <w:sdtContent>
                  <w:r>
                    <w:rPr>
                      <w:b/>
                      <w:bCs/>
                      <w:lang w:eastAsia="lt-LT"/>
                    </w:rPr>
                    <w:t>PLĖTROS PROGRAMOS PAŽANGOS PRIEMONĖS SIEKIAMI REZULTATAI</w:t>
                  </w:r>
                </w:sdtContent>
              </w:sdt>
            </w:p>
            <w:p>
              <w:pPr>
                <w:jc w:val="center"/>
                <w:rPr>
                  <w:b/>
                  <w:bCs/>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992"/>
                <w:gridCol w:w="1134"/>
              </w:tblGrid>
              <w:tr>
                <w:trPr>
                  <w:trHeight w:val="348"/>
                </w:trPr>
                <w:tc>
                  <w:tcPr>
                    <w:tcW w:w="811" w:type="dxa"/>
                    <w:vMerge w:val="restart"/>
                    <w:shd w:val="clear" w:color="auto" w:fill="DEEAF6"/>
                    <w:vAlign w:val="center"/>
                  </w:tcPr>
                  <w:p>
                    <w:pPr>
                      <w:jc w:val="center"/>
                      <w:rPr>
                        <w:b/>
                        <w:bCs/>
                        <w:sz w:val="16"/>
                        <w:szCs w:val="16"/>
                      </w:rPr>
                    </w:pPr>
                    <w:r>
                      <w:rPr>
                        <w:b/>
                        <w:bCs/>
                        <w:sz w:val="16"/>
                        <w:szCs w:val="16"/>
                      </w:rPr>
                      <w:t>Rodiklio kodas</w:t>
                    </w:r>
                  </w:p>
                </w:tc>
                <w:tc>
                  <w:tcPr>
                    <w:tcW w:w="1339" w:type="dxa"/>
                    <w:vMerge w:val="restart"/>
                    <w:shd w:val="clear" w:color="auto" w:fill="DEEAF6"/>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134" w:type="dxa"/>
                    <w:vMerge w:val="restart"/>
                    <w:shd w:val="clear" w:color="auto" w:fill="DEEAF6"/>
                    <w:vAlign w:val="center"/>
                  </w:tcPr>
                  <w:p>
                    <w:pPr>
                      <w:jc w:val="center"/>
                      <w:rPr>
                        <w:b/>
                        <w:bCs/>
                        <w:sz w:val="16"/>
                        <w:szCs w:val="16"/>
                      </w:rPr>
                    </w:pPr>
                    <w:r>
                      <w:rPr>
                        <w:b/>
                        <w:bCs/>
                        <w:sz w:val="16"/>
                        <w:szCs w:val="16"/>
                      </w:rPr>
                      <w:t>Rodiklio pavadinimas</w:t>
                    </w:r>
                  </w:p>
                </w:tc>
                <w:tc>
                  <w:tcPr>
                    <w:tcW w:w="943" w:type="dxa"/>
                    <w:vMerge w:val="restart"/>
                    <w:shd w:val="clear" w:color="auto" w:fill="DEEAF6"/>
                    <w:vAlign w:val="center"/>
                  </w:tcPr>
                  <w:p>
                    <w:pPr>
                      <w:jc w:val="center"/>
                      <w:rPr>
                        <w:b/>
                        <w:bCs/>
                        <w:sz w:val="16"/>
                        <w:szCs w:val="16"/>
                      </w:rPr>
                    </w:pPr>
                    <w:r>
                      <w:rPr>
                        <w:b/>
                        <w:bCs/>
                        <w:sz w:val="16"/>
                        <w:szCs w:val="16"/>
                      </w:rPr>
                      <w:t>Matavimo vienetas</w:t>
                    </w:r>
                  </w:p>
                </w:tc>
                <w:tc>
                  <w:tcPr>
                    <w:tcW w:w="1339" w:type="dxa"/>
                    <w:vMerge w:val="restart"/>
                    <w:shd w:val="clear" w:color="auto" w:fill="DEEAF6"/>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1934" w:type="dxa"/>
                    <w:gridSpan w:val="2"/>
                    <w:shd w:val="clear" w:color="auto" w:fill="DEEAF6"/>
                  </w:tcPr>
                  <w:p>
                    <w:pPr>
                      <w:jc w:val="center"/>
                      <w:rPr>
                        <w:b/>
                        <w:bCs/>
                        <w:sz w:val="16"/>
                        <w:szCs w:val="16"/>
                      </w:rPr>
                    </w:pPr>
                    <w:r>
                      <w:rPr>
                        <w:b/>
                        <w:bCs/>
                        <w:sz w:val="16"/>
                        <w:szCs w:val="16"/>
                      </w:rPr>
                      <w:t>Siektinos rodiklio reikšmės</w:t>
                    </w:r>
                  </w:p>
                </w:tc>
                <w:tc>
                  <w:tcPr>
                    <w:tcW w:w="1134" w:type="dxa"/>
                    <w:vMerge w:val="restart"/>
                    <w:shd w:val="clear" w:color="auto" w:fill="DEEAF6"/>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11" w:type="dxa"/>
                    <w:vMerge/>
                    <w:vAlign w:val="center"/>
                  </w:tcPr>
                  <w:p>
                    <w:pPr>
                      <w:spacing w:line="276" w:lineRule="auto"/>
                      <w:jc w:val="center"/>
                      <w:rPr>
                        <w:b/>
                        <w:sz w:val="22"/>
                        <w:szCs w:val="22"/>
                      </w:rPr>
                    </w:pPr>
                  </w:p>
                </w:tc>
                <w:tc>
                  <w:tcPr>
                    <w:tcW w:w="1339" w:type="dxa"/>
                    <w:vMerge/>
                  </w:tcPr>
                  <w:p>
                    <w:pPr>
                      <w:spacing w:line="276" w:lineRule="auto"/>
                      <w:jc w:val="center"/>
                      <w:rPr>
                        <w:b/>
                        <w:sz w:val="22"/>
                        <w:szCs w:val="22"/>
                      </w:rPr>
                    </w:pPr>
                  </w:p>
                </w:tc>
                <w:tc>
                  <w:tcPr>
                    <w:tcW w:w="2134" w:type="dxa"/>
                    <w:vMerge/>
                    <w:vAlign w:val="center"/>
                  </w:tcPr>
                  <w:p>
                    <w:pPr>
                      <w:spacing w:line="276" w:lineRule="auto"/>
                      <w:jc w:val="center"/>
                      <w:rPr>
                        <w:b/>
                        <w:sz w:val="22"/>
                        <w:szCs w:val="22"/>
                      </w:rPr>
                    </w:pPr>
                  </w:p>
                </w:tc>
                <w:tc>
                  <w:tcPr>
                    <w:tcW w:w="943" w:type="dxa"/>
                    <w:vMerge/>
                    <w:vAlign w:val="center"/>
                  </w:tcPr>
                  <w:p>
                    <w:pPr>
                      <w:spacing w:line="276" w:lineRule="auto"/>
                      <w:jc w:val="center"/>
                      <w:rPr>
                        <w:b/>
                        <w:sz w:val="22"/>
                        <w:szCs w:val="22"/>
                      </w:rPr>
                    </w:pPr>
                  </w:p>
                </w:tc>
                <w:tc>
                  <w:tcPr>
                    <w:tcW w:w="1339" w:type="dxa"/>
                    <w:vMerge/>
                  </w:tcPr>
                  <w:p>
                    <w:pPr>
                      <w:spacing w:line="276" w:lineRule="auto"/>
                      <w:jc w:val="center"/>
                      <w:rPr>
                        <w:b/>
                        <w:sz w:val="22"/>
                        <w:szCs w:val="22"/>
                      </w:rPr>
                    </w:pPr>
                  </w:p>
                </w:tc>
                <w:tc>
                  <w:tcPr>
                    <w:tcW w:w="942" w:type="dxa"/>
                    <w:shd w:val="clear" w:color="auto" w:fill="DEEAF6"/>
                  </w:tcPr>
                  <w:p>
                    <w:pPr>
                      <w:jc w:val="center"/>
                      <w:rPr>
                        <w:b/>
                        <w:bCs/>
                        <w:sz w:val="16"/>
                        <w:szCs w:val="16"/>
                      </w:rPr>
                    </w:pPr>
                    <w:r>
                      <w:rPr>
                        <w:b/>
                        <w:bCs/>
                        <w:sz w:val="16"/>
                        <w:szCs w:val="16"/>
                      </w:rPr>
                      <w:t>Tarpinė reikšmė 2025 m.</w:t>
                    </w:r>
                  </w:p>
                </w:tc>
                <w:tc>
                  <w:tcPr>
                    <w:tcW w:w="992" w:type="dxa"/>
                    <w:shd w:val="clear" w:color="auto" w:fill="DEEAF6"/>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134" w:type="dxa"/>
                    <w:vMerge/>
                  </w:tcPr>
                  <w:p>
                    <w:pPr>
                      <w:spacing w:line="276" w:lineRule="auto"/>
                      <w:jc w:val="center"/>
                      <w:rPr>
                        <w:b/>
                        <w:sz w:val="16"/>
                        <w:szCs w:val="16"/>
                      </w:rPr>
                    </w:pPr>
                  </w:p>
                </w:tc>
              </w:tr>
              <w:tr>
                <w:trPr>
                  <w:trHeight w:val="300"/>
                </w:trPr>
                <w:tc>
                  <w:tcPr>
                    <w:tcW w:w="811" w:type="dxa"/>
                    <w:shd w:val="clear" w:color="auto" w:fill="DEEAF6"/>
                    <w:vAlign w:val="center"/>
                  </w:tcPr>
                  <w:p>
                    <w:pPr>
                      <w:jc w:val="center"/>
                      <w:rPr>
                        <w:b/>
                        <w:bCs/>
                        <w:sz w:val="16"/>
                        <w:szCs w:val="16"/>
                      </w:rPr>
                    </w:pPr>
                    <w:r>
                      <w:rPr>
                        <w:b/>
                        <w:bCs/>
                        <w:sz w:val="16"/>
                        <w:szCs w:val="16"/>
                      </w:rPr>
                      <w:t>1</w:t>
                    </w:r>
                  </w:p>
                </w:tc>
                <w:tc>
                  <w:tcPr>
                    <w:tcW w:w="1339" w:type="dxa"/>
                    <w:shd w:val="clear" w:color="auto" w:fill="DEEAF6"/>
                  </w:tcPr>
                  <w:p>
                    <w:pPr>
                      <w:jc w:val="center"/>
                      <w:rPr>
                        <w:b/>
                        <w:bCs/>
                        <w:sz w:val="16"/>
                        <w:szCs w:val="16"/>
                      </w:rPr>
                    </w:pPr>
                    <w:r>
                      <w:rPr>
                        <w:b/>
                        <w:bCs/>
                        <w:sz w:val="16"/>
                        <w:szCs w:val="16"/>
                      </w:rPr>
                      <w:t>2</w:t>
                    </w:r>
                  </w:p>
                </w:tc>
                <w:tc>
                  <w:tcPr>
                    <w:tcW w:w="2134" w:type="dxa"/>
                    <w:shd w:val="clear" w:color="auto" w:fill="DEEAF6"/>
                    <w:vAlign w:val="center"/>
                  </w:tcPr>
                  <w:p>
                    <w:pPr>
                      <w:jc w:val="center"/>
                      <w:rPr>
                        <w:b/>
                        <w:bCs/>
                        <w:sz w:val="16"/>
                        <w:szCs w:val="16"/>
                      </w:rPr>
                    </w:pPr>
                    <w:r>
                      <w:rPr>
                        <w:b/>
                        <w:bCs/>
                        <w:sz w:val="16"/>
                        <w:szCs w:val="16"/>
                      </w:rPr>
                      <w:t>3</w:t>
                    </w:r>
                  </w:p>
                </w:tc>
                <w:tc>
                  <w:tcPr>
                    <w:tcW w:w="943" w:type="dxa"/>
                    <w:shd w:val="clear" w:color="auto" w:fill="DEEAF6"/>
                    <w:vAlign w:val="center"/>
                  </w:tcPr>
                  <w:p>
                    <w:pPr>
                      <w:jc w:val="center"/>
                      <w:rPr>
                        <w:b/>
                        <w:bCs/>
                        <w:sz w:val="16"/>
                        <w:szCs w:val="16"/>
                      </w:rPr>
                    </w:pPr>
                    <w:r>
                      <w:rPr>
                        <w:b/>
                        <w:bCs/>
                        <w:sz w:val="16"/>
                        <w:szCs w:val="16"/>
                      </w:rPr>
                      <w:t>4</w:t>
                    </w:r>
                  </w:p>
                </w:tc>
                <w:tc>
                  <w:tcPr>
                    <w:tcW w:w="1339" w:type="dxa"/>
                    <w:shd w:val="clear" w:color="auto" w:fill="DEEAF6"/>
                  </w:tcPr>
                  <w:p>
                    <w:pPr>
                      <w:jc w:val="center"/>
                      <w:rPr>
                        <w:b/>
                        <w:bCs/>
                        <w:sz w:val="16"/>
                        <w:szCs w:val="16"/>
                      </w:rPr>
                    </w:pPr>
                    <w:r>
                      <w:rPr>
                        <w:b/>
                        <w:bCs/>
                        <w:sz w:val="16"/>
                        <w:szCs w:val="16"/>
                      </w:rPr>
                      <w:t>5</w:t>
                    </w:r>
                  </w:p>
                </w:tc>
                <w:tc>
                  <w:tcPr>
                    <w:tcW w:w="942" w:type="dxa"/>
                    <w:shd w:val="clear" w:color="auto" w:fill="DEEAF6"/>
                  </w:tcPr>
                  <w:p>
                    <w:pPr>
                      <w:jc w:val="center"/>
                      <w:rPr>
                        <w:b/>
                        <w:bCs/>
                        <w:sz w:val="16"/>
                        <w:szCs w:val="16"/>
                      </w:rPr>
                    </w:pPr>
                    <w:r>
                      <w:rPr>
                        <w:b/>
                        <w:bCs/>
                        <w:sz w:val="16"/>
                        <w:szCs w:val="16"/>
                      </w:rPr>
                      <w:t>6</w:t>
                    </w:r>
                  </w:p>
                </w:tc>
                <w:tc>
                  <w:tcPr>
                    <w:tcW w:w="992" w:type="dxa"/>
                    <w:shd w:val="clear" w:color="auto" w:fill="DEEAF6"/>
                  </w:tcPr>
                  <w:p>
                    <w:pPr>
                      <w:jc w:val="center"/>
                      <w:rPr>
                        <w:b/>
                        <w:bCs/>
                        <w:sz w:val="16"/>
                        <w:szCs w:val="16"/>
                      </w:rPr>
                    </w:pPr>
                    <w:r>
                      <w:rPr>
                        <w:b/>
                        <w:bCs/>
                        <w:sz w:val="16"/>
                        <w:szCs w:val="16"/>
                      </w:rPr>
                      <w:t>7</w:t>
                    </w:r>
                  </w:p>
                </w:tc>
                <w:tc>
                  <w:tcPr>
                    <w:tcW w:w="1134" w:type="dxa"/>
                    <w:shd w:val="clear" w:color="auto" w:fill="DEEAF6"/>
                  </w:tcPr>
                  <w:p>
                    <w:pPr>
                      <w:jc w:val="center"/>
                      <w:rPr>
                        <w:b/>
                        <w:bCs/>
                        <w:sz w:val="16"/>
                        <w:szCs w:val="16"/>
                      </w:rPr>
                    </w:pPr>
                    <w:r>
                      <w:rPr>
                        <w:b/>
                        <w:bCs/>
                        <w:sz w:val="16"/>
                        <w:szCs w:val="16"/>
                      </w:rPr>
                      <w:t>8</w:t>
                    </w:r>
                  </w:p>
                </w:tc>
              </w:tr>
              <w:tr>
                <w:trPr>
                  <w:trHeight w:val="300"/>
                </w:trPr>
                <w:tc>
                  <w:tcPr>
                    <w:tcW w:w="811" w:type="dxa"/>
                    <w:vAlign w:val="center"/>
                  </w:tcPr>
                  <w:p>
                    <w:pPr>
                      <w:jc w:val="center"/>
                      <w:rPr>
                        <w:b/>
                        <w:bCs/>
                        <w:sz w:val="16"/>
                        <w:szCs w:val="16"/>
                      </w:rPr>
                    </w:pPr>
                    <w:r>
                      <w:rPr>
                        <w:sz w:val="18"/>
                        <w:szCs w:val="18"/>
                      </w:rPr>
                      <w:t>R-12-003-03-01-04-01</w:t>
                    </w:r>
                  </w:p>
                </w:tc>
                <w:tc>
                  <w:tcPr>
                    <w:tcW w:w="1339" w:type="dxa"/>
                    <w:vAlign w:val="center"/>
                  </w:tcPr>
                  <w:p>
                    <w:pPr>
                      <w:spacing w:line="276" w:lineRule="auto"/>
                      <w:jc w:val="center"/>
                      <w:rPr>
                        <w:sz w:val="18"/>
                        <w:szCs w:val="18"/>
                      </w:rPr>
                    </w:pPr>
                    <w:r>
                      <w:rPr>
                        <w:sz w:val="18"/>
                        <w:szCs w:val="18"/>
                      </w:rPr>
                      <w:t>Rezultato</w:t>
                    </w:r>
                  </w:p>
                </w:tc>
                <w:tc>
                  <w:tcPr>
                    <w:tcW w:w="2134" w:type="dxa"/>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43" w:type="dxa"/>
                    <w:vAlign w:val="center"/>
                  </w:tcPr>
                  <w:p>
                    <w:pPr>
                      <w:spacing w:line="276" w:lineRule="auto"/>
                      <w:jc w:val="center"/>
                      <w:rPr>
                        <w:sz w:val="18"/>
                        <w:szCs w:val="18"/>
                      </w:rPr>
                    </w:pPr>
                    <w:r>
                      <w:rPr>
                        <w:sz w:val="18"/>
                        <w:szCs w:val="18"/>
                      </w:rPr>
                      <w:t>Proc.</w:t>
                    </w:r>
                  </w:p>
                </w:tc>
                <w:tc>
                  <w:tcPr>
                    <w:tcW w:w="1339" w:type="dxa"/>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42" w:type="dxa"/>
                    <w:vAlign w:val="center"/>
                  </w:tcPr>
                  <w:p>
                    <w:pPr>
                      <w:spacing w:line="276" w:lineRule="auto"/>
                      <w:jc w:val="center"/>
                      <w:rPr>
                        <w:sz w:val="20"/>
                      </w:rPr>
                    </w:pPr>
                    <w:r>
                      <w:rPr>
                        <w:sz w:val="20"/>
                      </w:rPr>
                      <w:t>n / a</w:t>
                    </w:r>
                  </w:p>
                  <w:p>
                    <w:pPr>
                      <w:jc w:val="center"/>
                      <w:rPr>
                        <w:b/>
                        <w:bCs/>
                        <w:sz w:val="16"/>
                        <w:szCs w:val="16"/>
                      </w:rPr>
                    </w:pPr>
                  </w:p>
                </w:tc>
                <w:tc>
                  <w:tcPr>
                    <w:tcW w:w="992" w:type="dxa"/>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134" w:type="dxa"/>
                    <w:vAlign w:val="center"/>
                  </w:tcPr>
                  <w:p>
                    <w:pPr>
                      <w:jc w:val="center"/>
                      <w:rPr>
                        <w:sz w:val="18"/>
                        <w:szCs w:val="18"/>
                        <w:lang w:eastAsia="lt-LT"/>
                      </w:rPr>
                    </w:pPr>
                    <w:r>
                      <w:rPr>
                        <w:sz w:val="18"/>
                        <w:szCs w:val="18"/>
                        <w:lang w:eastAsia="lt-LT"/>
                      </w:rPr>
                      <w:t>Valstybės biudžetas</w:t>
                    </w:r>
                  </w:p>
                </w:tc>
              </w:tr>
              <w:tr>
                <w:trPr>
                  <w:trHeight w:val="300"/>
                </w:trPr>
                <w:tc>
                  <w:tcPr>
                    <w:tcW w:w="811" w:type="dxa"/>
                    <w:vAlign w:val="center"/>
                  </w:tcPr>
                  <w:p>
                    <w:pPr>
                      <w:jc w:val="center"/>
                      <w:rPr>
                        <w:b/>
                        <w:bCs/>
                        <w:sz w:val="16"/>
                        <w:szCs w:val="16"/>
                      </w:rPr>
                    </w:pPr>
                    <w:r>
                      <w:rPr>
                        <w:sz w:val="18"/>
                        <w:szCs w:val="18"/>
                      </w:rPr>
                      <w:t>R-12-003-03-01-04-02</w:t>
                    </w:r>
                  </w:p>
                </w:tc>
                <w:tc>
                  <w:tcPr>
                    <w:tcW w:w="1339" w:type="dxa"/>
                    <w:vAlign w:val="center"/>
                  </w:tcPr>
                  <w:p>
                    <w:pPr>
                      <w:jc w:val="center"/>
                      <w:rPr>
                        <w:b/>
                        <w:bCs/>
                        <w:sz w:val="16"/>
                        <w:szCs w:val="16"/>
                      </w:rPr>
                    </w:pPr>
                    <w:r>
                      <w:rPr>
                        <w:sz w:val="18"/>
                        <w:szCs w:val="18"/>
                      </w:rPr>
                      <w:t>Rezultato</w:t>
                    </w:r>
                  </w:p>
                </w:tc>
                <w:tc>
                  <w:tcPr>
                    <w:tcW w:w="2134" w:type="dxa"/>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43" w:type="dxa"/>
                    <w:vAlign w:val="center"/>
                  </w:tcPr>
                  <w:p>
                    <w:pPr>
                      <w:spacing w:line="276" w:lineRule="auto"/>
                      <w:jc w:val="center"/>
                      <w:rPr>
                        <w:sz w:val="18"/>
                        <w:szCs w:val="18"/>
                      </w:rPr>
                    </w:pPr>
                    <w:r>
                      <w:rPr>
                        <w:sz w:val="18"/>
                        <w:szCs w:val="18"/>
                      </w:rPr>
                      <w:t>Asmenys</w:t>
                    </w:r>
                  </w:p>
                </w:tc>
                <w:tc>
                  <w:tcPr>
                    <w:tcW w:w="1339" w:type="dxa"/>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42" w:type="dxa"/>
                    <w:vAlign w:val="center"/>
                  </w:tcPr>
                  <w:p>
                    <w:pPr>
                      <w:spacing w:line="276" w:lineRule="auto"/>
                      <w:jc w:val="center"/>
                      <w:rPr>
                        <w:sz w:val="20"/>
                      </w:rPr>
                    </w:pPr>
                    <w:r>
                      <w:rPr>
                        <w:sz w:val="20"/>
                      </w:rPr>
                      <w:t>1 500</w:t>
                    </w:r>
                  </w:p>
                </w:tc>
                <w:tc>
                  <w:tcPr>
                    <w:tcW w:w="992" w:type="dxa"/>
                    <w:vAlign w:val="center"/>
                  </w:tcPr>
                  <w:p>
                    <w:pPr>
                      <w:jc w:val="center"/>
                      <w:rPr>
                        <w:sz w:val="18"/>
                        <w:szCs w:val="18"/>
                        <w:lang w:eastAsia="lt-LT"/>
                      </w:rPr>
                    </w:pPr>
                    <w:r>
                      <w:rPr>
                        <w:sz w:val="18"/>
                        <w:szCs w:val="18"/>
                        <w:lang w:eastAsia="lt-LT"/>
                      </w:rPr>
                      <w:t>Ne mažiau kaip 2 000</w:t>
                    </w:r>
                  </w:p>
                </w:tc>
                <w:tc>
                  <w:tcPr>
                    <w:tcW w:w="1134" w:type="dxa"/>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11" w:type="dxa"/>
                    <w:shd w:val="clear" w:color="auto" w:fill="FFFFFF"/>
                    <w:vAlign w:val="center"/>
                  </w:tcPr>
                  <w:p>
                    <w:pPr>
                      <w:spacing w:line="276" w:lineRule="auto"/>
                      <w:jc w:val="center"/>
                      <w:rPr>
                        <w:sz w:val="18"/>
                        <w:szCs w:val="18"/>
                      </w:rPr>
                    </w:pPr>
                    <w:r>
                      <w:rPr>
                        <w:sz w:val="18"/>
                        <w:szCs w:val="18"/>
                      </w:rPr>
                      <w:t>R-12-003-03-01-04-03</w:t>
                    </w:r>
                  </w:p>
                </w:tc>
                <w:tc>
                  <w:tcPr>
                    <w:tcW w:w="1339" w:type="dxa"/>
                    <w:shd w:val="clear" w:color="auto" w:fill="FFFFFF"/>
                    <w:vAlign w:val="center"/>
                  </w:tcPr>
                  <w:p>
                    <w:pPr>
                      <w:spacing w:line="276" w:lineRule="auto"/>
                      <w:jc w:val="center"/>
                      <w:rPr>
                        <w:sz w:val="18"/>
                        <w:szCs w:val="18"/>
                      </w:rPr>
                    </w:pPr>
                    <w:r>
                      <w:rPr>
                        <w:sz w:val="18"/>
                        <w:szCs w:val="18"/>
                      </w:rPr>
                      <w:t>Rezultato</w:t>
                    </w:r>
                  </w:p>
                </w:tc>
                <w:tc>
                  <w:tcPr>
                    <w:tcW w:w="2134" w:type="dxa"/>
                    <w:shd w:val="clear" w:color="auto" w:fill="FFFFFF"/>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43" w:type="dxa"/>
                    <w:shd w:val="clear" w:color="auto" w:fill="FFFFFF"/>
                    <w:vAlign w:val="center"/>
                  </w:tcPr>
                  <w:p>
                    <w:pPr>
                      <w:spacing w:line="276" w:lineRule="auto"/>
                      <w:jc w:val="center"/>
                      <w:rPr>
                        <w:sz w:val="18"/>
                        <w:szCs w:val="18"/>
                      </w:rPr>
                    </w:pPr>
                    <w:r>
                      <w:rPr>
                        <w:sz w:val="18"/>
                        <w:szCs w:val="18"/>
                      </w:rPr>
                      <w:t>Proc.</w:t>
                    </w:r>
                  </w:p>
                </w:tc>
                <w:tc>
                  <w:tcPr>
                    <w:tcW w:w="1339" w:type="dxa"/>
                    <w:shd w:val="clear" w:color="auto" w:fill="FFFFFF"/>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42" w:type="dxa"/>
                    <w:shd w:val="clear" w:color="auto" w:fill="FFFFFF"/>
                    <w:vAlign w:val="center"/>
                  </w:tcPr>
                  <w:p>
                    <w:pPr>
                      <w:spacing w:line="276" w:lineRule="auto"/>
                      <w:jc w:val="center"/>
                      <w:rPr>
                        <w:sz w:val="20"/>
                      </w:rPr>
                    </w:pPr>
                    <w:r>
                      <w:rPr>
                        <w:sz w:val="20"/>
                      </w:rPr>
                      <w:t>n / a</w:t>
                    </w:r>
                  </w:p>
                </w:tc>
                <w:tc>
                  <w:tcPr>
                    <w:tcW w:w="992" w:type="dxa"/>
                    <w:shd w:val="clear" w:color="auto" w:fill="FFFFFF"/>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134" w:type="dxa"/>
                    <w:shd w:val="clear" w:color="auto" w:fill="FFFFFF"/>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11" w:type="dxa"/>
                    <w:shd w:val="clear" w:color="auto" w:fill="FFFFFF"/>
                    <w:vAlign w:val="center"/>
                  </w:tcPr>
                  <w:p>
                    <w:pPr>
                      <w:spacing w:line="276" w:lineRule="auto"/>
                      <w:jc w:val="center"/>
                      <w:rPr>
                        <w:sz w:val="18"/>
                        <w:szCs w:val="18"/>
                      </w:rPr>
                    </w:pPr>
                    <w:r>
                      <w:rPr>
                        <w:sz w:val="18"/>
                        <w:szCs w:val="18"/>
                      </w:rPr>
                      <w:t>R-12-003-03-01-04-04</w:t>
                    </w:r>
                  </w:p>
                </w:tc>
                <w:tc>
                  <w:tcPr>
                    <w:tcW w:w="1339" w:type="dxa"/>
                    <w:shd w:val="clear" w:color="auto" w:fill="FFFFFF"/>
                    <w:vAlign w:val="center"/>
                  </w:tcPr>
                  <w:p>
                    <w:pPr>
                      <w:spacing w:line="276" w:lineRule="auto"/>
                      <w:jc w:val="center"/>
                      <w:rPr>
                        <w:sz w:val="18"/>
                        <w:szCs w:val="18"/>
                      </w:rPr>
                    </w:pPr>
                    <w:r>
                      <w:rPr>
                        <w:sz w:val="18"/>
                        <w:szCs w:val="18"/>
                      </w:rPr>
                      <w:t>Rezultato</w:t>
                    </w:r>
                  </w:p>
                </w:tc>
                <w:tc>
                  <w:tcPr>
                    <w:tcW w:w="2134" w:type="dxa"/>
                    <w:shd w:val="clear" w:color="auto" w:fill="FFFFFF"/>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43" w:type="dxa"/>
                    <w:shd w:val="clear" w:color="auto" w:fill="FFFFFF"/>
                    <w:vAlign w:val="center"/>
                  </w:tcPr>
                  <w:p>
                    <w:pPr>
                      <w:spacing w:line="276" w:lineRule="auto"/>
                      <w:jc w:val="center"/>
                      <w:rPr>
                        <w:sz w:val="18"/>
                        <w:szCs w:val="18"/>
                      </w:rPr>
                    </w:pPr>
                    <w:r>
                      <w:rPr>
                        <w:sz w:val="18"/>
                        <w:szCs w:val="18"/>
                      </w:rPr>
                      <w:t>Asmenys</w:t>
                    </w:r>
                  </w:p>
                </w:tc>
                <w:tc>
                  <w:tcPr>
                    <w:tcW w:w="1339" w:type="dxa"/>
                    <w:shd w:val="clear" w:color="auto" w:fill="FFFFFF"/>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42" w:type="dxa"/>
                    <w:shd w:val="clear" w:color="auto" w:fill="FFFFFF"/>
                    <w:vAlign w:val="center"/>
                  </w:tcPr>
                  <w:p>
                    <w:pPr>
                      <w:spacing w:line="276" w:lineRule="auto"/>
                      <w:jc w:val="center"/>
                      <w:rPr>
                        <w:sz w:val="20"/>
                      </w:rPr>
                    </w:pPr>
                    <w:r>
                      <w:rPr>
                        <w:sz w:val="20"/>
                      </w:rPr>
                      <w:t>n / a</w:t>
                    </w:r>
                  </w:p>
                </w:tc>
                <w:tc>
                  <w:tcPr>
                    <w:tcW w:w="992" w:type="dxa"/>
                    <w:shd w:val="clear" w:color="auto" w:fill="FFFFFF"/>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11" w:type="dxa"/>
                    <w:shd w:val="clear" w:color="auto" w:fill="FFFFFF"/>
                    <w:vAlign w:val="center"/>
                  </w:tcPr>
                  <w:p>
                    <w:pPr>
                      <w:spacing w:line="276" w:lineRule="auto"/>
                      <w:jc w:val="center"/>
                      <w:rPr>
                        <w:sz w:val="18"/>
                        <w:szCs w:val="18"/>
                      </w:rPr>
                    </w:pPr>
                    <w:r>
                      <w:rPr>
                        <w:sz w:val="18"/>
                        <w:szCs w:val="18"/>
                      </w:rPr>
                      <w:t>P-12-003-03-01-04-05</w:t>
                    </w:r>
                  </w:p>
                </w:tc>
                <w:tc>
                  <w:tcPr>
                    <w:tcW w:w="1339" w:type="dxa"/>
                    <w:shd w:val="clear" w:color="auto" w:fill="FFFFFF"/>
                    <w:vAlign w:val="center"/>
                  </w:tcPr>
                  <w:p>
                    <w:pPr>
                      <w:spacing w:line="276" w:lineRule="auto"/>
                      <w:jc w:val="center"/>
                      <w:rPr>
                        <w:sz w:val="18"/>
                        <w:szCs w:val="18"/>
                      </w:rPr>
                    </w:pPr>
                    <w:r>
                      <w:rPr>
                        <w:sz w:val="18"/>
                        <w:szCs w:val="18"/>
                      </w:rPr>
                      <w:t>Produkto</w:t>
                    </w:r>
                  </w:p>
                </w:tc>
                <w:tc>
                  <w:tcPr>
                    <w:tcW w:w="2134" w:type="dxa"/>
                    <w:shd w:val="clear" w:color="auto" w:fill="FFFFFF"/>
                    <w:vAlign w:val="center"/>
                  </w:tcPr>
                  <w:p>
                    <w:pPr>
                      <w:spacing w:line="276" w:lineRule="auto"/>
                      <w:jc w:val="center"/>
                      <w:rPr>
                        <w:sz w:val="18"/>
                        <w:szCs w:val="18"/>
                      </w:rPr>
                    </w:pPr>
                    <w:r>
                      <w:rPr>
                        <w:sz w:val="18"/>
                        <w:szCs w:val="18"/>
                      </w:rPr>
                      <w:t>Jaunesnių nei 18 metų vaikų skaičius</w:t>
                    </w:r>
                  </w:p>
                </w:tc>
                <w:tc>
                  <w:tcPr>
                    <w:tcW w:w="943" w:type="dxa"/>
                    <w:shd w:val="clear" w:color="auto" w:fill="FFFFFF"/>
                    <w:vAlign w:val="center"/>
                  </w:tcPr>
                  <w:p>
                    <w:pPr>
                      <w:spacing w:line="276" w:lineRule="auto"/>
                      <w:jc w:val="center"/>
                      <w:rPr>
                        <w:sz w:val="18"/>
                        <w:szCs w:val="18"/>
                      </w:rPr>
                    </w:pPr>
                    <w:r>
                      <w:rPr>
                        <w:sz w:val="18"/>
                        <w:szCs w:val="18"/>
                      </w:rPr>
                      <w:t>Asmenys</w:t>
                    </w:r>
                  </w:p>
                </w:tc>
                <w:tc>
                  <w:tcPr>
                    <w:tcW w:w="1339" w:type="dxa"/>
                    <w:shd w:val="clear" w:color="auto" w:fill="FFFFFF"/>
                    <w:vAlign w:val="center"/>
                  </w:tcPr>
                  <w:p>
                    <w:pPr>
                      <w:spacing w:line="276" w:lineRule="auto"/>
                      <w:jc w:val="center"/>
                      <w:rPr>
                        <w:sz w:val="20"/>
                      </w:rPr>
                    </w:pPr>
                    <w:r>
                      <w:rPr>
                        <w:sz w:val="20"/>
                      </w:rPr>
                      <w:t>0</w:t>
                    </w:r>
                  </w:p>
                </w:tc>
                <w:tc>
                  <w:tcPr>
                    <w:tcW w:w="942" w:type="dxa"/>
                    <w:shd w:val="clear" w:color="auto" w:fill="FFFFFF"/>
                    <w:vAlign w:val="center"/>
                  </w:tcPr>
                  <w:p>
                    <w:pPr>
                      <w:spacing w:line="276" w:lineRule="auto"/>
                      <w:jc w:val="center"/>
                      <w:rPr>
                        <w:sz w:val="20"/>
                      </w:rPr>
                    </w:pPr>
                    <w:r>
                      <w:rPr>
                        <w:sz w:val="20"/>
                      </w:rPr>
                      <w:t>460 (2024)</w:t>
                    </w:r>
                  </w:p>
                </w:tc>
                <w:tc>
                  <w:tcPr>
                    <w:tcW w:w="992" w:type="dxa"/>
                    <w:shd w:val="clear" w:color="auto" w:fill="FFFFFF"/>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11" w:type="dxa"/>
                    <w:shd w:val="clear" w:color="auto" w:fill="FFFFFF"/>
                    <w:vAlign w:val="center"/>
                  </w:tcPr>
                  <w:p>
                    <w:pPr>
                      <w:spacing w:line="276" w:lineRule="auto"/>
                      <w:jc w:val="center"/>
                      <w:rPr>
                        <w:sz w:val="18"/>
                        <w:szCs w:val="18"/>
                      </w:rPr>
                    </w:pPr>
                    <w:r>
                      <w:rPr>
                        <w:sz w:val="18"/>
                        <w:szCs w:val="18"/>
                      </w:rPr>
                      <w:t>P-12-003-03-01-04-06</w:t>
                    </w:r>
                  </w:p>
                </w:tc>
                <w:tc>
                  <w:tcPr>
                    <w:tcW w:w="1339" w:type="dxa"/>
                    <w:shd w:val="clear" w:color="auto" w:fill="FFFFFF"/>
                    <w:vAlign w:val="center"/>
                  </w:tcPr>
                  <w:p>
                    <w:pPr>
                      <w:spacing w:line="276" w:lineRule="auto"/>
                      <w:jc w:val="center"/>
                      <w:rPr>
                        <w:sz w:val="18"/>
                        <w:szCs w:val="18"/>
                      </w:rPr>
                    </w:pPr>
                    <w:r>
                      <w:rPr>
                        <w:sz w:val="18"/>
                        <w:szCs w:val="18"/>
                      </w:rPr>
                      <w:t>Produkto</w:t>
                    </w:r>
                  </w:p>
                </w:tc>
                <w:tc>
                  <w:tcPr>
                    <w:tcW w:w="2134" w:type="dxa"/>
                    <w:shd w:val="clear" w:color="auto" w:fill="FFFFFF"/>
                    <w:vAlign w:val="center"/>
                  </w:tcPr>
                  <w:p>
                    <w:pPr>
                      <w:spacing w:line="276" w:lineRule="auto"/>
                      <w:jc w:val="center"/>
                      <w:rPr>
                        <w:sz w:val="18"/>
                        <w:szCs w:val="18"/>
                      </w:rPr>
                    </w:pPr>
                    <w:r>
                      <w:rPr>
                        <w:sz w:val="18"/>
                        <w:szCs w:val="18"/>
                        <w:lang w:eastAsia="lt-LT"/>
                      </w:rPr>
                      <w:t>Asmenys, turintys tretinį (ISCED 5–8 kodai) išsilavinimą</w:t>
                    </w:r>
                  </w:p>
                </w:tc>
                <w:tc>
                  <w:tcPr>
                    <w:tcW w:w="943" w:type="dxa"/>
                    <w:shd w:val="clear" w:color="auto" w:fill="FFFFFF"/>
                    <w:vAlign w:val="center"/>
                  </w:tcPr>
                  <w:p>
                    <w:pPr>
                      <w:spacing w:line="276" w:lineRule="auto"/>
                      <w:jc w:val="center"/>
                      <w:rPr>
                        <w:sz w:val="18"/>
                        <w:szCs w:val="18"/>
                      </w:rPr>
                    </w:pPr>
                    <w:r>
                      <w:rPr>
                        <w:sz w:val="18"/>
                        <w:szCs w:val="18"/>
                      </w:rPr>
                      <w:t>Asmenys</w:t>
                    </w:r>
                  </w:p>
                </w:tc>
                <w:tc>
                  <w:tcPr>
                    <w:tcW w:w="1339" w:type="dxa"/>
                    <w:shd w:val="clear" w:color="auto" w:fill="FFFFFF"/>
                    <w:vAlign w:val="center"/>
                  </w:tcPr>
                  <w:p>
                    <w:pPr>
                      <w:spacing w:line="276" w:lineRule="auto"/>
                      <w:jc w:val="center"/>
                      <w:rPr>
                        <w:sz w:val="18"/>
                        <w:szCs w:val="18"/>
                      </w:rPr>
                    </w:pPr>
                    <w:r>
                      <w:rPr>
                        <w:sz w:val="20"/>
                      </w:rPr>
                      <w:t>0</w:t>
                    </w:r>
                  </w:p>
                </w:tc>
                <w:tc>
                  <w:tcPr>
                    <w:tcW w:w="942" w:type="dxa"/>
                    <w:shd w:val="clear" w:color="auto" w:fill="FFFFFF"/>
                    <w:vAlign w:val="center"/>
                  </w:tcPr>
                  <w:p>
                    <w:pPr>
                      <w:spacing w:line="276" w:lineRule="auto"/>
                      <w:jc w:val="center"/>
                      <w:rPr>
                        <w:sz w:val="20"/>
                      </w:rPr>
                    </w:pPr>
                    <w:r>
                      <w:rPr>
                        <w:sz w:val="20"/>
                      </w:rPr>
                      <w:t>1 675 (2024)</w:t>
                    </w:r>
                  </w:p>
                </w:tc>
                <w:tc>
                  <w:tcPr>
                    <w:tcW w:w="992" w:type="dxa"/>
                    <w:shd w:val="clear" w:color="auto" w:fill="FFFFFF"/>
                    <w:vAlign w:val="center"/>
                  </w:tcPr>
                  <w:p>
                    <w:pPr>
                      <w:spacing w:line="276" w:lineRule="auto"/>
                      <w:jc w:val="center"/>
                      <w:rPr>
                        <w:sz w:val="18"/>
                        <w:szCs w:val="18"/>
                      </w:rPr>
                    </w:pPr>
                    <w:r>
                      <w:rPr>
                        <w:sz w:val="18"/>
                        <w:szCs w:val="18"/>
                        <w:lang w:eastAsia="lt-LT"/>
                      </w:rPr>
                      <w:t>11 170 (2029)</w:t>
                    </w:r>
                  </w:p>
                </w:tc>
                <w:tc>
                  <w:tcPr>
                    <w:tcW w:w="1134" w:type="dxa"/>
                    <w:shd w:val="clear" w:color="auto" w:fill="FFFFFF"/>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11" w:type="dxa"/>
                    <w:shd w:val="clear" w:color="auto" w:fill="FFFFFF"/>
                    <w:vAlign w:val="center"/>
                  </w:tcPr>
                  <w:p>
                    <w:pPr>
                      <w:spacing w:line="276" w:lineRule="auto"/>
                      <w:jc w:val="center"/>
                      <w:rPr>
                        <w:sz w:val="18"/>
                        <w:szCs w:val="18"/>
                      </w:rPr>
                    </w:pPr>
                    <w:r>
                      <w:rPr>
                        <w:sz w:val="18"/>
                        <w:szCs w:val="18"/>
                      </w:rPr>
                      <w:t>P-12-003-03-01-04-07</w:t>
                    </w:r>
                  </w:p>
                </w:tc>
                <w:tc>
                  <w:tcPr>
                    <w:tcW w:w="1339" w:type="dxa"/>
                    <w:shd w:val="clear" w:color="auto" w:fill="FFFFFF"/>
                    <w:vAlign w:val="center"/>
                  </w:tcPr>
                  <w:p>
                    <w:pPr>
                      <w:spacing w:line="276" w:lineRule="auto"/>
                      <w:jc w:val="center"/>
                      <w:rPr>
                        <w:sz w:val="18"/>
                        <w:szCs w:val="18"/>
                      </w:rPr>
                    </w:pPr>
                    <w:r>
                      <w:rPr>
                        <w:sz w:val="18"/>
                        <w:szCs w:val="18"/>
                      </w:rPr>
                      <w:t>Produkto</w:t>
                    </w:r>
                  </w:p>
                </w:tc>
                <w:tc>
                  <w:tcPr>
                    <w:tcW w:w="2134" w:type="dxa"/>
                    <w:shd w:val="clear" w:color="auto" w:fill="FFFFFF"/>
                    <w:vAlign w:val="center"/>
                  </w:tcPr>
                  <w:p>
                    <w:pPr>
                      <w:spacing w:line="276" w:lineRule="auto"/>
                      <w:jc w:val="center"/>
                      <w:rPr>
                        <w:sz w:val="18"/>
                        <w:szCs w:val="18"/>
                      </w:rPr>
                    </w:pPr>
                    <w:r>
                      <w:rPr>
                        <w:sz w:val="18"/>
                        <w:szCs w:val="18"/>
                      </w:rPr>
                      <w:t>Sukurtos ikimokyklinio ugdymo programos gairės</w:t>
                    </w:r>
                  </w:p>
                </w:tc>
                <w:tc>
                  <w:tcPr>
                    <w:tcW w:w="943" w:type="dxa"/>
                    <w:shd w:val="clear" w:color="auto" w:fill="FFFFFF"/>
                    <w:vAlign w:val="center"/>
                  </w:tcPr>
                  <w:p>
                    <w:pPr>
                      <w:spacing w:line="276" w:lineRule="auto"/>
                      <w:jc w:val="center"/>
                      <w:rPr>
                        <w:sz w:val="18"/>
                        <w:szCs w:val="18"/>
                      </w:rPr>
                    </w:pPr>
                    <w:r>
                      <w:rPr>
                        <w:sz w:val="18"/>
                        <w:szCs w:val="18"/>
                      </w:rPr>
                      <w:t>Vnt.</w:t>
                    </w:r>
                  </w:p>
                </w:tc>
                <w:tc>
                  <w:tcPr>
                    <w:tcW w:w="1339" w:type="dxa"/>
                    <w:shd w:val="clear" w:color="auto" w:fill="FFFFFF"/>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42" w:type="dxa"/>
                    <w:shd w:val="clear" w:color="auto" w:fill="FFFFFF"/>
                    <w:vAlign w:val="center"/>
                  </w:tcPr>
                  <w:p>
                    <w:pPr>
                      <w:spacing w:line="276" w:lineRule="auto"/>
                      <w:jc w:val="center"/>
                      <w:rPr>
                        <w:sz w:val="18"/>
                        <w:szCs w:val="18"/>
                      </w:rPr>
                    </w:pPr>
                    <w:r>
                      <w:rPr>
                        <w:sz w:val="18"/>
                        <w:szCs w:val="18"/>
                      </w:rPr>
                      <w:t>1</w:t>
                    </w:r>
                  </w:p>
                </w:tc>
                <w:tc>
                  <w:tcPr>
                    <w:tcW w:w="992" w:type="dxa"/>
                    <w:shd w:val="clear" w:color="auto" w:fill="FFFFFF"/>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134" w:type="dxa"/>
                    <w:shd w:val="clear" w:color="auto" w:fill="FFFFFF"/>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11" w:type="dxa"/>
                    <w:shd w:val="clear" w:color="auto" w:fill="FFFFFF"/>
                    <w:vAlign w:val="center"/>
                  </w:tcPr>
                  <w:p>
                    <w:pPr>
                      <w:spacing w:line="276" w:lineRule="auto"/>
                      <w:jc w:val="center"/>
                      <w:rPr>
                        <w:sz w:val="18"/>
                        <w:szCs w:val="18"/>
                      </w:rPr>
                    </w:pPr>
                    <w:r>
                      <w:rPr>
                        <w:sz w:val="18"/>
                        <w:szCs w:val="18"/>
                      </w:rPr>
                      <w:t>P-12-003-03-01-04-08</w:t>
                    </w:r>
                  </w:p>
                </w:tc>
                <w:tc>
                  <w:tcPr>
                    <w:tcW w:w="1339" w:type="dxa"/>
                    <w:shd w:val="clear" w:color="auto" w:fill="FFFFFF"/>
                    <w:vAlign w:val="center"/>
                  </w:tcPr>
                  <w:p>
                    <w:pPr>
                      <w:spacing w:line="276" w:lineRule="auto"/>
                      <w:jc w:val="center"/>
                      <w:rPr>
                        <w:sz w:val="18"/>
                        <w:szCs w:val="18"/>
                      </w:rPr>
                    </w:pPr>
                    <w:r>
                      <w:rPr>
                        <w:sz w:val="18"/>
                        <w:szCs w:val="18"/>
                      </w:rPr>
                      <w:t>Produkto</w:t>
                    </w:r>
                  </w:p>
                </w:tc>
                <w:tc>
                  <w:tcPr>
                    <w:tcW w:w="2134" w:type="dxa"/>
                    <w:shd w:val="clear" w:color="auto" w:fill="FFFFFF"/>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43" w:type="dxa"/>
                    <w:shd w:val="clear" w:color="auto" w:fill="FFFFFF"/>
                    <w:vAlign w:val="center"/>
                  </w:tcPr>
                  <w:p>
                    <w:pPr>
                      <w:spacing w:line="276" w:lineRule="auto"/>
                      <w:jc w:val="center"/>
                      <w:rPr>
                        <w:sz w:val="18"/>
                        <w:szCs w:val="18"/>
                      </w:rPr>
                    </w:pPr>
                    <w:r>
                      <w:rPr>
                        <w:sz w:val="18"/>
                        <w:szCs w:val="18"/>
                      </w:rPr>
                      <w:t>Vnt.</w:t>
                    </w:r>
                  </w:p>
                </w:tc>
                <w:tc>
                  <w:tcPr>
                    <w:tcW w:w="1339" w:type="dxa"/>
                    <w:shd w:val="clear" w:color="auto" w:fill="FFFFFF"/>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42" w:type="dxa"/>
                    <w:shd w:val="clear" w:color="auto" w:fill="FFFFFF"/>
                    <w:vAlign w:val="center"/>
                  </w:tcPr>
                  <w:p>
                    <w:pPr>
                      <w:spacing w:line="276" w:lineRule="auto"/>
                      <w:jc w:val="center"/>
                      <w:rPr>
                        <w:sz w:val="18"/>
                        <w:szCs w:val="18"/>
                      </w:rPr>
                    </w:pPr>
                    <w:r>
                      <w:rPr>
                        <w:sz w:val="18"/>
                        <w:szCs w:val="18"/>
                      </w:rPr>
                      <w:t>1</w:t>
                    </w:r>
                  </w:p>
                </w:tc>
                <w:tc>
                  <w:tcPr>
                    <w:tcW w:w="992" w:type="dxa"/>
                    <w:shd w:val="clear" w:color="auto" w:fill="FFFFFF"/>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134" w:type="dxa"/>
                    <w:shd w:val="clear" w:color="auto" w:fill="FFFFFF"/>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11" w:type="dxa"/>
                    <w:shd w:val="clear" w:color="auto" w:fill="FFFFFF"/>
                    <w:vAlign w:val="center"/>
                  </w:tcPr>
                  <w:p>
                    <w:pPr>
                      <w:spacing w:line="276" w:lineRule="auto"/>
                      <w:jc w:val="center"/>
                      <w:rPr>
                        <w:sz w:val="18"/>
                        <w:szCs w:val="18"/>
                      </w:rPr>
                    </w:pPr>
                    <w:r>
                      <w:rPr>
                        <w:sz w:val="18"/>
                        <w:szCs w:val="18"/>
                      </w:rPr>
                      <w:t>R-12-003-03-01-04-09</w:t>
                    </w:r>
                  </w:p>
                </w:tc>
                <w:tc>
                  <w:tcPr>
                    <w:tcW w:w="1339" w:type="dxa"/>
                    <w:shd w:val="clear" w:color="auto" w:fill="FFFFFF"/>
                    <w:vAlign w:val="center"/>
                  </w:tcPr>
                  <w:p>
                    <w:pPr>
                      <w:spacing w:line="276" w:lineRule="auto"/>
                      <w:jc w:val="center"/>
                      <w:rPr>
                        <w:sz w:val="18"/>
                        <w:szCs w:val="18"/>
                      </w:rPr>
                    </w:pPr>
                    <w:r>
                      <w:rPr>
                        <w:sz w:val="18"/>
                        <w:szCs w:val="18"/>
                      </w:rPr>
                      <w:t>Rezultato</w:t>
                    </w:r>
                  </w:p>
                </w:tc>
                <w:tc>
                  <w:tcPr>
                    <w:tcW w:w="2134" w:type="dxa"/>
                    <w:shd w:val="clear" w:color="auto" w:fill="FFFFFF"/>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43" w:type="dxa"/>
                    <w:shd w:val="clear" w:color="auto" w:fill="FFFFFF"/>
                    <w:vAlign w:val="center"/>
                  </w:tcPr>
                  <w:p>
                    <w:pPr>
                      <w:spacing w:line="276" w:lineRule="auto"/>
                      <w:jc w:val="center"/>
                      <w:rPr>
                        <w:sz w:val="18"/>
                        <w:szCs w:val="18"/>
                      </w:rPr>
                    </w:pPr>
                    <w:r>
                      <w:rPr>
                        <w:sz w:val="18"/>
                        <w:szCs w:val="18"/>
                      </w:rPr>
                      <w:t>Proc.</w:t>
                    </w:r>
                  </w:p>
                </w:tc>
                <w:tc>
                  <w:tcPr>
                    <w:tcW w:w="1339" w:type="dxa"/>
                    <w:shd w:val="clear" w:color="auto" w:fill="FFFFFF"/>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42" w:type="dxa"/>
                    <w:shd w:val="clear" w:color="auto" w:fill="FFFFFF"/>
                    <w:vAlign w:val="center"/>
                  </w:tcPr>
                  <w:p>
                    <w:pPr>
                      <w:spacing w:line="276" w:lineRule="auto"/>
                      <w:jc w:val="center"/>
                      <w:rPr>
                        <w:sz w:val="18"/>
                        <w:szCs w:val="18"/>
                      </w:rPr>
                    </w:pPr>
                    <w:r>
                      <w:rPr>
                        <w:sz w:val="20"/>
                      </w:rPr>
                      <w:t>n / a</w:t>
                    </w:r>
                  </w:p>
                </w:tc>
                <w:tc>
                  <w:tcPr>
                    <w:tcW w:w="992" w:type="dxa"/>
                    <w:shd w:val="clear" w:color="auto" w:fill="FFFFFF"/>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11" w:type="dxa"/>
                    <w:shd w:val="clear" w:color="auto" w:fill="FFFFFF"/>
                    <w:vAlign w:val="center"/>
                  </w:tcPr>
                  <w:p>
                    <w:pPr>
                      <w:spacing w:line="276" w:lineRule="auto"/>
                      <w:jc w:val="center"/>
                      <w:rPr>
                        <w:sz w:val="18"/>
                        <w:szCs w:val="18"/>
                        <w:lang w:eastAsia="lt-LT"/>
                      </w:rPr>
                    </w:pPr>
                    <w:r>
                      <w:rPr>
                        <w:sz w:val="18"/>
                        <w:szCs w:val="18"/>
                      </w:rPr>
                      <w:t>P-12-003-03-01-04-10</w:t>
                    </w:r>
                  </w:p>
                </w:tc>
                <w:tc>
                  <w:tcPr>
                    <w:tcW w:w="1339" w:type="dxa"/>
                    <w:shd w:val="clear" w:color="auto" w:fill="FFFFFF"/>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134" w:type="dxa"/>
                    <w:shd w:val="clear" w:color="auto" w:fill="FFFFFF"/>
                    <w:vAlign w:val="center"/>
                  </w:tcPr>
                  <w:p>
                    <w:pPr>
                      <w:spacing w:line="276" w:lineRule="auto"/>
                      <w:jc w:val="center"/>
                      <w:rPr>
                        <w:sz w:val="20"/>
                      </w:rPr>
                    </w:pPr>
                    <w:r>
                      <w:rPr>
                        <w:sz w:val="18"/>
                        <w:szCs w:val="18"/>
                      </w:rPr>
                      <w:t>Atlikta ikimokyklinio ugdymo infrastruktūros plėtros savivaldybėse galimybių studija</w:t>
                    </w:r>
                  </w:p>
                </w:tc>
                <w:tc>
                  <w:tcPr>
                    <w:tcW w:w="943" w:type="dxa"/>
                    <w:shd w:val="clear" w:color="auto" w:fill="FFFFFF"/>
                    <w:vAlign w:val="center"/>
                  </w:tcPr>
                  <w:p>
                    <w:pPr>
                      <w:spacing w:line="276" w:lineRule="auto"/>
                      <w:jc w:val="center"/>
                      <w:rPr>
                        <w:sz w:val="18"/>
                        <w:szCs w:val="18"/>
                      </w:rPr>
                    </w:pPr>
                    <w:r>
                      <w:rPr>
                        <w:sz w:val="18"/>
                        <w:szCs w:val="18"/>
                      </w:rPr>
                      <w:t>Vnt.</w:t>
                    </w:r>
                  </w:p>
                </w:tc>
                <w:tc>
                  <w:tcPr>
                    <w:tcW w:w="1339" w:type="dxa"/>
                    <w:shd w:val="clear" w:color="auto" w:fill="FFFFFF"/>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42" w:type="dxa"/>
                    <w:shd w:val="clear" w:color="auto" w:fill="FFFFFF"/>
                    <w:vAlign w:val="center"/>
                  </w:tcPr>
                  <w:p>
                    <w:pPr>
                      <w:spacing w:line="276" w:lineRule="auto"/>
                      <w:jc w:val="center"/>
                      <w:rPr>
                        <w:sz w:val="20"/>
                      </w:rPr>
                    </w:pPr>
                    <w:r>
                      <w:rPr>
                        <w:sz w:val="20"/>
                      </w:rPr>
                      <w:t>n / a</w:t>
                    </w:r>
                  </w:p>
                </w:tc>
                <w:tc>
                  <w:tcPr>
                    <w:tcW w:w="992" w:type="dxa"/>
                    <w:shd w:val="clear" w:color="auto" w:fill="FFFFFF"/>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134" w:type="dxa"/>
                    <w:shd w:val="clear" w:color="auto" w:fill="FFFFFF"/>
                    <w:vAlign w:val="center"/>
                  </w:tcPr>
                  <w:p>
                    <w:pPr>
                      <w:spacing w:line="276" w:lineRule="auto"/>
                      <w:jc w:val="center"/>
                      <w:rPr>
                        <w:sz w:val="18"/>
                        <w:szCs w:val="18"/>
                      </w:rPr>
                    </w:pPr>
                    <w:r>
                      <w:rPr>
                        <w:sz w:val="18"/>
                        <w:szCs w:val="18"/>
                      </w:rPr>
                      <w:t>Ekonomikos gaivinimo ir atsparumo didinimo priemonė (EGADP)</w:t>
                    </w:r>
                  </w:p>
                </w:tc>
              </w:tr>
            </w:tbl>
            <w:p>
              <w:pPr>
                <w:jc w:val="both"/>
                <w:rPr>
                  <w:sz w:val="20"/>
                </w:rPr>
              </w:pPr>
              <w:r>
                <w:rPr>
                  <w:sz w:val="20"/>
                </w:rPr>
                <w:t>Pastaba.</w:t>
              </w:r>
            </w:p>
            <w:p>
              <w:pPr>
                <w:jc w:val="both"/>
                <w:rPr>
                  <w:sz w:val="20"/>
                </w:rPr>
              </w:pPr>
              <w:r>
                <w:rPr>
                  <w:sz w:val="20"/>
                </w:rPr>
                <w:t>Šioje priemonėje produkto rodikliu R-003-03-01-04-02 „Jaunesnių nei 18 metų vaikų skaičius“ skaičiuojami ikimokyklinio ir priešmokyklinio amžiaus vaikai, patiriantys socialinę riziką ir negalintys gauti tikslinės valstybės paramos pagal priemonę.</w:t>
              </w:r>
            </w:p>
            <w:p>
              <w:pPr>
                <w:overflowPunct w:val="0"/>
                <w:jc w:val="both"/>
                <w:textAlignment w:val="baseline"/>
                <w:rPr>
                  <w:sz w:val="2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7698066c711efafbb8694c098bac5">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2024-08-30,
paskelbta TAR 2024-08-30, i. k. 2024-15216            </w:t>
              </w:r>
            </w:p>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5fb04fd78f15462d80bd09b35e15c7cf"/>
            <w:lock w:val="sdtLocked"/>
            <w:richText/>
          </w:sdtPr>
          <w:sdtContent>
            <w:p>
              <w:pPr>
                <w:jc w:val="center"/>
                <w:rPr>
                  <w:b/>
                  <w:bCs/>
                </w:rPr>
              </w:pPr>
              <w:sdt>
                <w:sdtPr>
                  <w:alias w:val="Numeris"/>
                  <w:tag w:val="nr_5fb04fd78f15462d80bd09b35e15c7cf"/>
                  <w:lock w:val="sdtLocked"/>
                  <w:richText/>
                </w:sdtPr>
                <w:sdtContent>
                  <w:r>
                    <w:rPr>
                      <w:b/>
                      <w:bCs/>
                    </w:rPr>
                    <w:t>III</w:t>
                  </w:r>
                </w:sdtContent>
              </w:sdt>
              <w:r>
                <w:rPr>
                  <w:b/>
                  <w:bCs/>
                </w:rPr>
                <w:t xml:space="preserve"> SKYRIUS</w:t>
              </w:r>
            </w:p>
            <w:p>
              <w:pPr>
                <w:jc w:val="center"/>
                <w:rPr>
                  <w:b/>
                  <w:bCs/>
                </w:rPr>
              </w:pPr>
              <w:sdt>
                <w:sdtPr>
                  <w:alias w:val="Pavadinimas"/>
                  <w:tag w:val="title_5fb04fd78f15462d80bd09b35e15c7cf"/>
                  <w:lock w:val="sdtLocked"/>
                  <w:richText/>
                </w:sdtPr>
                <w:sdtContent>
                  <w:r>
                    <w:rPr>
                      <w:b/>
                      <w:bCs/>
                    </w:rPr>
                    <w:t>PLĖTROS PROGRAMOS PAŽANGOS PRIEMONĖS VEIKLŲ SUVESTINĖ</w:t>
                  </w:r>
                </w:sdtContent>
              </w:sdt>
            </w:p>
            <w:p>
              <w:pPr>
                <w:jc w:val="center"/>
                <w:rPr>
                  <w:color w:val="000000"/>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704"/>
                <w:gridCol w:w="709"/>
                <w:gridCol w:w="764"/>
                <w:gridCol w:w="653"/>
                <w:gridCol w:w="736"/>
                <w:gridCol w:w="1040"/>
                <w:gridCol w:w="661"/>
                <w:gridCol w:w="992"/>
                <w:gridCol w:w="736"/>
                <w:gridCol w:w="655"/>
                <w:gridCol w:w="850"/>
              </w:tblGrid>
              <w:tr>
                <w:trPr>
                  <w:trHeight w:val="700"/>
                </w:trPr>
                <w:tc>
                  <w:tcPr>
                    <w:tcW w:w="1276"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704"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709"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764"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653"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736"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040"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661"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992"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736"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655"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850" w:type="dxa"/>
                    <w:shd w:val="clear" w:color="auto" w:fill="DEEAF6"/>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276" w:type="dxa"/>
                    <w:shd w:val="clear" w:color="auto" w:fill="DEEAF6"/>
                  </w:tcPr>
                  <w:p>
                    <w:pPr>
                      <w:jc w:val="center"/>
                      <w:rPr>
                        <w:b/>
                        <w:bCs/>
                        <w:sz w:val="16"/>
                        <w:szCs w:val="16"/>
                      </w:rPr>
                    </w:pPr>
                    <w:r>
                      <w:rPr>
                        <w:b/>
                        <w:bCs/>
                        <w:sz w:val="16"/>
                        <w:szCs w:val="16"/>
                      </w:rPr>
                      <w:t>1</w:t>
                    </w:r>
                  </w:p>
                </w:tc>
                <w:tc>
                  <w:tcPr>
                    <w:tcW w:w="704" w:type="dxa"/>
                    <w:shd w:val="clear" w:color="auto" w:fill="DEEAF6"/>
                  </w:tcPr>
                  <w:p>
                    <w:pPr>
                      <w:jc w:val="center"/>
                      <w:rPr>
                        <w:b/>
                        <w:bCs/>
                        <w:sz w:val="16"/>
                        <w:szCs w:val="16"/>
                      </w:rPr>
                    </w:pPr>
                    <w:r>
                      <w:rPr>
                        <w:b/>
                        <w:bCs/>
                        <w:sz w:val="16"/>
                        <w:szCs w:val="16"/>
                      </w:rPr>
                      <w:t>2</w:t>
                    </w:r>
                  </w:p>
                </w:tc>
                <w:tc>
                  <w:tcPr>
                    <w:tcW w:w="709" w:type="dxa"/>
                    <w:shd w:val="clear" w:color="auto" w:fill="DEEAF6"/>
                  </w:tcPr>
                  <w:p>
                    <w:pPr>
                      <w:jc w:val="center"/>
                      <w:rPr>
                        <w:b/>
                        <w:bCs/>
                        <w:sz w:val="16"/>
                        <w:szCs w:val="16"/>
                      </w:rPr>
                    </w:pPr>
                    <w:r>
                      <w:rPr>
                        <w:b/>
                        <w:bCs/>
                        <w:sz w:val="16"/>
                        <w:szCs w:val="16"/>
                      </w:rPr>
                      <w:t>3</w:t>
                    </w:r>
                  </w:p>
                </w:tc>
                <w:tc>
                  <w:tcPr>
                    <w:tcW w:w="764" w:type="dxa"/>
                    <w:shd w:val="clear" w:color="auto" w:fill="DEEAF6"/>
                  </w:tcPr>
                  <w:p>
                    <w:pPr>
                      <w:jc w:val="center"/>
                      <w:rPr>
                        <w:b/>
                        <w:bCs/>
                        <w:sz w:val="16"/>
                        <w:szCs w:val="16"/>
                      </w:rPr>
                    </w:pPr>
                    <w:r>
                      <w:rPr>
                        <w:b/>
                        <w:bCs/>
                        <w:sz w:val="16"/>
                        <w:szCs w:val="16"/>
                      </w:rPr>
                      <w:t>4</w:t>
                    </w:r>
                  </w:p>
                </w:tc>
                <w:tc>
                  <w:tcPr>
                    <w:tcW w:w="653" w:type="dxa"/>
                    <w:shd w:val="clear" w:color="auto" w:fill="DEEAF6"/>
                  </w:tcPr>
                  <w:p>
                    <w:pPr>
                      <w:jc w:val="center"/>
                      <w:rPr>
                        <w:b/>
                        <w:bCs/>
                        <w:sz w:val="16"/>
                        <w:szCs w:val="16"/>
                      </w:rPr>
                    </w:pPr>
                    <w:r>
                      <w:rPr>
                        <w:b/>
                        <w:bCs/>
                        <w:sz w:val="16"/>
                        <w:szCs w:val="16"/>
                      </w:rPr>
                      <w:t>5</w:t>
                    </w:r>
                  </w:p>
                </w:tc>
                <w:tc>
                  <w:tcPr>
                    <w:tcW w:w="736" w:type="dxa"/>
                    <w:shd w:val="clear" w:color="auto" w:fill="DEEAF6"/>
                  </w:tcPr>
                  <w:p>
                    <w:pPr>
                      <w:jc w:val="center"/>
                      <w:rPr>
                        <w:b/>
                        <w:bCs/>
                        <w:sz w:val="16"/>
                        <w:szCs w:val="16"/>
                      </w:rPr>
                    </w:pPr>
                    <w:r>
                      <w:rPr>
                        <w:b/>
                        <w:bCs/>
                        <w:sz w:val="16"/>
                        <w:szCs w:val="16"/>
                      </w:rPr>
                      <w:t>6</w:t>
                    </w:r>
                  </w:p>
                </w:tc>
                <w:tc>
                  <w:tcPr>
                    <w:tcW w:w="1040" w:type="dxa"/>
                    <w:shd w:val="clear" w:color="auto" w:fill="DEEAF6"/>
                  </w:tcPr>
                  <w:p>
                    <w:pPr>
                      <w:jc w:val="center"/>
                      <w:rPr>
                        <w:b/>
                        <w:bCs/>
                        <w:sz w:val="16"/>
                        <w:szCs w:val="16"/>
                      </w:rPr>
                    </w:pPr>
                    <w:r>
                      <w:rPr>
                        <w:b/>
                        <w:bCs/>
                        <w:sz w:val="16"/>
                        <w:szCs w:val="16"/>
                      </w:rPr>
                      <w:t>7</w:t>
                    </w:r>
                  </w:p>
                </w:tc>
                <w:tc>
                  <w:tcPr>
                    <w:tcW w:w="661" w:type="dxa"/>
                    <w:shd w:val="clear" w:color="auto" w:fill="DEEAF6"/>
                  </w:tcPr>
                  <w:p>
                    <w:pPr>
                      <w:jc w:val="center"/>
                      <w:rPr>
                        <w:b/>
                        <w:bCs/>
                        <w:sz w:val="16"/>
                        <w:szCs w:val="16"/>
                      </w:rPr>
                    </w:pPr>
                    <w:r>
                      <w:rPr>
                        <w:b/>
                        <w:bCs/>
                        <w:sz w:val="16"/>
                        <w:szCs w:val="16"/>
                      </w:rPr>
                      <w:t>8</w:t>
                    </w:r>
                  </w:p>
                </w:tc>
                <w:tc>
                  <w:tcPr>
                    <w:tcW w:w="992" w:type="dxa"/>
                    <w:shd w:val="clear" w:color="auto" w:fill="DEEAF6"/>
                  </w:tcPr>
                  <w:p>
                    <w:pPr>
                      <w:jc w:val="center"/>
                      <w:rPr>
                        <w:b/>
                        <w:bCs/>
                        <w:sz w:val="16"/>
                        <w:szCs w:val="16"/>
                      </w:rPr>
                    </w:pPr>
                    <w:r>
                      <w:rPr>
                        <w:b/>
                        <w:bCs/>
                        <w:sz w:val="16"/>
                        <w:szCs w:val="16"/>
                      </w:rPr>
                      <w:t>9</w:t>
                    </w:r>
                  </w:p>
                </w:tc>
                <w:tc>
                  <w:tcPr>
                    <w:tcW w:w="736" w:type="dxa"/>
                    <w:shd w:val="clear" w:color="auto" w:fill="DEEAF6"/>
                  </w:tcPr>
                  <w:p>
                    <w:pPr>
                      <w:jc w:val="center"/>
                      <w:rPr>
                        <w:b/>
                        <w:bCs/>
                        <w:sz w:val="16"/>
                        <w:szCs w:val="16"/>
                      </w:rPr>
                    </w:pPr>
                    <w:r>
                      <w:rPr>
                        <w:b/>
                        <w:bCs/>
                        <w:sz w:val="16"/>
                        <w:szCs w:val="16"/>
                      </w:rPr>
                      <w:t>10</w:t>
                    </w:r>
                  </w:p>
                </w:tc>
                <w:tc>
                  <w:tcPr>
                    <w:tcW w:w="655" w:type="dxa"/>
                    <w:shd w:val="clear" w:color="auto" w:fill="DEEAF6"/>
                  </w:tcPr>
                  <w:p>
                    <w:pPr>
                      <w:jc w:val="center"/>
                      <w:rPr>
                        <w:b/>
                        <w:bCs/>
                        <w:sz w:val="16"/>
                        <w:szCs w:val="16"/>
                      </w:rPr>
                    </w:pPr>
                    <w:r>
                      <w:rPr>
                        <w:b/>
                        <w:bCs/>
                        <w:sz w:val="16"/>
                        <w:szCs w:val="16"/>
                      </w:rPr>
                      <w:t>11</w:t>
                    </w:r>
                  </w:p>
                </w:tc>
                <w:tc>
                  <w:tcPr>
                    <w:tcW w:w="850" w:type="dxa"/>
                    <w:shd w:val="clear" w:color="auto" w:fill="DEEAF6"/>
                  </w:tcPr>
                  <w:p>
                    <w:pPr>
                      <w:jc w:val="center"/>
                      <w:rPr>
                        <w:b/>
                        <w:bCs/>
                        <w:sz w:val="16"/>
                        <w:szCs w:val="16"/>
                      </w:rPr>
                    </w:pPr>
                    <w:r>
                      <w:rPr>
                        <w:b/>
                        <w:bCs/>
                        <w:sz w:val="16"/>
                        <w:szCs w:val="16"/>
                      </w:rPr>
                      <w:t>12</w:t>
                    </w:r>
                  </w:p>
                </w:tc>
              </w:tr>
              <w:tr>
                <w:trPr>
                  <w:trHeight w:val="300"/>
                </w:trPr>
                <w:tc>
                  <w:tcPr>
                    <w:tcW w:w="1276" w:type="dxa"/>
                    <w:vMerge w:val="restart"/>
                    <w:shd w:val="clear" w:color="auto" w:fill="DEEAF6"/>
                  </w:tcPr>
                  <w:p>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704" w:type="dxa"/>
                    <w:vMerge w:val="restart"/>
                    <w:shd w:val="clear" w:color="auto" w:fill="DEEAF6"/>
                  </w:tcPr>
                  <w:p>
                    <w:pPr>
                      <w:jc w:val="center"/>
                      <w:rPr>
                        <w:bCs/>
                        <w:sz w:val="16"/>
                        <w:szCs w:val="16"/>
                      </w:rPr>
                    </w:pPr>
                    <w:r>
                      <w:rPr>
                        <w:bCs/>
                        <w:sz w:val="16"/>
                        <w:szCs w:val="16"/>
                      </w:rPr>
                      <w:t>I</w:t>
                    </w:r>
                  </w:p>
                </w:tc>
                <w:tc>
                  <w:tcPr>
                    <w:tcW w:w="709" w:type="dxa"/>
                    <w:vMerge w:val="restart"/>
                    <w:shd w:val="clear" w:color="auto" w:fill="DEEAF6"/>
                  </w:tcPr>
                  <w:p>
                    <w:pPr>
                      <w:jc w:val="center"/>
                      <w:rPr>
                        <w:bCs/>
                        <w:sz w:val="16"/>
                        <w:szCs w:val="16"/>
                      </w:rPr>
                    </w:pPr>
                    <w:r>
                      <w:rPr>
                        <w:bCs/>
                        <w:sz w:val="16"/>
                        <w:szCs w:val="16"/>
                      </w:rPr>
                      <w:t>Savivaldybės, ESFA</w:t>
                    </w:r>
                  </w:p>
                </w:tc>
                <w:tc>
                  <w:tcPr>
                    <w:tcW w:w="764" w:type="dxa"/>
                    <w:vMerge w:val="restart"/>
                    <w:shd w:val="clear" w:color="auto" w:fill="DEEAF6"/>
                  </w:tcPr>
                  <w:p>
                    <w:pPr>
                      <w:jc w:val="center"/>
                      <w:rPr>
                        <w:bCs/>
                        <w:sz w:val="16"/>
                        <w:szCs w:val="16"/>
                      </w:rPr>
                    </w:pPr>
                    <w:r>
                      <w:rPr>
                        <w:bCs/>
                        <w:sz w:val="16"/>
                        <w:szCs w:val="16"/>
                      </w:rPr>
                      <w:t>P</w:t>
                    </w:r>
                  </w:p>
                </w:tc>
                <w:tc>
                  <w:tcPr>
                    <w:tcW w:w="653" w:type="dxa"/>
                    <w:vMerge w:val="restart"/>
                    <w:shd w:val="clear" w:color="auto" w:fill="DEEAF6"/>
                  </w:tcPr>
                  <w:p>
                    <w:pPr>
                      <w:jc w:val="center"/>
                      <w:rPr>
                        <w:bCs/>
                        <w:sz w:val="16"/>
                        <w:szCs w:val="16"/>
                      </w:rPr>
                    </w:pPr>
                    <w:r>
                      <w:rPr>
                        <w:bCs/>
                        <w:sz w:val="16"/>
                        <w:szCs w:val="16"/>
                      </w:rPr>
                      <w:t>Taip</w:t>
                    </w:r>
                  </w:p>
                </w:tc>
                <w:tc>
                  <w:tcPr>
                    <w:tcW w:w="736" w:type="dxa"/>
                    <w:vMerge w:val="restart"/>
                    <w:shd w:val="clear" w:color="auto" w:fill="DEEAF6"/>
                  </w:tcPr>
                  <w:p>
                    <w:pPr>
                      <w:jc w:val="center"/>
                      <w:rPr>
                        <w:bCs/>
                        <w:sz w:val="16"/>
                        <w:szCs w:val="16"/>
                      </w:rPr>
                    </w:pPr>
                    <w:r>
                      <w:rPr>
                        <w:bCs/>
                        <w:sz w:val="16"/>
                        <w:szCs w:val="16"/>
                      </w:rPr>
                      <w:t>D</w:t>
                    </w:r>
                  </w:p>
                </w:tc>
                <w:tc>
                  <w:tcPr>
                    <w:tcW w:w="1040" w:type="dxa"/>
                    <w:vMerge w:val="restart"/>
                    <w:shd w:val="clear" w:color="auto" w:fill="DEEAF6"/>
                  </w:tcPr>
                  <w:p>
                    <w:pPr>
                      <w:jc w:val="center"/>
                      <w:rPr>
                        <w:bCs/>
                        <w:sz w:val="16"/>
                        <w:szCs w:val="16"/>
                      </w:rPr>
                    </w:pPr>
                    <w:r>
                      <w:rPr>
                        <w:bCs/>
                        <w:sz w:val="16"/>
                        <w:szCs w:val="16"/>
                      </w:rPr>
                      <w:t>35 172</w:t>
                    </w:r>
                  </w:p>
                  <w:p>
                    <w:pPr>
                      <w:jc w:val="center"/>
                      <w:rPr>
                        <w:bCs/>
                        <w:sz w:val="16"/>
                        <w:szCs w:val="16"/>
                      </w:rPr>
                    </w:pPr>
                    <w:r>
                      <w:rPr>
                        <w:bCs/>
                        <w:sz w:val="16"/>
                        <w:szCs w:val="16"/>
                      </w:rPr>
                      <w:t>(SR: ES – 2 950; BF – 2 950; VVL: ES – 24 881; BF – 4 391)</w:t>
                    </w:r>
                  </w:p>
                </w:tc>
                <w:tc>
                  <w:tcPr>
                    <w:tcW w:w="661" w:type="dxa"/>
                    <w:vMerge w:val="restart"/>
                    <w:shd w:val="clear" w:color="auto" w:fill="DEEAF6"/>
                  </w:tcPr>
                  <w:p>
                    <w:pPr>
                      <w:jc w:val="center"/>
                      <w:rPr>
                        <w:bCs/>
                        <w:sz w:val="16"/>
                        <w:szCs w:val="16"/>
                      </w:rPr>
                    </w:pPr>
                    <w:r>
                      <w:rPr>
                        <w:bCs/>
                        <w:sz w:val="16"/>
                        <w:szCs w:val="16"/>
                      </w:rPr>
                      <w:t>2021–2027 IP</w:t>
                    </w:r>
                  </w:p>
                </w:tc>
                <w:tc>
                  <w:tcPr>
                    <w:tcW w:w="992" w:type="dxa"/>
                    <w:shd w:val="clear" w:color="auto" w:fill="DEEAF6"/>
                  </w:tcPr>
                  <w:p>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736" w:type="dxa"/>
                    <w:shd w:val="clear" w:color="auto" w:fill="DEEAF6"/>
                  </w:tcPr>
                  <w:p>
                    <w:pPr>
                      <w:jc w:val="center"/>
                      <w:rPr>
                        <w:bCs/>
                        <w:sz w:val="16"/>
                        <w:szCs w:val="16"/>
                      </w:rPr>
                    </w:pPr>
                    <w:r>
                      <w:rPr>
                        <w:bCs/>
                        <w:sz w:val="16"/>
                        <w:szCs w:val="16"/>
                      </w:rPr>
                      <w:t>80</w:t>
                    </w:r>
                  </w:p>
                </w:tc>
                <w:tc>
                  <w:tcPr>
                    <w:tcW w:w="655" w:type="dxa"/>
                    <w:vMerge w:val="restart"/>
                    <w:shd w:val="clear" w:color="auto" w:fill="DEEAF6"/>
                  </w:tcPr>
                  <w:p>
                    <w:pPr>
                      <w:jc w:val="center"/>
                      <w:rPr>
                        <w:bCs/>
                        <w:sz w:val="16"/>
                        <w:szCs w:val="16"/>
                      </w:rPr>
                    </w:pPr>
                    <w:r>
                      <w:rPr>
                        <w:bCs/>
                        <w:sz w:val="16"/>
                        <w:szCs w:val="16"/>
                      </w:rPr>
                      <w:t>CPVA</w:t>
                    </w:r>
                  </w:p>
                </w:tc>
                <w:tc>
                  <w:tcPr>
                    <w:tcW w:w="850" w:type="dxa"/>
                    <w:vMerge w:val="restart"/>
                    <w:shd w:val="clear" w:color="auto" w:fill="DEEAF6"/>
                  </w:tcPr>
                  <w:p>
                    <w:pPr>
                      <w:jc w:val="center"/>
                      <w:rPr>
                        <w:bCs/>
                        <w:sz w:val="16"/>
                        <w:szCs w:val="16"/>
                      </w:rPr>
                    </w:pPr>
                    <w:r>
                      <w:rPr>
                        <w:bCs/>
                        <w:sz w:val="16"/>
                        <w:szCs w:val="16"/>
                      </w:rPr>
                      <w:t>SADM</w:t>
                    </w:r>
                  </w:p>
                </w:tc>
              </w:tr>
              <w:tr>
                <w:trPr>
                  <w:trHeight w:val="990"/>
                </w:trPr>
                <w:tc>
                  <w:tcPr>
                    <w:tcW w:w="1276" w:type="dxa"/>
                    <w:vMerge/>
                  </w:tcPr>
                  <w:p>
                    <w:pPr>
                      <w:ind w:left="-57" w:right="-57"/>
                      <w:rPr>
                        <w:sz w:val="18"/>
                        <w:szCs w:val="18"/>
                      </w:rPr>
                    </w:pPr>
                  </w:p>
                </w:tc>
                <w:tc>
                  <w:tcPr>
                    <w:tcW w:w="704" w:type="dxa"/>
                    <w:vMerge/>
                  </w:tcPr>
                  <w:p>
                    <w:pPr>
                      <w:ind w:left="-57" w:right="-57"/>
                      <w:rPr>
                        <w:sz w:val="18"/>
                        <w:szCs w:val="18"/>
                      </w:rPr>
                    </w:pPr>
                  </w:p>
                </w:tc>
                <w:tc>
                  <w:tcPr>
                    <w:tcW w:w="709" w:type="dxa"/>
                    <w:vMerge/>
                  </w:tcPr>
                  <w:p>
                    <w:pPr>
                      <w:ind w:left="-57" w:right="-57"/>
                      <w:rPr>
                        <w:sz w:val="18"/>
                        <w:szCs w:val="18"/>
                      </w:rPr>
                    </w:pPr>
                  </w:p>
                </w:tc>
                <w:tc>
                  <w:tcPr>
                    <w:tcW w:w="764" w:type="dxa"/>
                    <w:vMerge/>
                  </w:tcPr>
                  <w:p>
                    <w:pPr>
                      <w:ind w:left="-57" w:right="-57"/>
                      <w:rPr>
                        <w:sz w:val="18"/>
                        <w:szCs w:val="18"/>
                      </w:rPr>
                    </w:pPr>
                  </w:p>
                </w:tc>
                <w:tc>
                  <w:tcPr>
                    <w:tcW w:w="653" w:type="dxa"/>
                    <w:vMerge/>
                  </w:tcPr>
                  <w:p>
                    <w:pPr>
                      <w:ind w:left="-60" w:right="-60"/>
                      <w:jc w:val="center"/>
                      <w:textAlignment w:val="baseline"/>
                      <w:rPr>
                        <w:sz w:val="16"/>
                        <w:szCs w:val="16"/>
                        <w:lang w:eastAsia="lt-LT"/>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rPr>
                    </w:pPr>
                  </w:p>
                </w:tc>
                <w:tc>
                  <w:tcPr>
                    <w:tcW w:w="992" w:type="dxa"/>
                    <w:shd w:val="clear" w:color="auto" w:fill="D9E2F3" w:themeFill="accent5" w:themeFillTint="33"/>
                  </w:tcPr>
                  <w:p>
                    <w:pPr>
                      <w:ind w:left="-57" w:right="-57"/>
                      <w:rPr>
                        <w:sz w:val="18"/>
                        <w:szCs w:val="18"/>
                      </w:rPr>
                    </w:pPr>
                    <w:r>
                      <w:rPr>
                        <w:sz w:val="18"/>
                        <w:szCs w:val="18"/>
                      </w:rPr>
                      <w:t>P – Jaunesnių nei 18 metų vaikų skaičius</w:t>
                    </w:r>
                  </w:p>
                </w:tc>
                <w:tc>
                  <w:tcPr>
                    <w:tcW w:w="736" w:type="dxa"/>
                    <w:shd w:val="clear" w:color="auto" w:fill="D9E2F3" w:themeFill="accent5" w:themeFillTint="33"/>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655" w:type="dxa"/>
                    <w:vMerge/>
                  </w:tcPr>
                  <w:p>
                    <w:pPr>
                      <w:ind w:left="-57" w:right="-57"/>
                      <w:rPr>
                        <w:sz w:val="18"/>
                        <w:szCs w:val="18"/>
                      </w:rPr>
                    </w:pPr>
                  </w:p>
                </w:tc>
                <w:tc>
                  <w:tcPr>
                    <w:tcW w:w="850" w:type="dxa"/>
                    <w:vMerge/>
                  </w:tcPr>
                  <w:p>
                    <w:pPr>
                      <w:ind w:left="-57" w:right="-57"/>
                      <w:rPr>
                        <w:sz w:val="18"/>
                        <w:szCs w:val="18"/>
                      </w:rPr>
                    </w:pPr>
                  </w:p>
                </w:tc>
              </w:tr>
              <w:tr>
                <w:trPr>
                  <w:trHeight w:val="613"/>
                </w:trPr>
                <w:tc>
                  <w:tcPr>
                    <w:tcW w:w="127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 veikla)</w:t>
                    </w: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ESFA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736" w:type="dxa"/>
                    <w:vMerge w:val="restart"/>
                  </w:tcPr>
                  <w:p>
                    <w:pPr>
                      <w:ind w:left="-57" w:right="-57"/>
                      <w:jc w:val="center"/>
                      <w:rPr>
                        <w:sz w:val="18"/>
                        <w:szCs w:val="18"/>
                      </w:rPr>
                    </w:pPr>
                    <w:r>
                      <w:rPr>
                        <w:sz w:val="18"/>
                        <w:szCs w:val="18"/>
                      </w:rPr>
                      <w:t>D</w:t>
                    </w:r>
                  </w:p>
                </w:tc>
                <w:tc>
                  <w:tcPr>
                    <w:tcW w:w="1040" w:type="dxa"/>
                    <w:vMerge w:val="restart"/>
                  </w:tcPr>
                  <w:p>
                    <w:pPr>
                      <w:spacing w:line="259" w:lineRule="auto"/>
                      <w:ind w:left="-57" w:right="-57"/>
                      <w:jc w:val="center"/>
                      <w:rPr>
                        <w:sz w:val="18"/>
                        <w:szCs w:val="18"/>
                      </w:rPr>
                    </w:pPr>
                    <w:r>
                      <w:rPr>
                        <w:sz w:val="18"/>
                        <w:szCs w:val="18"/>
                      </w:rPr>
                      <w:t>5 900</w:t>
                    </w:r>
                  </w:p>
                </w:tc>
                <w:tc>
                  <w:tcPr>
                    <w:tcW w:w="661" w:type="dxa"/>
                    <w:vMerge w:val="restart"/>
                  </w:tcPr>
                  <w:p>
                    <w:pPr>
                      <w:ind w:left="-57" w:right="-57"/>
                      <w:jc w:val="center"/>
                      <w:rPr>
                        <w:sz w:val="18"/>
                        <w:szCs w:val="18"/>
                        <w:lang w:eastAsia="lt-LT"/>
                      </w:rPr>
                    </w:pPr>
                    <w:r>
                      <w:rPr>
                        <w:sz w:val="18"/>
                        <w:szCs w:val="18"/>
                        <w:lang w:eastAsia="lt-LT"/>
                      </w:rPr>
                      <w:t>2021–2027 IP</w:t>
                    </w:r>
                  </w:p>
                </w:tc>
                <w:tc>
                  <w:tcPr>
                    <w:tcW w:w="99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736" w:type="dxa"/>
                  </w:tcPr>
                  <w:p>
                    <w:pPr>
                      <w:ind w:left="-57" w:right="-57"/>
                      <w:jc w:val="center"/>
                      <w:rPr>
                        <w:sz w:val="18"/>
                        <w:szCs w:val="18"/>
                      </w:rPr>
                    </w:pPr>
                    <w:r>
                      <w:rPr>
                        <w:sz w:val="18"/>
                        <w:szCs w:val="18"/>
                      </w:rPr>
                      <w:t>80</w:t>
                    </w:r>
                  </w:p>
                </w:tc>
                <w:tc>
                  <w:tcPr>
                    <w:tcW w:w="655" w:type="dxa"/>
                    <w:vMerge w:val="restart"/>
                  </w:tcPr>
                  <w:p>
                    <w:pPr>
                      <w:spacing w:line="259" w:lineRule="auto"/>
                      <w:ind w:left="-57" w:right="-57"/>
                      <w:jc w:val="center"/>
                      <w:rPr>
                        <w:sz w:val="18"/>
                        <w:szCs w:val="18"/>
                      </w:rPr>
                    </w:pPr>
                    <w:r>
                      <w:rPr>
                        <w:sz w:val="18"/>
                        <w:szCs w:val="18"/>
                      </w:rPr>
                      <w:t>CPVA</w:t>
                    </w:r>
                  </w:p>
                </w:tc>
                <w:tc>
                  <w:tcPr>
                    <w:tcW w:w="850" w:type="dxa"/>
                    <w:vMerge w:val="restart"/>
                  </w:tcPr>
                  <w:p>
                    <w:pPr>
                      <w:ind w:left="-57" w:right="-57"/>
                      <w:jc w:val="center"/>
                      <w:rPr>
                        <w:sz w:val="18"/>
                        <w:szCs w:val="18"/>
                      </w:rPr>
                    </w:pPr>
                    <w:r>
                      <w:rPr>
                        <w:sz w:val="18"/>
                        <w:szCs w:val="18"/>
                      </w:rPr>
                      <w:t xml:space="preserve">SADM </w:t>
                    </w:r>
                  </w:p>
                </w:tc>
              </w:tr>
              <w:tr>
                <w:trPr>
                  <w:trHeight w:val="613"/>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spacing w:line="259" w:lineRule="auto"/>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sz w:val="18"/>
                        <w:szCs w:val="18"/>
                      </w:rPr>
                      <w:t>P – Jaunesnių nei 18 metų vaikų skaičius</w:t>
                    </w:r>
                  </w:p>
                </w:tc>
                <w:tc>
                  <w:tcPr>
                    <w:tcW w:w="736" w:type="dxa"/>
                  </w:tcPr>
                  <w:p>
                    <w:pPr>
                      <w:ind w:left="-57" w:right="-57"/>
                      <w:jc w:val="center"/>
                      <w:rPr>
                        <w:sz w:val="18"/>
                        <w:szCs w:val="18"/>
                      </w:rPr>
                    </w:pPr>
                    <w:r>
                      <w:rPr>
                        <w:sz w:val="18"/>
                        <w:szCs w:val="18"/>
                      </w:rPr>
                      <w:t>510</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613"/>
                </w:trPr>
                <w:tc>
                  <w:tcPr>
                    <w:tcW w:w="127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ESFA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736" w:type="dxa"/>
                    <w:vMerge w:val="restart"/>
                  </w:tcPr>
                  <w:p>
                    <w:pPr>
                      <w:ind w:left="-57" w:right="-57"/>
                      <w:jc w:val="center"/>
                      <w:rPr>
                        <w:sz w:val="18"/>
                        <w:szCs w:val="18"/>
                      </w:rPr>
                    </w:pPr>
                    <w:r>
                      <w:rPr>
                        <w:sz w:val="18"/>
                        <w:szCs w:val="18"/>
                      </w:rPr>
                      <w:t>D</w:t>
                    </w:r>
                  </w:p>
                </w:tc>
                <w:tc>
                  <w:tcPr>
                    <w:tcW w:w="1040" w:type="dxa"/>
                    <w:vMerge w:val="restart"/>
                  </w:tcPr>
                  <w:p>
                    <w:pPr>
                      <w:spacing w:line="259" w:lineRule="auto"/>
                      <w:ind w:left="-57" w:right="-57"/>
                      <w:jc w:val="center"/>
                      <w:rPr>
                        <w:sz w:val="18"/>
                        <w:szCs w:val="18"/>
                      </w:rPr>
                    </w:pPr>
                    <w:r>
                      <w:rPr>
                        <w:sz w:val="18"/>
                        <w:szCs w:val="18"/>
                      </w:rPr>
                      <w:t>29 272</w:t>
                    </w:r>
                  </w:p>
                </w:tc>
                <w:tc>
                  <w:tcPr>
                    <w:tcW w:w="661" w:type="dxa"/>
                    <w:vMerge w:val="restart"/>
                  </w:tcPr>
                  <w:p>
                    <w:pPr>
                      <w:ind w:left="-57" w:right="-57"/>
                      <w:jc w:val="center"/>
                      <w:rPr>
                        <w:sz w:val="18"/>
                        <w:szCs w:val="18"/>
                        <w:lang w:eastAsia="lt-LT"/>
                      </w:rPr>
                    </w:pPr>
                    <w:r>
                      <w:rPr>
                        <w:sz w:val="18"/>
                        <w:szCs w:val="18"/>
                        <w:lang w:eastAsia="lt-LT"/>
                      </w:rPr>
                      <w:t>2021–2027 IP</w:t>
                    </w:r>
                  </w:p>
                </w:tc>
                <w:tc>
                  <w:tcPr>
                    <w:tcW w:w="99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736" w:type="dxa"/>
                  </w:tcPr>
                  <w:p>
                    <w:pPr>
                      <w:ind w:left="-57" w:right="-57"/>
                      <w:jc w:val="center"/>
                      <w:rPr>
                        <w:sz w:val="18"/>
                        <w:szCs w:val="18"/>
                      </w:rPr>
                    </w:pPr>
                    <w:r>
                      <w:rPr>
                        <w:sz w:val="18"/>
                        <w:szCs w:val="18"/>
                      </w:rPr>
                      <w:t>80</w:t>
                    </w:r>
                  </w:p>
                </w:tc>
                <w:tc>
                  <w:tcPr>
                    <w:tcW w:w="655" w:type="dxa"/>
                    <w:vMerge w:val="restart"/>
                  </w:tcPr>
                  <w:p>
                    <w:pPr>
                      <w:spacing w:line="259" w:lineRule="auto"/>
                      <w:ind w:left="-57" w:right="-57"/>
                      <w:jc w:val="center"/>
                      <w:rPr>
                        <w:sz w:val="18"/>
                        <w:szCs w:val="18"/>
                      </w:rPr>
                    </w:pPr>
                    <w:r>
                      <w:rPr>
                        <w:sz w:val="18"/>
                        <w:szCs w:val="18"/>
                      </w:rPr>
                      <w:t>CPVA</w:t>
                    </w:r>
                  </w:p>
                </w:tc>
                <w:tc>
                  <w:tcPr>
                    <w:tcW w:w="850" w:type="dxa"/>
                    <w:vMerge w:val="restart"/>
                  </w:tcPr>
                  <w:p>
                    <w:pPr>
                      <w:ind w:left="-57" w:right="-57"/>
                      <w:jc w:val="center"/>
                      <w:rPr>
                        <w:sz w:val="18"/>
                        <w:szCs w:val="18"/>
                      </w:rPr>
                    </w:pPr>
                    <w:r>
                      <w:rPr>
                        <w:sz w:val="18"/>
                        <w:szCs w:val="18"/>
                      </w:rPr>
                      <w:t xml:space="preserve">SADM </w:t>
                    </w:r>
                  </w:p>
                </w:tc>
              </w:tr>
              <w:tr>
                <w:trPr>
                  <w:trHeight w:val="613"/>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spacing w:line="259" w:lineRule="auto"/>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sz w:val="18"/>
                        <w:szCs w:val="18"/>
                      </w:rPr>
                      <w:t>P – Jaunesnių nei 18 metų vaikų skaičius</w:t>
                    </w:r>
                  </w:p>
                </w:tc>
                <w:tc>
                  <w:tcPr>
                    <w:tcW w:w="736" w:type="dxa"/>
                  </w:tcPr>
                  <w:p>
                    <w:pPr>
                      <w:ind w:left="-57" w:right="-57"/>
                      <w:jc w:val="center"/>
                      <w:rPr>
                        <w:sz w:val="18"/>
                        <w:szCs w:val="18"/>
                      </w:rPr>
                    </w:pPr>
                    <w:r>
                      <w:rPr>
                        <w:sz w:val="18"/>
                        <w:szCs w:val="18"/>
                      </w:rPr>
                      <w:t>2 540</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613"/>
                </w:trPr>
                <w:tc>
                  <w:tcPr>
                    <w:tcW w:w="127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w:t>
                    </w: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NŠA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57" w:right="-57"/>
                      <w:jc w:val="center"/>
                      <w:rPr>
                        <w:sz w:val="18"/>
                        <w:szCs w:val="18"/>
                      </w:rPr>
                    </w:pPr>
                    <w:r>
                      <w:rPr>
                        <w:sz w:val="18"/>
                        <w:szCs w:val="18"/>
                      </w:rPr>
                      <w:t>Taip</w:t>
                    </w:r>
                  </w:p>
                </w:tc>
                <w:tc>
                  <w:tcPr>
                    <w:tcW w:w="736" w:type="dxa"/>
                    <w:vMerge w:val="restart"/>
                  </w:tcPr>
                  <w:p>
                    <w:pPr>
                      <w:ind w:left="-57" w:right="-57"/>
                      <w:jc w:val="center"/>
                      <w:rPr>
                        <w:sz w:val="18"/>
                        <w:szCs w:val="18"/>
                      </w:rPr>
                    </w:pPr>
                    <w:r>
                      <w:rPr>
                        <w:sz w:val="18"/>
                        <w:szCs w:val="18"/>
                      </w:rPr>
                      <w:t>D</w:t>
                    </w:r>
                  </w:p>
                </w:tc>
                <w:tc>
                  <w:tcPr>
                    <w:tcW w:w="1040"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661"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99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pPr>
                      <w:ind w:left="-57" w:right="-57"/>
                      <w:jc w:val="center"/>
                      <w:rPr>
                        <w:sz w:val="18"/>
                        <w:szCs w:val="18"/>
                      </w:rPr>
                    </w:pPr>
                    <w:r>
                      <w:rPr>
                        <w:sz w:val="18"/>
                        <w:szCs w:val="18"/>
                      </w:rPr>
                      <w:t>SR – 2 340, VVL – 6 000</w:t>
                    </w:r>
                  </w:p>
                </w:tc>
                <w:tc>
                  <w:tcPr>
                    <w:tcW w:w="655"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850" w:type="dxa"/>
                    <w:vMerge w:val="restart"/>
                  </w:tcPr>
                  <w:p>
                    <w:pPr>
                      <w:ind w:left="-57" w:right="-57"/>
                      <w:jc w:val="center"/>
                      <w:rPr>
                        <w:sz w:val="18"/>
                        <w:szCs w:val="18"/>
                      </w:rPr>
                    </w:pPr>
                    <w:r>
                      <w:rPr>
                        <w:sz w:val="18"/>
                        <w:szCs w:val="18"/>
                      </w:rPr>
                      <w:t>–</w:t>
                    </w:r>
                  </w:p>
                </w:tc>
              </w:tr>
              <w:tr>
                <w:trPr>
                  <w:trHeight w:val="405"/>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rPr>
                    </w:pPr>
                  </w:p>
                </w:tc>
                <w:tc>
                  <w:tcPr>
                    <w:tcW w:w="992" w:type="dxa"/>
                  </w:tcPr>
                  <w:p>
                    <w:pPr>
                      <w:ind w:left="-57" w:right="-57"/>
                      <w:rPr>
                        <w:sz w:val="18"/>
                        <w:szCs w:val="18"/>
                      </w:rPr>
                    </w:pPr>
                    <w:r>
                      <w:rPr>
                        <w:sz w:val="18"/>
                        <w:szCs w:val="18"/>
                      </w:rPr>
                      <w:t>P – Sukurtos ikimokyklinio ugdymo programos gairės</w:t>
                    </w:r>
                  </w:p>
                </w:tc>
                <w:tc>
                  <w:tcPr>
                    <w:tcW w:w="736" w:type="dxa"/>
                  </w:tcPr>
                  <w:p>
                    <w:pPr>
                      <w:ind w:left="-57" w:right="-57"/>
                      <w:jc w:val="center"/>
                      <w:rPr>
                        <w:sz w:val="18"/>
                        <w:szCs w:val="18"/>
                      </w:rPr>
                    </w:pPr>
                    <w:r>
                      <w:rPr>
                        <w:sz w:val="18"/>
                        <w:szCs w:val="18"/>
                      </w:rPr>
                      <w:t>1</w:t>
                    </w:r>
                  </w:p>
                </w:tc>
                <w:tc>
                  <w:tcPr>
                    <w:tcW w:w="655" w:type="dxa"/>
                    <w:vMerge/>
                  </w:tcPr>
                  <w:p>
                    <w:pPr>
                      <w:ind w:left="-57" w:right="-57"/>
                      <w:rPr>
                        <w:sz w:val="18"/>
                        <w:szCs w:val="18"/>
                      </w:rPr>
                    </w:pPr>
                  </w:p>
                </w:tc>
                <w:tc>
                  <w:tcPr>
                    <w:tcW w:w="850" w:type="dxa"/>
                    <w:vMerge/>
                  </w:tcPr>
                  <w:p>
                    <w:pPr>
                      <w:ind w:left="-57" w:right="-57"/>
                      <w:rPr>
                        <w:sz w:val="18"/>
                        <w:szCs w:val="18"/>
                      </w:rPr>
                    </w:pPr>
                  </w:p>
                </w:tc>
              </w:tr>
              <w:tr>
                <w:tc>
                  <w:tcPr>
                    <w:tcW w:w="1276" w:type="dxa"/>
                    <w:vMerge/>
                  </w:tcPr>
                  <w:p>
                    <w:pPr/>
                  </w:p>
                </w:tc>
                <w:tc>
                  <w:tcPr>
                    <w:tcW w:w="704" w:type="dxa"/>
                    <w:vMerge/>
                  </w:tcPr>
                  <w:p>
                    <w:pPr/>
                  </w:p>
                </w:tc>
                <w:tc>
                  <w:tcPr>
                    <w:tcW w:w="709" w:type="dxa"/>
                    <w:vMerge/>
                  </w:tcPr>
                  <w:p>
                    <w:pPr/>
                  </w:p>
                </w:tc>
                <w:tc>
                  <w:tcPr>
                    <w:tcW w:w="764" w:type="dxa"/>
                    <w:vMerge/>
                  </w:tcPr>
                  <w:p>
                    <w:pPr/>
                  </w:p>
                </w:tc>
                <w:tc>
                  <w:tcPr>
                    <w:tcW w:w="653" w:type="dxa"/>
                    <w:vMerge/>
                  </w:tcPr>
                  <w:p>
                    <w:pPr/>
                  </w:p>
                </w:tc>
                <w:tc>
                  <w:tcPr>
                    <w:tcW w:w="736" w:type="dxa"/>
                    <w:vMerge/>
                  </w:tcPr>
                  <w:p>
                    <w:pPr/>
                  </w:p>
                </w:tc>
                <w:tc>
                  <w:tcPr>
                    <w:tcW w:w="1040" w:type="dxa"/>
                    <w:vMerge/>
                  </w:tcPr>
                  <w:p>
                    <w:pPr/>
                  </w:p>
                </w:tc>
                <w:tc>
                  <w:tcPr>
                    <w:tcW w:w="661" w:type="dxa"/>
                    <w:vMerge/>
                  </w:tcPr>
                  <w:p>
                    <w:pPr/>
                  </w:p>
                </w:tc>
                <w:tc>
                  <w:tcPr>
                    <w:tcW w:w="99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736" w:type="dxa"/>
                  </w:tcPr>
                  <w:p>
                    <w:pPr>
                      <w:jc w:val="center"/>
                      <w:rPr>
                        <w:sz w:val="18"/>
                        <w:szCs w:val="18"/>
                      </w:rPr>
                    </w:pPr>
                    <w:r>
                      <w:rPr>
                        <w:sz w:val="18"/>
                        <w:szCs w:val="18"/>
                      </w:rPr>
                      <w:t>1</w:t>
                    </w:r>
                  </w:p>
                </w:tc>
                <w:tc>
                  <w:tcPr>
                    <w:tcW w:w="655" w:type="dxa"/>
                    <w:vMerge/>
                  </w:tcPr>
                  <w:p>
                    <w:pPr/>
                  </w:p>
                </w:tc>
                <w:tc>
                  <w:tcPr>
                    <w:tcW w:w="850" w:type="dxa"/>
                    <w:vMerge/>
                  </w:tcPr>
                  <w:p>
                    <w:pPr/>
                  </w:p>
                </w:tc>
              </w:tr>
              <w:tr>
                <w:tc>
                  <w:tcPr>
                    <w:tcW w:w="1276" w:type="dxa"/>
                    <w:vMerge/>
                  </w:tcPr>
                  <w:p>
                    <w:pPr/>
                  </w:p>
                </w:tc>
                <w:tc>
                  <w:tcPr>
                    <w:tcW w:w="704" w:type="dxa"/>
                    <w:vMerge/>
                  </w:tcPr>
                  <w:p>
                    <w:pPr/>
                  </w:p>
                </w:tc>
                <w:tc>
                  <w:tcPr>
                    <w:tcW w:w="709" w:type="dxa"/>
                    <w:vMerge/>
                  </w:tcPr>
                  <w:p>
                    <w:pPr/>
                  </w:p>
                </w:tc>
                <w:tc>
                  <w:tcPr>
                    <w:tcW w:w="764" w:type="dxa"/>
                    <w:vMerge/>
                  </w:tcPr>
                  <w:p>
                    <w:pPr/>
                  </w:p>
                </w:tc>
                <w:tc>
                  <w:tcPr>
                    <w:tcW w:w="653" w:type="dxa"/>
                    <w:vMerge/>
                  </w:tcPr>
                  <w:p>
                    <w:pPr/>
                  </w:p>
                </w:tc>
                <w:tc>
                  <w:tcPr>
                    <w:tcW w:w="736" w:type="dxa"/>
                    <w:vMerge/>
                  </w:tcPr>
                  <w:p>
                    <w:pPr/>
                  </w:p>
                </w:tc>
                <w:tc>
                  <w:tcPr>
                    <w:tcW w:w="1040" w:type="dxa"/>
                    <w:vMerge/>
                  </w:tcPr>
                  <w:p>
                    <w:pPr/>
                  </w:p>
                </w:tc>
                <w:tc>
                  <w:tcPr>
                    <w:tcW w:w="661" w:type="dxa"/>
                    <w:vMerge/>
                  </w:tcPr>
                  <w:p>
                    <w:pPr/>
                  </w:p>
                </w:tc>
                <w:tc>
                  <w:tcPr>
                    <w:tcW w:w="992" w:type="dxa"/>
                  </w:tcPr>
                  <w:p>
                    <w:pPr>
                      <w:ind w:left="-57" w:right="-57"/>
                      <w:rPr>
                        <w:sz w:val="18"/>
                        <w:szCs w:val="18"/>
                      </w:rPr>
                    </w:pPr>
                    <w:r>
                      <w:rPr>
                        <w:sz w:val="18"/>
                        <w:szCs w:val="18"/>
                      </w:rPr>
                      <w:t xml:space="preserve">P – Asmenys, turintys tretinį (ISCED 5–8 kodai)  išsilavinimą</w:t>
                    </w:r>
                  </w:p>
                </w:tc>
                <w:tc>
                  <w:tcPr>
                    <w:tcW w:w="736" w:type="dxa"/>
                  </w:tcPr>
                  <w:p>
                    <w:pPr>
                      <w:jc w:val="center"/>
                      <w:rPr>
                        <w:sz w:val="18"/>
                        <w:szCs w:val="18"/>
                      </w:rPr>
                    </w:pPr>
                    <w:r>
                      <w:rPr>
                        <w:sz w:val="18"/>
                        <w:szCs w:val="18"/>
                      </w:rPr>
                      <w:t>SR – 2 740, VVL – 7 060</w:t>
                    </w:r>
                  </w:p>
                </w:tc>
                <w:tc>
                  <w:tcPr>
                    <w:tcW w:w="655" w:type="dxa"/>
                    <w:vMerge/>
                  </w:tcPr>
                  <w:p>
                    <w:pPr/>
                  </w:p>
                </w:tc>
                <w:tc>
                  <w:tcPr>
                    <w:tcW w:w="850" w:type="dxa"/>
                    <w:vMerge/>
                  </w:tcPr>
                  <w:p>
                    <w:pPr/>
                  </w:p>
                </w:tc>
              </w:tr>
              <w:tr>
                <w:trPr>
                  <w:trHeight w:val="984"/>
                </w:trPr>
                <w:tc>
                  <w:tcPr>
                    <w:tcW w:w="127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Sostinės regione. (IP metodologinio dokumento 4.2.3 veikla)</w:t>
                    </w: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NŠA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57" w:right="-57"/>
                      <w:jc w:val="center"/>
                      <w:rPr>
                        <w:sz w:val="18"/>
                        <w:szCs w:val="18"/>
                      </w:rPr>
                    </w:pPr>
                    <w:r>
                      <w:rPr>
                        <w:sz w:val="18"/>
                        <w:szCs w:val="18"/>
                      </w:rPr>
                      <w:t>Taip</w:t>
                    </w:r>
                  </w:p>
                </w:tc>
                <w:tc>
                  <w:tcPr>
                    <w:tcW w:w="736" w:type="dxa"/>
                    <w:vMerge w:val="restart"/>
                  </w:tcPr>
                  <w:p>
                    <w:pPr>
                      <w:ind w:left="-57" w:right="-57"/>
                      <w:jc w:val="center"/>
                      <w:rPr>
                        <w:sz w:val="18"/>
                        <w:szCs w:val="18"/>
                      </w:rPr>
                    </w:pPr>
                    <w:r>
                      <w:rPr>
                        <w:sz w:val="18"/>
                        <w:szCs w:val="18"/>
                      </w:rPr>
                      <w:t>D</w:t>
                    </w:r>
                  </w:p>
                </w:tc>
                <w:tc>
                  <w:tcPr>
                    <w:tcW w:w="1040" w:type="dxa"/>
                    <w:vMerge w:val="restart"/>
                  </w:tcPr>
                  <w:p>
                    <w:pPr>
                      <w:ind w:left="-57" w:right="-57"/>
                      <w:jc w:val="center"/>
                      <w:rPr>
                        <w:sz w:val="18"/>
                        <w:szCs w:val="18"/>
                      </w:rPr>
                    </w:pPr>
                    <w:r>
                      <w:rPr>
                        <w:sz w:val="18"/>
                        <w:szCs w:val="18"/>
                      </w:rPr>
                      <w:t>1 316</w:t>
                    </w:r>
                  </w:p>
                </w:tc>
                <w:tc>
                  <w:tcPr>
                    <w:tcW w:w="661" w:type="dxa"/>
                    <w:vMerge w:val="restart"/>
                  </w:tcPr>
                  <w:p>
                    <w:pPr>
                      <w:ind w:left="-57" w:right="-57"/>
                      <w:jc w:val="center"/>
                      <w:rPr>
                        <w:sz w:val="18"/>
                        <w:szCs w:val="18"/>
                        <w:lang w:eastAsia="lt-LT"/>
                      </w:rPr>
                    </w:pPr>
                    <w:r>
                      <w:rPr>
                        <w:sz w:val="18"/>
                        <w:szCs w:val="18"/>
                        <w:lang w:eastAsia="lt-LT"/>
                      </w:rPr>
                      <w:t>2021–2027 IP</w:t>
                    </w:r>
                  </w:p>
                </w:tc>
                <w:tc>
                  <w:tcPr>
                    <w:tcW w:w="99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pPr>
                      <w:ind w:right="-57"/>
                      <w:jc w:val="center"/>
                      <w:rPr>
                        <w:sz w:val="18"/>
                        <w:szCs w:val="18"/>
                      </w:rPr>
                    </w:pPr>
                    <w:r>
                      <w:rPr>
                        <w:sz w:val="18"/>
                        <w:szCs w:val="18"/>
                      </w:rPr>
                      <w:t>2 340</w:t>
                    </w:r>
                  </w:p>
                </w:tc>
                <w:tc>
                  <w:tcPr>
                    <w:tcW w:w="655" w:type="dxa"/>
                    <w:vMerge w:val="restart"/>
                  </w:tcPr>
                  <w:p>
                    <w:pPr>
                      <w:spacing w:line="259" w:lineRule="auto"/>
                      <w:ind w:left="-57" w:right="-57"/>
                      <w:jc w:val="center"/>
                      <w:rPr>
                        <w:sz w:val="18"/>
                        <w:szCs w:val="18"/>
                      </w:rPr>
                    </w:pPr>
                    <w:r>
                      <w:rPr>
                        <w:sz w:val="18"/>
                        <w:szCs w:val="18"/>
                      </w:rPr>
                      <w:t>CPVA</w:t>
                    </w:r>
                  </w:p>
                </w:tc>
                <w:tc>
                  <w:tcPr>
                    <w:tcW w:w="850" w:type="dxa"/>
                    <w:vMerge w:val="restart"/>
                  </w:tcPr>
                  <w:p>
                    <w:pPr>
                      <w:ind w:left="-57" w:right="-57"/>
                      <w:jc w:val="center"/>
                      <w:rPr>
                        <w:sz w:val="18"/>
                        <w:szCs w:val="18"/>
                      </w:rPr>
                    </w:pPr>
                    <w:r>
                      <w:rPr>
                        <w:sz w:val="18"/>
                        <w:szCs w:val="18"/>
                      </w:rPr>
                      <w:t>-</w:t>
                    </w:r>
                  </w:p>
                </w:tc>
              </w:tr>
              <w:tr>
                <w:trPr>
                  <w:trHeight w:val="982"/>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sz w:val="18"/>
                        <w:szCs w:val="18"/>
                      </w:rPr>
                      <w:t>P – Sukurtos ikimokyklinio ugdymo programos gairės</w:t>
                    </w:r>
                  </w:p>
                </w:tc>
                <w:tc>
                  <w:tcPr>
                    <w:tcW w:w="736" w:type="dxa"/>
                  </w:tcPr>
                  <w:p>
                    <w:pPr>
                      <w:ind w:left="-57" w:right="-57"/>
                      <w:jc w:val="center"/>
                      <w:rPr>
                        <w:sz w:val="18"/>
                        <w:szCs w:val="18"/>
                      </w:rPr>
                    </w:pPr>
                    <w:r>
                      <w:rPr>
                        <w:sz w:val="18"/>
                        <w:szCs w:val="18"/>
                      </w:rPr>
                      <w:t>1</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982"/>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736" w:type="dxa"/>
                  </w:tcPr>
                  <w:p>
                    <w:pPr>
                      <w:ind w:left="-57" w:right="-57"/>
                      <w:jc w:val="center"/>
                      <w:rPr>
                        <w:sz w:val="18"/>
                        <w:szCs w:val="18"/>
                      </w:rPr>
                    </w:pPr>
                    <w:r>
                      <w:rPr>
                        <w:sz w:val="18"/>
                        <w:szCs w:val="18"/>
                      </w:rPr>
                      <w:t>1</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982"/>
                </w:trPr>
                <w:tc>
                  <w:tcPr>
                    <w:tcW w:w="1276" w:type="dxa"/>
                    <w:vMerge/>
                  </w:tcPr>
                  <w:p>
                    <w:pPr>
                      <w:ind w:left="-57"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sz w:val="18"/>
                        <w:szCs w:val="18"/>
                      </w:rPr>
                      <w:t xml:space="preserve">P – Asmenys, turintys tretinį (ISCED 5–8 kodai)  išsilavinimą</w:t>
                    </w:r>
                  </w:p>
                </w:tc>
                <w:tc>
                  <w:tcPr>
                    <w:tcW w:w="736" w:type="dxa"/>
                  </w:tcPr>
                  <w:p>
                    <w:pPr>
                      <w:ind w:left="-57" w:right="-57"/>
                      <w:jc w:val="center"/>
                      <w:rPr>
                        <w:sz w:val="18"/>
                        <w:szCs w:val="18"/>
                      </w:rPr>
                    </w:pPr>
                    <w:r>
                      <w:rPr>
                        <w:sz w:val="18"/>
                        <w:szCs w:val="18"/>
                      </w:rPr>
                      <w:t>2 740</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2070"/>
                </w:trPr>
                <w:tc>
                  <w:tcPr>
                    <w:tcW w:w="127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Vidurio ir vakarų Lietuvos regione. (IP metodologinio dokumento 4.2.3 veikla)</w:t>
                    </w: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NŠA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57" w:right="-57"/>
                      <w:jc w:val="center"/>
                      <w:rPr>
                        <w:sz w:val="18"/>
                        <w:szCs w:val="18"/>
                      </w:rPr>
                    </w:pPr>
                    <w:r>
                      <w:rPr>
                        <w:sz w:val="18"/>
                        <w:szCs w:val="18"/>
                      </w:rPr>
                      <w:t>Taip</w:t>
                    </w:r>
                  </w:p>
                </w:tc>
                <w:tc>
                  <w:tcPr>
                    <w:tcW w:w="736" w:type="dxa"/>
                    <w:vMerge w:val="restart"/>
                  </w:tcPr>
                  <w:p>
                    <w:pPr>
                      <w:ind w:left="-57" w:right="-57"/>
                      <w:jc w:val="center"/>
                      <w:rPr>
                        <w:sz w:val="18"/>
                        <w:szCs w:val="18"/>
                      </w:rPr>
                    </w:pPr>
                    <w:r>
                      <w:rPr>
                        <w:sz w:val="18"/>
                        <w:szCs w:val="18"/>
                      </w:rPr>
                      <w:t>D</w:t>
                    </w:r>
                  </w:p>
                </w:tc>
                <w:tc>
                  <w:tcPr>
                    <w:tcW w:w="1040" w:type="dxa"/>
                    <w:vMerge w:val="restart"/>
                  </w:tcPr>
                  <w:p>
                    <w:pPr>
                      <w:ind w:left="-57" w:right="-57"/>
                      <w:jc w:val="center"/>
                      <w:rPr>
                        <w:sz w:val="18"/>
                        <w:szCs w:val="18"/>
                      </w:rPr>
                    </w:pPr>
                    <w:r>
                      <w:rPr>
                        <w:sz w:val="18"/>
                        <w:szCs w:val="18"/>
                      </w:rPr>
                      <w:t>3 384</w:t>
                    </w:r>
                  </w:p>
                </w:tc>
                <w:tc>
                  <w:tcPr>
                    <w:tcW w:w="661" w:type="dxa"/>
                    <w:vMerge w:val="restart"/>
                  </w:tcPr>
                  <w:p>
                    <w:pPr>
                      <w:ind w:left="-57" w:right="-57"/>
                      <w:jc w:val="center"/>
                      <w:rPr>
                        <w:sz w:val="18"/>
                        <w:szCs w:val="18"/>
                        <w:lang w:eastAsia="lt-LT"/>
                      </w:rPr>
                    </w:pPr>
                    <w:r>
                      <w:rPr>
                        <w:sz w:val="18"/>
                        <w:szCs w:val="18"/>
                        <w:lang w:eastAsia="lt-LT"/>
                      </w:rPr>
                      <w:t>2021–2027 IP</w:t>
                    </w:r>
                  </w:p>
                </w:tc>
                <w:tc>
                  <w:tcPr>
                    <w:tcW w:w="99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pPr>
                      <w:ind w:left="-57" w:right="-57"/>
                      <w:jc w:val="center"/>
                      <w:rPr>
                        <w:sz w:val="18"/>
                        <w:szCs w:val="18"/>
                      </w:rPr>
                    </w:pPr>
                    <w:r>
                      <w:rPr>
                        <w:sz w:val="18"/>
                        <w:szCs w:val="18"/>
                      </w:rPr>
                      <w:t>6 000</w:t>
                    </w:r>
                  </w:p>
                </w:tc>
                <w:tc>
                  <w:tcPr>
                    <w:tcW w:w="655" w:type="dxa"/>
                    <w:vMerge w:val="restart"/>
                  </w:tcPr>
                  <w:p>
                    <w:pPr>
                      <w:spacing w:line="259" w:lineRule="auto"/>
                      <w:ind w:left="-57" w:right="-57"/>
                      <w:jc w:val="center"/>
                      <w:rPr>
                        <w:sz w:val="18"/>
                        <w:szCs w:val="18"/>
                      </w:rPr>
                    </w:pPr>
                    <w:r>
                      <w:rPr>
                        <w:sz w:val="18"/>
                        <w:szCs w:val="18"/>
                      </w:rPr>
                      <w:t>CPVA</w:t>
                    </w:r>
                  </w:p>
                </w:tc>
                <w:tc>
                  <w:tcPr>
                    <w:tcW w:w="850" w:type="dxa"/>
                    <w:vMerge w:val="restart"/>
                  </w:tcPr>
                  <w:p>
                    <w:pPr>
                      <w:ind w:left="-57" w:right="-57"/>
                      <w:jc w:val="center"/>
                      <w:rPr>
                        <w:sz w:val="18"/>
                        <w:szCs w:val="18"/>
                      </w:rPr>
                    </w:pPr>
                    <w:r>
                      <w:rPr>
                        <w:sz w:val="18"/>
                        <w:szCs w:val="18"/>
                      </w:rPr>
                      <w:t>-</w:t>
                    </w:r>
                  </w:p>
                </w:tc>
              </w:tr>
              <w:tr>
                <w:trPr>
                  <w:trHeight w:val="2070"/>
                </w:trPr>
                <w:tc>
                  <w:tcPr>
                    <w:tcW w:w="1276" w:type="dxa"/>
                    <w:vMerge/>
                  </w:tcPr>
                  <w:p>
                    <w:pPr>
                      <w:ind w:right="-57"/>
                      <w:rPr>
                        <w:sz w:val="18"/>
                        <w:szCs w:val="18"/>
                      </w:rPr>
                    </w:pPr>
                  </w:p>
                </w:tc>
                <w:tc>
                  <w:tcPr>
                    <w:tcW w:w="704" w:type="dxa"/>
                    <w:vMerge/>
                  </w:tcPr>
                  <w:p>
                    <w:pPr>
                      <w:ind w:left="-57" w:right="-57"/>
                      <w:jc w:val="center"/>
                      <w:rPr>
                        <w:sz w:val="18"/>
                        <w:szCs w:val="18"/>
                      </w:rPr>
                    </w:pPr>
                  </w:p>
                </w:tc>
                <w:tc>
                  <w:tcPr>
                    <w:tcW w:w="709" w:type="dxa"/>
                    <w:vMerge/>
                  </w:tcPr>
                  <w:p>
                    <w:pPr>
                      <w:ind w:left="-57" w:right="-57"/>
                      <w:jc w:val="center"/>
                      <w:rPr>
                        <w:sz w:val="18"/>
                        <w:szCs w:val="18"/>
                      </w:rPr>
                    </w:pPr>
                  </w:p>
                </w:tc>
                <w:tc>
                  <w:tcPr>
                    <w:tcW w:w="764" w:type="dxa"/>
                    <w:vMerge/>
                  </w:tcPr>
                  <w:p>
                    <w:pPr>
                      <w:ind w:left="-57" w:right="-57"/>
                      <w:jc w:val="center"/>
                      <w:rPr>
                        <w:sz w:val="18"/>
                        <w:szCs w:val="18"/>
                      </w:rPr>
                    </w:pPr>
                  </w:p>
                </w:tc>
                <w:tc>
                  <w:tcPr>
                    <w:tcW w:w="653" w:type="dxa"/>
                    <w:vMerge/>
                  </w:tcPr>
                  <w:p>
                    <w:pPr>
                      <w:ind w:left="-57" w:right="-57"/>
                      <w:jc w:val="center"/>
                      <w:rPr>
                        <w:sz w:val="18"/>
                        <w:szCs w:val="18"/>
                      </w:rPr>
                    </w:pPr>
                  </w:p>
                </w:tc>
                <w:tc>
                  <w:tcPr>
                    <w:tcW w:w="736" w:type="dxa"/>
                    <w:vMerge/>
                  </w:tcPr>
                  <w:p>
                    <w:pPr>
                      <w:ind w:left="-57" w:right="-57"/>
                      <w:jc w:val="center"/>
                      <w:rPr>
                        <w:sz w:val="18"/>
                        <w:szCs w:val="18"/>
                      </w:rPr>
                    </w:pPr>
                  </w:p>
                </w:tc>
                <w:tc>
                  <w:tcPr>
                    <w:tcW w:w="1040" w:type="dxa"/>
                    <w:vMerge/>
                  </w:tcPr>
                  <w:p>
                    <w:pPr>
                      <w:ind w:left="-57" w:right="-57"/>
                      <w:jc w:val="center"/>
                      <w:rPr>
                        <w:sz w:val="18"/>
                        <w:szCs w:val="18"/>
                      </w:rPr>
                    </w:pPr>
                  </w:p>
                </w:tc>
                <w:tc>
                  <w:tcPr>
                    <w:tcW w:w="661" w:type="dxa"/>
                    <w:vMerge/>
                  </w:tcPr>
                  <w:p>
                    <w:pPr>
                      <w:ind w:left="-57" w:right="-57"/>
                      <w:jc w:val="center"/>
                      <w:rPr>
                        <w:sz w:val="18"/>
                        <w:szCs w:val="18"/>
                        <w:lang w:eastAsia="lt-LT"/>
                      </w:rPr>
                    </w:pPr>
                  </w:p>
                </w:tc>
                <w:tc>
                  <w:tcPr>
                    <w:tcW w:w="992" w:type="dxa"/>
                  </w:tcPr>
                  <w:p>
                    <w:pPr>
                      <w:ind w:left="-57" w:right="-57"/>
                      <w:rPr>
                        <w:sz w:val="18"/>
                        <w:szCs w:val="18"/>
                      </w:rPr>
                    </w:pPr>
                    <w:r>
                      <w:rPr>
                        <w:sz w:val="18"/>
                        <w:szCs w:val="18"/>
                      </w:rPr>
                      <w:t xml:space="preserve">P – Asmenys, turintys tretinį (ISCED 5–8 kodai)  išsilavinimą</w:t>
                    </w:r>
                  </w:p>
                </w:tc>
                <w:tc>
                  <w:tcPr>
                    <w:tcW w:w="736" w:type="dxa"/>
                  </w:tcPr>
                  <w:p>
                    <w:pPr>
                      <w:ind w:left="-57" w:right="-57"/>
                      <w:jc w:val="center"/>
                      <w:rPr>
                        <w:sz w:val="18"/>
                        <w:szCs w:val="18"/>
                      </w:rPr>
                    </w:pPr>
                    <w:r>
                      <w:rPr>
                        <w:sz w:val="18"/>
                        <w:szCs w:val="18"/>
                      </w:rPr>
                      <w:t>7 060</w:t>
                    </w:r>
                  </w:p>
                </w:tc>
                <w:tc>
                  <w:tcPr>
                    <w:tcW w:w="655" w:type="dxa"/>
                    <w:vMerge/>
                  </w:tcPr>
                  <w:p>
                    <w:pPr>
                      <w:spacing w:line="259" w:lineRule="auto"/>
                      <w:ind w:left="-57" w:right="-57"/>
                      <w:jc w:val="center"/>
                      <w:rPr>
                        <w:sz w:val="18"/>
                        <w:szCs w:val="18"/>
                      </w:rPr>
                    </w:pPr>
                  </w:p>
                </w:tc>
                <w:tc>
                  <w:tcPr>
                    <w:tcW w:w="850" w:type="dxa"/>
                    <w:vMerge/>
                  </w:tcPr>
                  <w:p>
                    <w:pPr>
                      <w:ind w:left="-57" w:right="-57"/>
                      <w:jc w:val="center"/>
                      <w:rPr>
                        <w:sz w:val="18"/>
                        <w:szCs w:val="18"/>
                      </w:rPr>
                    </w:pPr>
                  </w:p>
                </w:tc>
              </w:tr>
              <w:tr>
                <w:trPr>
                  <w:trHeight w:val="233"/>
                </w:trPr>
                <w:tc>
                  <w:tcPr>
                    <w:tcW w:w="127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704" w:type="dxa"/>
                    <w:vMerge w:val="restart"/>
                  </w:tcPr>
                  <w:p>
                    <w:pPr>
                      <w:ind w:left="-57" w:right="-57"/>
                      <w:jc w:val="center"/>
                      <w:rPr>
                        <w:sz w:val="18"/>
                        <w:szCs w:val="18"/>
                      </w:rPr>
                    </w:pPr>
                    <w:r>
                      <w:rPr>
                        <w:sz w:val="18"/>
                        <w:szCs w:val="18"/>
                      </w:rPr>
                      <w:t>I</w:t>
                    </w:r>
                  </w:p>
                </w:tc>
                <w:tc>
                  <w:tcPr>
                    <w:tcW w:w="709" w:type="dxa"/>
                    <w:vMerge w:val="restart"/>
                  </w:tcPr>
                  <w:p>
                    <w:pPr>
                      <w:ind w:left="-57" w:right="-57"/>
                      <w:jc w:val="center"/>
                      <w:rPr>
                        <w:sz w:val="18"/>
                        <w:szCs w:val="18"/>
                      </w:rPr>
                    </w:pPr>
                    <w:r>
                      <w:rPr>
                        <w:sz w:val="18"/>
                        <w:szCs w:val="18"/>
                      </w:rPr>
                      <w:t>Mokyklos, savivaldybės, ESFA</w:t>
                    </w:r>
                  </w:p>
                </w:tc>
                <w:tc>
                  <w:tcPr>
                    <w:tcW w:w="764" w:type="dxa"/>
                    <w:vMerge w:val="restart"/>
                  </w:tcPr>
                  <w:p>
                    <w:pPr>
                      <w:ind w:left="-57" w:right="-57"/>
                      <w:jc w:val="center"/>
                      <w:rPr>
                        <w:sz w:val="18"/>
                        <w:szCs w:val="18"/>
                      </w:rPr>
                    </w:pPr>
                    <w:r>
                      <w:rPr>
                        <w:sz w:val="18"/>
                        <w:szCs w:val="18"/>
                      </w:rPr>
                      <w:t>P</w:t>
                    </w:r>
                  </w:p>
                </w:tc>
                <w:tc>
                  <w:tcPr>
                    <w:tcW w:w="653" w:type="dxa"/>
                    <w:vMerge w:val="restart"/>
                  </w:tcPr>
                  <w:p>
                    <w:pPr>
                      <w:ind w:left="-57" w:right="-57"/>
                      <w:jc w:val="center"/>
                      <w:rPr>
                        <w:sz w:val="18"/>
                        <w:szCs w:val="18"/>
                      </w:rPr>
                    </w:pPr>
                    <w:r>
                      <w:rPr>
                        <w:sz w:val="18"/>
                        <w:szCs w:val="18"/>
                      </w:rPr>
                      <w:t>Taip</w:t>
                    </w:r>
                  </w:p>
                </w:tc>
                <w:tc>
                  <w:tcPr>
                    <w:tcW w:w="736" w:type="dxa"/>
                    <w:vMerge w:val="restart"/>
                  </w:tcPr>
                  <w:p>
                    <w:pPr>
                      <w:ind w:left="-57" w:right="-57"/>
                      <w:jc w:val="center"/>
                      <w:rPr>
                        <w:sz w:val="18"/>
                        <w:szCs w:val="18"/>
                      </w:rPr>
                    </w:pPr>
                    <w:r>
                      <w:rPr>
                        <w:sz w:val="18"/>
                        <w:szCs w:val="18"/>
                      </w:rPr>
                      <w:t xml:space="preserve">D </w:t>
                    </w:r>
                  </w:p>
                </w:tc>
                <w:tc>
                  <w:tcPr>
                    <w:tcW w:w="1040"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661" w:type="dxa"/>
                    <w:vMerge w:val="restart"/>
                  </w:tcPr>
                  <w:p>
                    <w:pPr>
                      <w:ind w:left="-57" w:right="-57"/>
                      <w:jc w:val="center"/>
                      <w:rPr>
                        <w:sz w:val="18"/>
                        <w:szCs w:val="18"/>
                        <w:lang w:eastAsia="lt-LT"/>
                      </w:rPr>
                    </w:pPr>
                    <w:r>
                      <w:rPr>
                        <w:sz w:val="18"/>
                        <w:szCs w:val="18"/>
                        <w:lang w:eastAsia="lt-LT"/>
                      </w:rPr>
                      <w:t>2021–2027 IP</w:t>
                    </w:r>
                  </w:p>
                </w:tc>
                <w:tc>
                  <w:tcPr>
                    <w:tcW w:w="992" w:type="dxa"/>
                  </w:tcPr>
                  <w:p>
                    <w:pPr>
                      <w:ind w:left="-57" w:right="-57"/>
                      <w:rPr>
                        <w:sz w:val="18"/>
                        <w:szCs w:val="18"/>
                      </w:rPr>
                    </w:pPr>
                    <w:r>
                      <w:rPr>
                        <w:sz w:val="18"/>
                        <w:szCs w:val="18"/>
                      </w:rPr>
                      <w:t>R – Asmenų, kurie dalyvavę mokymuose įgijo kompetenciją, dalis</w:t>
                    </w:r>
                  </w:p>
                </w:tc>
                <w:tc>
                  <w:tcPr>
                    <w:tcW w:w="736" w:type="dxa"/>
                  </w:tcPr>
                  <w:p>
                    <w:pPr>
                      <w:ind w:left="-57" w:right="-57"/>
                      <w:jc w:val="center"/>
                      <w:rPr>
                        <w:sz w:val="18"/>
                        <w:szCs w:val="18"/>
                      </w:rPr>
                    </w:pPr>
                    <w:r>
                      <w:rPr>
                        <w:sz w:val="18"/>
                        <w:szCs w:val="18"/>
                      </w:rPr>
                      <w:t>80</w:t>
                    </w:r>
                  </w:p>
                </w:tc>
                <w:tc>
                  <w:tcPr>
                    <w:tcW w:w="655" w:type="dxa"/>
                    <w:vMerge w:val="restart"/>
                  </w:tcPr>
                  <w:p>
                    <w:pPr>
                      <w:spacing w:line="259" w:lineRule="auto"/>
                      <w:ind w:left="-57" w:right="-57"/>
                      <w:jc w:val="center"/>
                      <w:rPr>
                        <w:sz w:val="18"/>
                        <w:szCs w:val="18"/>
                      </w:rPr>
                    </w:pPr>
                    <w:r>
                      <w:rPr>
                        <w:sz w:val="18"/>
                        <w:szCs w:val="18"/>
                      </w:rPr>
                      <w:t>CPVA</w:t>
                    </w:r>
                  </w:p>
                </w:tc>
                <w:tc>
                  <w:tcPr>
                    <w:tcW w:w="850" w:type="dxa"/>
                    <w:vMerge w:val="restart"/>
                  </w:tcPr>
                  <w:p>
                    <w:pPr>
                      <w:ind w:left="-57" w:right="-57"/>
                      <w:jc w:val="center"/>
                      <w:rPr>
                        <w:sz w:val="18"/>
                        <w:szCs w:val="18"/>
                      </w:rPr>
                    </w:pPr>
                    <w:r>
                      <w:rPr>
                        <w:sz w:val="18"/>
                        <w:szCs w:val="18"/>
                      </w:rPr>
                      <w:t>–</w:t>
                    </w:r>
                  </w:p>
                </w:tc>
              </w:tr>
              <w:tr>
                <w:trPr>
                  <w:trHeight w:val="233"/>
                </w:trPr>
                <w:tc>
                  <w:tcPr>
                    <w:tcW w:w="1276" w:type="dxa"/>
                    <w:vMerge/>
                  </w:tcPr>
                  <w:p>
                    <w:pPr/>
                  </w:p>
                </w:tc>
                <w:tc>
                  <w:tcPr>
                    <w:tcW w:w="704" w:type="dxa"/>
                    <w:vMerge/>
                  </w:tcPr>
                  <w:p>
                    <w:pPr/>
                  </w:p>
                </w:tc>
                <w:tc>
                  <w:tcPr>
                    <w:tcW w:w="709" w:type="dxa"/>
                    <w:vMerge/>
                  </w:tcPr>
                  <w:p>
                    <w:pPr/>
                  </w:p>
                </w:tc>
                <w:tc>
                  <w:tcPr>
                    <w:tcW w:w="764" w:type="dxa"/>
                    <w:vMerge/>
                  </w:tcPr>
                  <w:p>
                    <w:pPr/>
                  </w:p>
                </w:tc>
                <w:tc>
                  <w:tcPr>
                    <w:tcW w:w="653" w:type="dxa"/>
                    <w:vMerge/>
                  </w:tcPr>
                  <w:p>
                    <w:pPr/>
                  </w:p>
                </w:tc>
                <w:tc>
                  <w:tcPr>
                    <w:tcW w:w="736" w:type="dxa"/>
                    <w:vMerge/>
                  </w:tcPr>
                  <w:p>
                    <w:pPr/>
                  </w:p>
                </w:tc>
                <w:tc>
                  <w:tcPr>
                    <w:tcW w:w="1040" w:type="dxa"/>
                    <w:vMerge/>
                  </w:tcPr>
                  <w:p>
                    <w:pPr/>
                  </w:p>
                </w:tc>
                <w:tc>
                  <w:tcPr>
                    <w:tcW w:w="661" w:type="dxa"/>
                    <w:vMerge/>
                  </w:tcPr>
                  <w:p>
                    <w:pPr/>
                  </w:p>
                </w:tc>
                <w:tc>
                  <w:tcPr>
                    <w:tcW w:w="992" w:type="dxa"/>
                  </w:tcPr>
                  <w:p>
                    <w:pPr>
                      <w:rPr>
                        <w:sz w:val="18"/>
                        <w:szCs w:val="18"/>
                      </w:rPr>
                    </w:pPr>
                    <w:r>
                      <w:rPr>
                        <w:sz w:val="18"/>
                        <w:szCs w:val="18"/>
                      </w:rPr>
                      <w:t>P – Asmenys, turintys tretinį (ISCED 5–8 kodai) išsilavinimą</w:t>
                    </w:r>
                  </w:p>
                </w:tc>
                <w:tc>
                  <w:tcPr>
                    <w:tcW w:w="736" w:type="dxa"/>
                  </w:tcPr>
                  <w:p>
                    <w:pPr>
                      <w:jc w:val="center"/>
                      <w:rPr>
                        <w:sz w:val="18"/>
                        <w:szCs w:val="18"/>
                      </w:rPr>
                    </w:pPr>
                    <w:r>
                      <w:rPr>
                        <w:sz w:val="18"/>
                        <w:szCs w:val="18"/>
                      </w:rPr>
                      <w:t>VVL – 1 370</w:t>
                    </w:r>
                  </w:p>
                </w:tc>
                <w:tc>
                  <w:tcPr>
                    <w:tcW w:w="655" w:type="dxa"/>
                    <w:vMerge/>
                  </w:tcPr>
                  <w:p>
                    <w:pPr/>
                  </w:p>
                </w:tc>
                <w:tc>
                  <w:tcPr>
                    <w:tcW w:w="850" w:type="dxa"/>
                    <w:vMerge/>
                  </w:tcPr>
                  <w:p>
                    <w:pPr/>
                  </w:p>
                </w:tc>
              </w:tr>
              <w:tr>
                <w:trPr>
                  <w:trHeight w:val="233"/>
                </w:trPr>
                <w:tc>
                  <w:tcPr>
                    <w:tcW w:w="1276" w:type="dxa"/>
                    <w:vMerge w:val="restart"/>
                  </w:tcPr>
                  <w:p>
                    <w:pPr>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704" w:type="dxa"/>
                    <w:vMerge w:val="restart"/>
                  </w:tcPr>
                  <w:p>
                    <w:pPr>
                      <w:jc w:val="center"/>
                      <w:rPr>
                        <w:sz w:val="18"/>
                        <w:szCs w:val="18"/>
                      </w:rPr>
                    </w:pPr>
                    <w:r>
                      <w:rPr>
                        <w:sz w:val="18"/>
                        <w:szCs w:val="18"/>
                      </w:rPr>
                      <w:t>A</w:t>
                    </w:r>
                  </w:p>
                </w:tc>
                <w:tc>
                  <w:tcPr>
                    <w:tcW w:w="709" w:type="dxa"/>
                    <w:vMerge w:val="restart"/>
                  </w:tcPr>
                  <w:p>
                    <w:pPr>
                      <w:jc w:val="center"/>
                      <w:rPr>
                        <w:sz w:val="18"/>
                        <w:szCs w:val="18"/>
                      </w:rPr>
                    </w:pPr>
                    <w:r>
                      <w:rPr>
                        <w:sz w:val="18"/>
                        <w:szCs w:val="18"/>
                      </w:rPr>
                      <w:t>–</w:t>
                    </w:r>
                  </w:p>
                </w:tc>
                <w:tc>
                  <w:tcPr>
                    <w:tcW w:w="764" w:type="dxa"/>
                    <w:vMerge w:val="restart"/>
                  </w:tcPr>
                  <w:p>
                    <w:pPr>
                      <w:jc w:val="center"/>
                      <w:rPr>
                        <w:sz w:val="18"/>
                        <w:szCs w:val="18"/>
                      </w:rPr>
                    </w:pPr>
                    <w:r>
                      <w:rPr>
                        <w:sz w:val="18"/>
                        <w:szCs w:val="18"/>
                      </w:rPr>
                      <w:t>–</w:t>
                    </w:r>
                  </w:p>
                </w:tc>
                <w:tc>
                  <w:tcPr>
                    <w:tcW w:w="653" w:type="dxa"/>
                    <w:vMerge w:val="restart"/>
                  </w:tcPr>
                  <w:p>
                    <w:pPr>
                      <w:jc w:val="center"/>
                      <w:rPr>
                        <w:sz w:val="16"/>
                        <w:szCs w:val="16"/>
                      </w:rPr>
                    </w:pPr>
                    <w:r>
                      <w:rPr>
                        <w:sz w:val="16"/>
                        <w:szCs w:val="16"/>
                      </w:rPr>
                      <w:t>Ne</w:t>
                    </w:r>
                  </w:p>
                </w:tc>
                <w:tc>
                  <w:tcPr>
                    <w:tcW w:w="736" w:type="dxa"/>
                    <w:vMerge w:val="restart"/>
                  </w:tcPr>
                  <w:p>
                    <w:pPr>
                      <w:jc w:val="center"/>
                      <w:rPr>
                        <w:sz w:val="18"/>
                        <w:szCs w:val="18"/>
                      </w:rPr>
                    </w:pPr>
                    <w:r>
                      <w:rPr>
                        <w:sz w:val="18"/>
                        <w:szCs w:val="18"/>
                      </w:rPr>
                      <w:t>–</w:t>
                    </w:r>
                  </w:p>
                </w:tc>
                <w:tc>
                  <w:tcPr>
                    <w:tcW w:w="1040" w:type="dxa"/>
                  </w:tcPr>
                  <w:p>
                    <w:pPr>
                      <w:ind w:left="-57" w:right="-57"/>
                      <w:jc w:val="center"/>
                      <w:rPr>
                        <w:sz w:val="18"/>
                        <w:szCs w:val="18"/>
                      </w:rPr>
                    </w:pPr>
                    <w:r>
                      <w:rPr>
                        <w:sz w:val="18"/>
                        <w:szCs w:val="18"/>
                      </w:rPr>
                      <w:t>–</w:t>
                    </w:r>
                  </w:p>
                </w:tc>
                <w:tc>
                  <w:tcPr>
                    <w:tcW w:w="661" w:type="dxa"/>
                  </w:tcPr>
                  <w:p>
                    <w:pPr>
                      <w:jc w:val="center"/>
                      <w:rPr>
                        <w:sz w:val="18"/>
                        <w:szCs w:val="18"/>
                      </w:rPr>
                    </w:pPr>
                    <w:r>
                      <w:rPr>
                        <w:sz w:val="18"/>
                        <w:szCs w:val="18"/>
                      </w:rPr>
                      <w:t>EGADP</w:t>
                    </w:r>
                  </w:p>
                </w:tc>
                <w:tc>
                  <w:tcPr>
                    <w:tcW w:w="992" w:type="dxa"/>
                  </w:tcPr>
                  <w:p>
                    <w:pPr>
                      <w:rPr>
                        <w:sz w:val="18"/>
                        <w:szCs w:val="18"/>
                      </w:rPr>
                    </w:pPr>
                    <w:r>
                      <w:rPr>
                        <w:sz w:val="18"/>
                        <w:szCs w:val="18"/>
                      </w:rPr>
                      <w:t>P –</w:t>
                    </w:r>
                    <w:r>
                      <w:t xml:space="preserve"> </w:t>
                    </w:r>
                    <w:r>
                      <w:rPr>
                        <w:color w:val="000000"/>
                        <w:sz w:val="18"/>
                        <w:szCs w:val="18"/>
                      </w:rPr>
                      <w:t>Atlikta ikimokyklinio ugdymo infrastruktūros plėtros savivaldybėse galimybių studija</w:t>
                    </w:r>
                  </w:p>
                </w:tc>
                <w:tc>
                  <w:tcPr>
                    <w:tcW w:w="736" w:type="dxa"/>
                  </w:tcPr>
                  <w:p>
                    <w:pPr>
                      <w:jc w:val="center"/>
                      <w:rPr>
                        <w:sz w:val="18"/>
                        <w:szCs w:val="18"/>
                      </w:rPr>
                    </w:pPr>
                    <w:r>
                      <w:rPr>
                        <w:sz w:val="18"/>
                        <w:szCs w:val="18"/>
                      </w:rPr>
                      <w:t>1</w:t>
                    </w:r>
                  </w:p>
                </w:tc>
                <w:tc>
                  <w:tcPr>
                    <w:tcW w:w="655" w:type="dxa"/>
                    <w:vMerge w:val="restart"/>
                  </w:tcPr>
                  <w:p>
                    <w:pPr>
                      <w:jc w:val="center"/>
                      <w:rPr>
                        <w:sz w:val="22"/>
                        <w:szCs w:val="22"/>
                      </w:rPr>
                    </w:pPr>
                    <w:r>
                      <w:rPr>
                        <w:sz w:val="18"/>
                        <w:szCs w:val="18"/>
                      </w:rPr>
                      <w:t>–</w:t>
                    </w:r>
                  </w:p>
                </w:tc>
                <w:tc>
                  <w:tcPr>
                    <w:tcW w:w="850" w:type="dxa"/>
                    <w:vMerge w:val="restart"/>
                  </w:tcPr>
                  <w:p>
                    <w:pPr>
                      <w:jc w:val="center"/>
                      <w:rPr>
                        <w:sz w:val="18"/>
                        <w:szCs w:val="18"/>
                      </w:rPr>
                    </w:pPr>
                    <w:r>
                      <w:rPr>
                        <w:sz w:val="18"/>
                        <w:szCs w:val="18"/>
                      </w:rPr>
                      <w:t>NŠA“</w:t>
                    </w:r>
                  </w:p>
                </w:tc>
              </w:tr>
              <w:tr>
                <w:trPr>
                  <w:trHeight w:val="233"/>
                </w:trPr>
                <w:tc>
                  <w:tcPr>
                    <w:tcW w:w="1276" w:type="dxa"/>
                    <w:vMerge/>
                  </w:tcPr>
                  <w:p>
                    <w:pPr/>
                  </w:p>
                </w:tc>
                <w:tc>
                  <w:tcPr>
                    <w:tcW w:w="704" w:type="dxa"/>
                    <w:vMerge/>
                  </w:tcPr>
                  <w:p>
                    <w:pPr/>
                  </w:p>
                </w:tc>
                <w:tc>
                  <w:tcPr>
                    <w:tcW w:w="709" w:type="dxa"/>
                    <w:vMerge/>
                  </w:tcPr>
                  <w:p>
                    <w:pPr/>
                  </w:p>
                </w:tc>
                <w:tc>
                  <w:tcPr>
                    <w:tcW w:w="764" w:type="dxa"/>
                    <w:vMerge/>
                  </w:tcPr>
                  <w:p>
                    <w:pPr/>
                  </w:p>
                </w:tc>
                <w:tc>
                  <w:tcPr>
                    <w:tcW w:w="653" w:type="dxa"/>
                    <w:vMerge/>
                  </w:tcPr>
                  <w:p>
                    <w:pPr/>
                  </w:p>
                </w:tc>
                <w:tc>
                  <w:tcPr>
                    <w:tcW w:w="736" w:type="dxa"/>
                    <w:vMerge/>
                  </w:tcPr>
                  <w:p>
                    <w:pPr/>
                  </w:p>
                </w:tc>
                <w:tc>
                  <w:tcPr>
                    <w:tcW w:w="1040" w:type="dxa"/>
                  </w:tcPr>
                  <w:p>
                    <w:pPr>
                      <w:jc w:val="center"/>
                      <w:rPr>
                        <w:sz w:val="18"/>
                        <w:szCs w:val="18"/>
                      </w:rPr>
                    </w:pPr>
                    <w:r>
                      <w:rPr>
                        <w:sz w:val="18"/>
                        <w:szCs w:val="18"/>
                      </w:rPr>
                      <w:t>–</w:t>
                    </w:r>
                  </w:p>
                </w:tc>
                <w:tc>
                  <w:tcPr>
                    <w:tcW w:w="661" w:type="dxa"/>
                  </w:tcPr>
                  <w:p>
                    <w:pPr>
                      <w:jc w:val="center"/>
                      <w:rPr>
                        <w:sz w:val="18"/>
                        <w:szCs w:val="18"/>
                      </w:rPr>
                    </w:pPr>
                    <w:r>
                      <w:rPr>
                        <w:sz w:val="18"/>
                        <w:szCs w:val="18"/>
                      </w:rPr>
                      <w:t>VB</w:t>
                    </w:r>
                  </w:p>
                </w:tc>
                <w:tc>
                  <w:tcPr>
                    <w:tcW w:w="99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736" w:type="dxa"/>
                  </w:tcPr>
                  <w:p>
                    <w:pPr>
                      <w:jc w:val="center"/>
                      <w:rPr>
                        <w:sz w:val="18"/>
                        <w:szCs w:val="18"/>
                      </w:rPr>
                    </w:pPr>
                    <w:r>
                      <w:rPr>
                        <w:sz w:val="18"/>
                        <w:szCs w:val="18"/>
                      </w:rPr>
                      <w:t>95</w:t>
                    </w:r>
                  </w:p>
                </w:tc>
                <w:tc>
                  <w:tcPr>
                    <w:tcW w:w="655" w:type="dxa"/>
                    <w:vMerge/>
                  </w:tcPr>
                  <w:p>
                    <w:pPr/>
                  </w:p>
                </w:tc>
                <w:tc>
                  <w:tcPr>
                    <w:tcW w:w="850" w:type="dxa"/>
                    <w:vMerge/>
                  </w:tcPr>
                  <w:p>
                    <w:pPr/>
                  </w:p>
                </w:tc>
              </w:tr>
              <w:tr>
                <w:trPr>
                  <w:trHeight w:val="233"/>
                </w:trPr>
                <w:tc>
                  <w:tcPr>
                    <w:tcW w:w="1276" w:type="dxa"/>
                    <w:vMerge/>
                  </w:tcPr>
                  <w:p>
                    <w:pPr>
                      <w:rPr>
                        <w:sz w:val="18"/>
                        <w:szCs w:val="18"/>
                      </w:rPr>
                    </w:pPr>
                  </w:p>
                </w:tc>
                <w:tc>
                  <w:tcPr>
                    <w:tcW w:w="704" w:type="dxa"/>
                    <w:vMerge/>
                  </w:tcPr>
                  <w:p>
                    <w:pPr>
                      <w:jc w:val="center"/>
                      <w:rPr>
                        <w:sz w:val="18"/>
                        <w:szCs w:val="18"/>
                      </w:rPr>
                    </w:pPr>
                  </w:p>
                </w:tc>
                <w:tc>
                  <w:tcPr>
                    <w:tcW w:w="709" w:type="dxa"/>
                    <w:vMerge/>
                  </w:tcPr>
                  <w:p>
                    <w:pPr>
                      <w:jc w:val="center"/>
                      <w:rPr>
                        <w:sz w:val="18"/>
                        <w:szCs w:val="18"/>
                      </w:rPr>
                    </w:pPr>
                  </w:p>
                </w:tc>
                <w:tc>
                  <w:tcPr>
                    <w:tcW w:w="764" w:type="dxa"/>
                    <w:vMerge/>
                  </w:tcPr>
                  <w:p>
                    <w:pPr>
                      <w:jc w:val="center"/>
                      <w:rPr>
                        <w:sz w:val="18"/>
                        <w:szCs w:val="18"/>
                      </w:rPr>
                    </w:pPr>
                  </w:p>
                </w:tc>
                <w:tc>
                  <w:tcPr>
                    <w:tcW w:w="653" w:type="dxa"/>
                    <w:vMerge/>
                  </w:tcPr>
                  <w:p>
                    <w:pPr>
                      <w:jc w:val="center"/>
                      <w:rPr>
                        <w:sz w:val="16"/>
                        <w:szCs w:val="16"/>
                      </w:rPr>
                    </w:pPr>
                  </w:p>
                </w:tc>
                <w:tc>
                  <w:tcPr>
                    <w:tcW w:w="736" w:type="dxa"/>
                    <w:vMerge/>
                  </w:tcPr>
                  <w:p>
                    <w:pPr>
                      <w:jc w:val="center"/>
                      <w:rPr>
                        <w:sz w:val="18"/>
                        <w:szCs w:val="18"/>
                      </w:rPr>
                    </w:pPr>
                  </w:p>
                </w:tc>
                <w:tc>
                  <w:tcPr>
                    <w:tcW w:w="1040" w:type="dxa"/>
                  </w:tcPr>
                  <w:p>
                    <w:pPr>
                      <w:jc w:val="center"/>
                      <w:rPr>
                        <w:sz w:val="18"/>
                        <w:szCs w:val="18"/>
                      </w:rPr>
                    </w:pPr>
                    <w:r>
                      <w:rPr>
                        <w:sz w:val="18"/>
                        <w:szCs w:val="18"/>
                      </w:rPr>
                      <w:t>–</w:t>
                    </w:r>
                  </w:p>
                </w:tc>
                <w:tc>
                  <w:tcPr>
                    <w:tcW w:w="661" w:type="dxa"/>
                  </w:tcPr>
                  <w:p>
                    <w:pPr>
                      <w:jc w:val="center"/>
                      <w:rPr>
                        <w:sz w:val="18"/>
                        <w:szCs w:val="18"/>
                      </w:rPr>
                    </w:pPr>
                    <w:r>
                      <w:rPr>
                        <w:sz w:val="18"/>
                        <w:szCs w:val="18"/>
                      </w:rPr>
                      <w:t>VB</w:t>
                    </w:r>
                  </w:p>
                </w:tc>
                <w:tc>
                  <w:tcPr>
                    <w:tcW w:w="99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736" w:type="dxa"/>
                  </w:tcPr>
                  <w:p>
                    <w:pPr>
                      <w:jc w:val="center"/>
                      <w:rPr>
                        <w:sz w:val="14"/>
                        <w:szCs w:val="14"/>
                      </w:rPr>
                    </w:pPr>
                    <w:r>
                      <w:rPr>
                        <w:sz w:val="18"/>
                        <w:szCs w:val="18"/>
                      </w:rPr>
                      <w:t>Ne mažiau kaip 2 000</w:t>
                    </w:r>
                  </w:p>
                  <w:p>
                    <w:pPr>
                      <w:jc w:val="center"/>
                      <w:rPr>
                        <w:sz w:val="18"/>
                        <w:szCs w:val="18"/>
                      </w:rPr>
                    </w:pPr>
                  </w:p>
                </w:tc>
                <w:tc>
                  <w:tcPr>
                    <w:tcW w:w="655" w:type="dxa"/>
                    <w:vMerge/>
                  </w:tcPr>
                  <w:p>
                    <w:pPr>
                      <w:spacing w:line="259" w:lineRule="auto"/>
                      <w:jc w:val="center"/>
                      <w:rPr>
                        <w:sz w:val="18"/>
                        <w:szCs w:val="18"/>
                      </w:rPr>
                    </w:pPr>
                  </w:p>
                </w:tc>
                <w:tc>
                  <w:tcPr>
                    <w:tcW w:w="850" w:type="dxa"/>
                    <w:vMerge/>
                  </w:tcPr>
                  <w:p>
                    <w:pPr>
                      <w:spacing w:line="259" w:lineRule="auto"/>
                      <w:jc w:val="center"/>
                      <w:rPr>
                        <w:sz w:val="18"/>
                        <w:szCs w:val="18"/>
                      </w:rPr>
                    </w:pPr>
                  </w:p>
                </w:tc>
              </w:tr>
            </w:tbl>
            <w:p>
              <w:pPr>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c7698066c711efafbb8694c098bac5">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2024-08-30,
paskelbta TAR 2024-08-30, i. k. 2024-15216            </w:t>
              </w:r>
            </w:p>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1 pr."/>
        <w:tag w:val="part_ec19d5006f8d45a9ae6aeec3a883fd80"/>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ind w:firstLine="9582"/>
            <w:rPr>
              <w:vanish/>
              <w:color w:val="000000"/>
              <w:szCs w:val="24"/>
            </w:rPr>
          </w:pPr>
          <w:r>
            <w:rPr>
              <w:bCs/>
              <w:szCs w:val="24"/>
            </w:rPr>
            <w:t>2021–2030 m. plėtros programos valdytojos</w:t>
          </w:r>
        </w:p>
        <w:p>
          <w:pPr>
            <w:ind w:firstLine="9582"/>
            <w:rPr>
              <w:bCs/>
              <w:szCs w:val="24"/>
            </w:rPr>
          </w:pPr>
          <w:r>
            <w:rPr>
              <w:bCs/>
              <w:szCs w:val="24"/>
            </w:rPr>
            <w:t>Lietuvos Respublikos švietimo, mokslo ir sporto</w:t>
          </w:r>
        </w:p>
        <w:p>
          <w:pPr>
            <w:ind w:firstLine="9582"/>
            <w:rPr>
              <w:bCs/>
              <w:szCs w:val="24"/>
            </w:rPr>
          </w:pPr>
          <w:r>
            <w:rPr>
              <w:bCs/>
              <w:szCs w:val="24"/>
            </w:rPr>
            <w:t>ministerijos švietimo plėtros programos pažangos</w:t>
          </w:r>
        </w:p>
        <w:p>
          <w:pPr>
            <w:ind w:firstLine="9582"/>
            <w:rPr>
              <w:bCs/>
              <w:szCs w:val="24"/>
            </w:rPr>
          </w:pPr>
          <w:r>
            <w:rPr>
              <w:bCs/>
              <w:szCs w:val="24"/>
            </w:rPr>
            <w:t>priemonės Nr. 12-003-03-01-04 „Užtikrinti visiems</w:t>
          </w:r>
        </w:p>
        <w:p>
          <w:pPr>
            <w:ind w:firstLine="9582"/>
            <w:rPr>
              <w:bCs/>
              <w:szCs w:val="24"/>
            </w:rPr>
          </w:pPr>
          <w:r>
            <w:rPr>
              <w:bCs/>
              <w:szCs w:val="24"/>
            </w:rPr>
            <w:t>prieinamą ankstyvąjį ugdymą“ aprašo</w:t>
          </w:r>
        </w:p>
        <w:p>
          <w:pPr>
            <w:ind w:firstLine="9582"/>
            <w:rPr>
              <w:szCs w:val="24"/>
            </w:rPr>
          </w:pPr>
          <w:r>
            <w:rPr>
              <w:szCs w:val="24"/>
            </w:rPr>
            <w:t>1 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57beb52b1919465e8f46e63983f8a24e"/>
            <w:lock w:val="sdtLocked"/>
            <w:richText/>
          </w:sdtPr>
          <w:sdtContent>
            <w:p>
              <w:pPr>
                <w:spacing w:line="276" w:lineRule="auto"/>
                <w:jc w:val="center"/>
                <w:rPr>
                  <w:rFonts w:eastAsia="Calibri"/>
                  <w:szCs w:val="24"/>
                </w:rPr>
              </w:pPr>
              <w:r>
                <w:rPr>
                  <w:rFonts w:eastAsia="Calibri"/>
                  <w:szCs w:val="24"/>
                </w:rPr>
                <w:t>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sdtContent>
    </w:sdt>
    <w:sdt>
      <w:sdtPr>
        <w:alias w:val="pr."/>
        <w:tag w:val="part_8121577acd1f42349827cee8bffe8651"/>
        <w:lock w:val="sdtLocked"/>
        <w:richText/>
      </w:sdtPr>
      <w:sdtContent>
        <w:p>
          <w:pPr>
            <w:sectPr>
              <w:pgSz w:w="16840" w:h="11907" w:orient="landscape" w:code="9"/>
              <w:pgMar w:top="1699" w:right="142" w:bottom="562" w:left="1238" w:header="288" w:footer="720" w:gutter="0"/>
              <w:pgNumType w:start="1"/>
              <w:cols w:space="720"/>
              <w:noEndnote/>
              <w:titlePg/>
              <w:docGrid w:linePitch="326"/>
            </w:sectPr>
          </w:pPr>
        </w:p>
        <w:p>
          <w:pPr>
            <w:tabs>
              <w:tab w:val="left" w:pos="6285"/>
            </w:tabs>
            <w:ind w:firstLine="9639"/>
            <w:rPr>
              <w:szCs w:val="24"/>
              <w:lang w:eastAsia="lt-LT"/>
            </w:rPr>
          </w:pPr>
          <w:r>
            <w:rPr>
              <w:szCs w:val="24"/>
            </w:rPr>
            <w:t>1 priedo „2021-</w:t>
          </w:r>
          <w:r>
            <w:rPr>
              <w:szCs w:val="24"/>
              <w:lang w:eastAsia="lt-LT"/>
            </w:rPr>
            <w:t xml:space="preserve">2030 m. plėtros programos valdytojos </w:t>
          </w:r>
        </w:p>
        <w:p>
          <w:pPr>
            <w:tabs>
              <w:tab w:val="left" w:pos="6285"/>
            </w:tabs>
            <w:ind w:firstLine="9639"/>
            <w:rPr>
              <w:szCs w:val="24"/>
              <w:lang w:eastAsia="lt-LT"/>
            </w:rPr>
          </w:pPr>
          <w:r>
            <w:rPr>
              <w:szCs w:val="24"/>
              <w:lang w:eastAsia="lt-LT"/>
            </w:rPr>
            <w:t xml:space="preserve">Lietuvos Respublikos švietimo, mokslo ir sporto </w:t>
          </w:r>
        </w:p>
        <w:p>
          <w:pPr>
            <w:ind w:firstLine="9639"/>
            <w:rPr>
              <w:szCs w:val="24"/>
              <w:lang w:eastAsia="lt-LT"/>
            </w:rPr>
          </w:pPr>
          <w:r>
            <w:rPr>
              <w:szCs w:val="24"/>
              <w:lang w:eastAsia="lt-LT"/>
            </w:rPr>
            <w:t xml:space="preserve">ministerijos švietimo plėtros programos pažangos </w:t>
          </w:r>
        </w:p>
        <w:p>
          <w:pPr>
            <w:ind w:firstLine="9639"/>
            <w:rPr>
              <w:szCs w:val="24"/>
              <w:lang w:eastAsia="lt-LT"/>
            </w:rPr>
          </w:pPr>
          <w:r>
            <w:rPr>
              <w:szCs w:val="24"/>
              <w:lang w:eastAsia="lt-LT"/>
            </w:rPr>
            <w:t xml:space="preserve">priemonės Nr. 12-003-03-01-04 „Užtikrinti visiems </w:t>
          </w:r>
        </w:p>
        <w:p>
          <w:pPr>
            <w:ind w:firstLine="9639"/>
            <w:rPr>
              <w:szCs w:val="24"/>
              <w:lang w:eastAsia="lt-LT"/>
            </w:rPr>
          </w:pPr>
          <w:r>
            <w:rPr>
              <w:szCs w:val="24"/>
              <w:lang w:eastAsia="lt-LT"/>
            </w:rPr>
            <w:t xml:space="preserve">prieinamą ankstyvąjį ugdymą“ projektų finansavimo </w:t>
          </w:r>
        </w:p>
        <w:p>
          <w:pPr>
            <w:ind w:firstLine="9639"/>
            <w:rPr>
              <w:szCs w:val="24"/>
              <w:lang w:eastAsia="lt-LT"/>
            </w:rPr>
          </w:pPr>
          <w:r>
            <w:rPr>
              <w:szCs w:val="24"/>
              <w:lang w:eastAsia="lt-LT"/>
            </w:rPr>
            <w:t>sąlygų aprašo</w:t>
          </w:r>
          <w:r>
            <w:rPr>
              <w:szCs w:val="24"/>
            </w:rPr>
            <w:t>“</w:t>
          </w:r>
        </w:p>
        <w:p>
          <w:pPr>
            <w:ind w:firstLine="9639"/>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sdt>
          <w:sdtPr>
            <w:alias w:val="pabaiga"/>
            <w:tag w:val="part_e97c8e75d3b44f3bb9f95a55b3785626"/>
            <w:lock w:val="sdtLocked"/>
            <w:richText/>
          </w:sdtPr>
          <w:sdtContent>
            <w:p>
              <w:pPr>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(V-307)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1c360e50211eead77e967e3995264">
            <w:r w:rsidRPr="00532B9F">
              <w:rPr>
                <w:rFonts w:ascii="Times New Roman" w:eastAsia="MS Mincho" w:hAnsi="Times New Roman"/>
                <w:sz w:val="20"/>
                <w:i/>
                <w:iCs/>
                <w:color w:val="0000FF" w:themeColor="hyperlink"/>
                <w:u w:val="single"/>
              </w:rPr>
              <w:t>V-307</w:t>
            </w:r>
          </w:fldSimple>
          <w:r>
            <w:rPr>
              <w:rFonts w:ascii="Times New Roman" w:eastAsia="MS Mincho" w:hAnsi="Times New Roman"/>
              <w:sz w:val="20"/>
              <w:i/>
              <w:iCs/>
            </w:rPr>
            <w:t>,
2024-03-18,
paskelbta TAR 2024-03-18, i. k. 2024-04842        </w:t>
          </w:r>
        </w:p>
        <w:p/>
        <w:p>
          <w:pPr>
            <w:pStyle w:val="PlainText"/>
            <w:rPr>
              <w:rFonts w:ascii="Times New Roman" w:eastAsia="MS Mincho" w:hAnsi="Times New Roman"/>
              <w:sz w:val="20"/>
              <w:iCs/>
            </w:rPr>
          </w:pPr>
          <w:r>
            <w:rPr>
              <w:rFonts w:ascii="Times New Roman" w:eastAsia="MS Mincho" w:hAnsi="Times New Roman"/>
              <w:sz w:val="20"/>
              <w:iCs/>
            </w:rPr>
            <w:t>3 priedas (V-510)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78c804c8d11ee81b8b446907f594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2023-09-06,
paskelbta TAR 2023-09-06, i. k. 2023-17617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dbb200c4111efbcbfb318996800a8">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2024-05-07,
paskelbta TAR 2024-05-07, i. k. 2024-08410        </w:t>
          </w:r>
        </w:p>
        <w:p/>
        <w:p>
          <w:pPr>
            <w:pStyle w:val="PlainText"/>
            <w:rPr>
              <w:rFonts w:ascii="Times New Roman" w:eastAsia="MS Mincho" w:hAnsi="Times New Roman"/>
              <w:sz w:val="20"/>
              <w:iCs/>
            </w:rPr>
          </w:pPr>
          <w:r>
            <w:rPr>
              <w:rFonts w:ascii="Times New Roman" w:eastAsia="MS Mincho" w:hAnsi="Times New Roman"/>
              <w:sz w:val="20"/>
              <w:iCs/>
            </w:rPr>
            <w:t>4 priedas (V-924)</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c0c61047ec11ee9de9e7e0fd363afc">
            <w:r w:rsidRPr="00532B9F">
              <w:rPr>
                <w:rFonts w:ascii="Times New Roman" w:eastAsia="MS Mincho" w:hAnsi="Times New Roman"/>
                <w:sz w:val="20"/>
                <w:iCs/>
                <w:color w:val="0000FF" w:themeColor="hyperlink"/>
                <w:u w:val="single"/>
              </w:rPr>
              <w:t>V-1123</w:t>
            </w:r>
          </w:fldSimple>
          <w:r>
            <w:rPr>
              <w:rFonts w:ascii="Times New Roman" w:eastAsia="MS Mincho" w:hAnsi="Times New Roman"/>
              <w:sz w:val="20"/>
              <w:iCs/>
            </w:rPr>
            <w:t>,
2023-08-31,
paskelbta TAR 2023-08-31, i. k. 2023-17186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78c804c8d11ee81b8b446907f594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2023-09-06,
paskelbta TAR 2023-09-06, i. k. 2023-17617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91c360e50211eead77e967e3995264">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2024-03-18,
paskelbta TAR 2024-03-18, i. k. 2024-04842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cdbb200c4111efbcbfb318996800a8">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2024-05-07,
paskelbta TAR 2024-05-07, i. k. 2024-08410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c7698066c711efafbb8694c098bac5">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2024-08-30,
paskelbta TAR 2024-08-30, i. k. 2024-15216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680"/>
        <w:tab w:val="left" w:pos="4988"/>
        <w:tab w:val="left" w:pos="6235"/>
        <w:tab w:val="left" w:pos="7482"/>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left" w:pos="4988"/>
        <w:tab w:val="left" w:pos="6235"/>
        <w:tab w:val="left" w:pos="7482"/>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513"/>
        <w:tab w:val="right" w:pos="9026"/>
      </w:tabs>
      <w:spacing w:after="160" w:line="259" w:lineRule="auto"/>
      <w:jc w:val="center"/>
      <w:rPr>
        <w:sz w:val="22"/>
        <w:szCs w:val="24"/>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6625"/>
    <o:shapelayout v:ext="edit">
      <o:idmap v:ext="edit" data="1"/>
    </o:shapelayout>
  </w:shapeDefaults>
  <w:decimalSymbol w:val=","/>
  <w:listSeparator w:val=";"/>
  <w14:docId w14:val="667D172C"/>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46.xml"/>
  <Relationship Id="rId19" Type="http://schemas.openxmlformats.org/officeDocument/2006/relationships/header" Target="header47.xml"/>
  <Relationship Id="rId2" Type="http://schemas.openxmlformats.org/officeDocument/2006/relationships/header" Target="header23.xml"/>
  <Relationship Id="rId20" Type="http://schemas.openxmlformats.org/officeDocument/2006/relationships/footer" Target="footer46.xml"/>
  <Relationship Id="rId21" Type="http://schemas.openxmlformats.org/officeDocument/2006/relationships/footer" Target="footer47.xml"/>
  <Relationship Id="rId22" Type="http://schemas.openxmlformats.org/officeDocument/2006/relationships/header" Target="header48.xml"/>
  <Relationship Id="rId23" Type="http://schemas.openxmlformats.org/officeDocument/2006/relationships/footer" Target="footer48.xml"/>
  <Relationship Id="rId24" Type="http://schemas.openxmlformats.org/officeDocument/2006/relationships/customXml" Target="../customXml/item4.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ea16590a175d447e8c215cf6205376f9">
    <Part Type="skyrius" Nr="1" Title="PLĖTROS PROGRAMOS PAŽANGOS PRIEMONĖS SIEKIAMI REZULTATAI" DocPartId="8d36a02680dc4b10859557c97fae04e5" PartId="855741841a934c388334d33ccd91b336"/>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5fb04fd78f15462d80bd09b35e15c7cf"/>
    <Part Type="pabaiga" DocPartId="280e7f5b395b45b28f40f6c9be47cd4a" PartId="b4b0dad2f71e4481b98d0977022f54c3"/>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ec19d5006f8d45a9ae6aeec3a883fd80">
    <Part Type="pabaiga" DocPartId="959bac37900546829cafa741743c8298" PartId="57beb52b1919465e8f46e63983f8a24e"/>
  </Part>
  <Part Type="priedas" Abbr="pr." Title="PROJEKTO (ĮSKAITANT JUNGTINĮ PROJEKTĄ) ATITIKTIES REIKŠMINGOS ŽALOS NEDARYMO HORIZONTALIAJAM PRINCIPUI VERTINIMO REIKALAVIMŲ APRAŠAS" DocPartId="ad3b4dccb7a64e19b8026c561ad504ab" PartId="8121577acd1f42349827cee8bffe8651">
    <Part Type="pabaiga" DocPartId="40757b2560a94c85b5eb42977b6bce04" PartId="e97c8e75d3b44f3bb9f95a55b3785626"/>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6DE298-7D77-404A-9175-579552DE6151}">
  <ds:schemaRefs>
    <ds:schemaRef ds:uri="http://lrs.lt/TAIS/DocParts"/>
  </ds:schemaRefs>
</ds:datastoreItem>
</file>

<file path=docProps/app.xml><?xml version="1.0" encoding="utf-8"?>
<Properties xmlns="http://schemas.openxmlformats.org/officeDocument/2006/extended-properties">
  <Template>Normal.dotm</Template>
  <TotalTime>28</TotalTime>
  <Pages>30</Pages>
  <Words>6206</Words>
  <Characters>42793</Characters>
  <Application>Microsoft Office Word</Application>
  <DocSecurity>0</DocSecurity>
  <Lines>356</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48902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DZIKAITĖ Jolanta</lastModifiedBy>
  <lastPrinted>2010-02-18T07:54:00Z</lastPrinted>
  <dcterms:modified xsi:type="dcterms:W3CDTF">2024-09-02T10:02:00Z</dcterms:modified>
  <revision>11</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