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2018-08-22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9fe0ee3d3cb34493b15af4025210a74f"/>
            <w:lock w:val="sdtLocked"/>
            <w:richText/>
          </w:sdtPr>
          <w:sdtContent>
            <w:p>
              <w:pPr>
                <w:tabs>
                  <w:tab w:val="left" w:pos="6237"/>
                </w:tabs>
                <w:ind w:firstLine="720"/>
                <w:jc w:val="both"/>
                <w:rPr>
                  <w:szCs w:val="24"/>
                  <w:lang w:eastAsia="lt-LT"/>
                </w:rPr>
              </w:pPr>
              <w:r>
                <w:rPr>
                  <w:color w:val="000000"/>
                  <w:szCs w:val="24"/>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2013 m. gruodžio 17 d. Europos Parlamento ir Tarybos reglamentu (ES) Nr. 1310/2013 (OL 2013 L 347, p. 865),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 p. 320),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2013 m. gruodžio 17 d. Europos Parlamento ir Tarybos reglamentu (ES) Nr. 1310/2013 (OL 2013 L 347, p. 865), taip pat siekdama užtikrinti Europos žemės ūkio fondo kaimo plėtrai nustatytų priemonių įgyvendinimą,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ceea6a808b83426080c1d4e573d00172"/>
                    <w:lock w:val="sdtLocked"/>
                    <w:richText/>
                  </w:sdtPr>
                  <w:sdtContent>
                    <w:p>
                      <w:pPr>
                        <w:ind w:firstLine="720"/>
                        <w:jc w:val="both"/>
                        <w:rPr>
                          <w:szCs w:val="24"/>
                          <w:lang w:eastAsia="lt-LT"/>
                        </w:rPr>
                      </w:pPr>
                      <w:sdt>
                        <w:sdtPr>
                          <w:alias w:val="Numeris"/>
                          <w:tag w:val="nr_ceea6a808b83426080c1d4e573d00172"/>
                          <w:lock w:val="sdtLocked"/>
                          <w:richText/>
                        </w:sdtPr>
                        <w:sdtContent>
                          <w:r>
                            <w:rPr>
                              <w:szCs w:val="24"/>
                              <w:lang w:eastAsia="lt-LT"/>
                            </w:rPr>
                            <w:t>3.2.1</w:t>
                          </w:r>
                        </w:sdtContent>
                      </w:sdt>
                      <w:r>
                        <w:rPr>
                          <w:szCs w:val="24"/>
                          <w:lang w:eastAsia="lt-LT"/>
                        </w:rPr>
                        <w:t xml:space="preserve">. </w:t>
                      </w:r>
                      <w:r>
                        <w:rPr>
                          <w:lang w:eastAsia="lt-LT"/>
                        </w:rPr>
                        <w:t xml:space="preserve">už paraiškų ir kitų dokumentų pagal EŽŪFKP priemones </w:t>
                      </w:r>
                      <w:r>
                        <w:rPr>
                          <w:color w:val="000000"/>
                          <w:lang w:eastAsia="lt-LT"/>
                        </w:rPr>
                        <w:t>„Išmokos už vietoves, kuriose esama gamtinių ar kitokių specifinių kliūčių“, „Su Natura 2000 ir Vandens pagrindų direktyva susijusios išmokos“, „Agrarinė aplinkosauga ir klimatas“ (išskyrus programą „</w:t>
                      </w:r>
                      <w:r>
                        <w:rPr>
                          <w:lang w:eastAsia="lt-LT"/>
                        </w:rPr>
                        <w:t>Nykstančių Lietuvos senųjų veislių gyvulių ir paukščių išsaugojimas“)</w:t>
                      </w:r>
                      <w:r>
                        <w:rPr>
                          <w:color w:val="000000"/>
                          <w:lang w:eastAsia="lt-LT"/>
                        </w:rPr>
                        <w:t xml:space="preserve">, „Ekologinis ūkininkavimas“, priemonės „Investicijos į miško plotų plėtrą ir miškų gyvybingumo gerinimą“ veiklos sritį „Miško veisimas“, priemonės „Su Natura 2000 ir Vandens pagrindų direktyva susijusios išmokos“ veiklos sritį „Kompensacinė išmoka už miškus Natura 2000 vietovėse“ </w:t>
                      </w:r>
                      <w:r>
                        <w:rPr>
                          <w:lang w:eastAsia="lt-LT"/>
                        </w:rPr>
                        <w:t>priėmimą, registravimą, pirminį patikrinimą ir įvedimą į Žemės ūkio informacijos ir kaimo verslo centro paraiškų priėmimo</w:t>
                      </w:r>
                      <w:r>
                        <w:rPr>
                          <w:b/>
                          <w:bCs/>
                          <w:lang w:eastAsia="lt-LT"/>
                        </w:rPr>
                        <w:t xml:space="preserve"> </w:t>
                      </w:r>
                      <w:r>
                        <w:rPr>
                          <w:lang w:eastAsia="lt-LT"/>
                        </w:rPr>
                        <w:t xml:space="preserve">informacinę sistemą; paraiškų ir kitų dokumentų pagal EŽŪFKP priemonės „Rizikos valdymas“ veiklos sritį </w:t>
                      </w:r>
                      <w:r>
                        <w:rPr>
                          <w:color w:val="000000"/>
                          <w:lang w:eastAsia="lt-LT"/>
                        </w:rPr>
                        <w:t xml:space="preserve">„Pasėlių, gyvūnų ir augalų draudimo įmokos“ </w:t>
                      </w:r>
                      <w:r>
                        <w:rPr>
                          <w:lang w:eastAsia="lt-LT"/>
                        </w:rPr>
                        <w:t>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cfe856a693bf49f5945d2d1c38e46cd3"/>
                    <w:lock w:val="sdtLocked"/>
                    <w:richText/>
                  </w:sdtPr>
                  <w:sdtContent>
                    <w:p>
                      <w:pPr>
                        <w:ind w:firstLine="720"/>
                        <w:jc w:val="both"/>
                      </w:pPr>
                      <w:sdt>
                        <w:sdtPr>
                          <w:alias w:val="Numeris"/>
                          <w:tag w:val="nr_cfe856a693bf49f5945d2d1c38e46cd3"/>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e4d43729381a479f90df05459fe4e189"/>
                    <w:lock w:val="sdtLocked"/>
                    <w:richText/>
                  </w:sdtPr>
                  <w:sdtContent>
                    <w:p>
                      <w:pPr>
                        <w:ind w:firstLine="720"/>
                        <w:jc w:val="both"/>
                        <w:rPr>
                          <w:bCs/>
                          <w:color w:val="000000"/>
                          <w:szCs w:val="24"/>
                          <w:lang w:eastAsia="lt-LT"/>
                        </w:rPr>
                      </w:pPr>
                      <w:sdt>
                        <w:sdtPr>
                          <w:alias w:val="Numeris"/>
                          <w:tag w:val="nr_e4d43729381a479f90df05459fe4e189"/>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dbb797eb1fcb4a618e41affc4715e206"/>
                <w:lock w:val="sdtLocked"/>
                <w:richText/>
              </w:sdtPr>
              <w:sdtContent>
                <w:p>
                  <w:pPr>
                    <w:ind w:firstLine="720"/>
                    <w:jc w:val="both"/>
                    <w:rPr>
                      <w:color w:val="000000"/>
                      <w:szCs w:val="24"/>
                    </w:rPr>
                  </w:pPr>
                  <w:sdt>
                    <w:sdtPr>
                      <w:alias w:val="Numeris"/>
                      <w:tag w:val="nr_dbb797eb1fcb4a618e41affc4715e206"/>
                      <w:lock w:val="sdtLocked"/>
                      <w:richText/>
                    </w:sdtPr>
                    <w:sdtContent>
                      <w:r>
                        <w:rPr>
                          <w:color w:val="000000"/>
                          <w:szCs w:val="24"/>
                          <w:lang w:eastAsia="en-GB"/>
                        </w:rPr>
                        <w:t>3.8</w:t>
                      </w:r>
                    </w:sdtContent>
                  </w:sdt>
                  <w:r>
                    <w:rPr>
                      <w:color w:val="000000"/>
                      <w:szCs w:val="24"/>
                      <w:lang w:eastAsia="en-GB"/>
                    </w:rPr>
                    <w:t xml:space="preserve">. </w:t>
                  </w:r>
                  <w:r>
                    <w:rPr>
                      <w:szCs w:val="24"/>
                    </w:rPr>
                    <w:t>Valstybės įmonė Valstybinių miškų urėdija (toliau – VĮ Valstybinių miškų urėdija)</w:t>
                  </w:r>
                  <w:r>
                    <w:rPr>
                      <w:color w:val="000000"/>
                      <w:szCs w:val="24"/>
                    </w:rPr>
                    <w:t>:</w:t>
                  </w:r>
                </w:p>
                <w:sdt>
                  <w:sdtPr>
                    <w:alias w:val="3.8.1 pp."/>
                    <w:tag w:val="part_58a146ce7044408cabbc1e9d6e492f6f"/>
                    <w:lock w:val="sdtLocked"/>
                    <w:richText/>
                  </w:sdtPr>
                  <w:sdtContent>
                    <w:p>
                      <w:pPr>
                        <w:ind w:firstLine="720"/>
                        <w:jc w:val="both"/>
                        <w:rPr>
                          <w:color w:val="000000"/>
                          <w:szCs w:val="24"/>
                        </w:rPr>
                      </w:pPr>
                      <w:sdt>
                        <w:sdtPr>
                          <w:alias w:val="Numeris"/>
                          <w:tag w:val="nr_58a146ce7044408cabbc1e9d6e492f6f"/>
                          <w:lock w:val="sdtLocked"/>
                          <w:richText/>
                        </w:sdtPr>
                        <w:sdtContent>
                          <w:r>
                            <w:rPr>
                              <w:color w:val="000000"/>
                              <w:szCs w:val="24"/>
                            </w:rPr>
                            <w:t>3.8.1</w:t>
                          </w:r>
                        </w:sdtContent>
                      </w:sdt>
                      <w:r>
                        <w:rPr>
                          <w:color w:val="000000"/>
                          <w:szCs w:val="24"/>
                        </w:rPr>
                        <w:t xml:space="preserve">. už miško želdinimo ir žėlimo projektų įveisiant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2 pp."/>
                    <w:tag w:val="part_d44fd96ac8e042edbbf7e353dbd6db2d"/>
                    <w:lock w:val="sdtLocked"/>
                    <w:richText/>
                  </w:sdtPr>
                  <w:sdtContent>
                    <w:p>
                      <w:pPr>
                        <w:ind w:firstLine="720"/>
                        <w:jc w:val="both"/>
                        <w:rPr>
                          <w:color w:val="000000"/>
                          <w:szCs w:val="24"/>
                        </w:rPr>
                      </w:pPr>
                      <w:sdt>
                        <w:sdtPr>
                          <w:alias w:val="Numeris"/>
                          <w:tag w:val="nr_d44fd96ac8e042edbbf7e353dbd6db2d"/>
                          <w:lock w:val="sdtLocked"/>
                          <w:richText/>
                        </w:sdtPr>
                        <w:sdtContent>
                          <w:r>
                            <w:rPr>
                              <w:color w:val="000000"/>
                              <w:szCs w:val="24"/>
                            </w:rPr>
                            <w:t>3.8.2</w:t>
                          </w:r>
                        </w:sdtContent>
                      </w:sdt>
                      <w:r>
                        <w:rPr>
                          <w:color w:val="000000"/>
                          <w:szCs w:val="24"/>
                        </w:rPr>
                        <w:t xml:space="preserve">. už miško želdinimo ir žėlimo projektų atkuriant pažeistus miškus privačioje žemėje </w:t>
                      </w:r>
                      <w:r>
                        <w:rPr>
                          <w:szCs w:val="24"/>
                        </w:rPr>
                        <w:t>įvertinimą</w:t>
                      </w:r>
                      <w:r>
                        <w:rPr>
                          <w:color w:val="000000"/>
                          <w:szCs w:val="24"/>
                        </w:rPr>
                        <w:t xml:space="preserve"> ir </w:t>
                      </w:r>
                      <w:r>
                        <w:rPr>
                          <w:szCs w:val="24"/>
                        </w:rPr>
                        <w:t>tvirtinimą</w:t>
                      </w:r>
                      <w:r>
                        <w:rPr>
                          <w:color w:val="000000"/>
                          <w:szCs w:val="24"/>
                        </w:rPr>
                        <w:t xml:space="preserve"> subjektams, siekiantiems paramos pagal EŽŪFKP priemones;</w:t>
                      </w:r>
                    </w:p>
                  </w:sdtContent>
                </w:sdt>
                <w:sdt>
                  <w:sdtPr>
                    <w:alias w:val="3.8.3 pp."/>
                    <w:tag w:val="part_5a3c800ba7224d7995b361a1df3b8fa5"/>
                    <w:lock w:val="sdtLocked"/>
                    <w:richText/>
                  </w:sdtPr>
                  <w:sdtContent>
                    <w:p>
                      <w:pPr>
                        <w:ind w:firstLine="720"/>
                        <w:jc w:val="both"/>
                        <w:rPr>
                          <w:color w:val="000000"/>
                          <w:szCs w:val="24"/>
                        </w:rPr>
                      </w:pPr>
                      <w:sdt>
                        <w:sdtPr>
                          <w:alias w:val="Numeris"/>
                          <w:tag w:val="nr_5a3c800ba7224d7995b361a1df3b8fa5"/>
                          <w:lock w:val="sdtLocked"/>
                          <w:richText/>
                        </w:sdtPr>
                        <w:sdtContent>
                          <w:r>
                            <w:rPr>
                              <w:color w:val="000000"/>
                              <w:szCs w:val="24"/>
                            </w:rPr>
                            <w:t>3.8.3</w:t>
                          </w:r>
                        </w:sdtContent>
                      </w:sdt>
                      <w:r>
                        <w:rPr>
                          <w:color w:val="000000"/>
                          <w:szCs w:val="24"/>
                        </w:rPr>
                        <w:t xml:space="preserve">. už miško želdinimo ir žėlimo projektų pertvarkant medynus ir krūmynus privačioje žemėje įvertinimą ir </w:t>
                      </w:r>
                      <w:r>
                        <w:rPr>
                          <w:szCs w:val="24"/>
                        </w:rPr>
                        <w:t>tvirtinimą</w:t>
                      </w:r>
                      <w:r>
                        <w:rPr>
                          <w:color w:val="000000"/>
                          <w:szCs w:val="24"/>
                        </w:rPr>
                        <w:t xml:space="preserve"> subjektams, siekiantiems paramos pagal EŽŪFKP priemones;</w:t>
                      </w:r>
                    </w:p>
                  </w:sdtContent>
                </w:sdt>
                <w:sdt>
                  <w:sdtPr>
                    <w:alias w:val="3.8.4 pp."/>
                    <w:tag w:val="part_00fd51a2c385476c9925d343a62c413e"/>
                    <w:lock w:val="sdtLocked"/>
                    <w:richText/>
                  </w:sdtPr>
                  <w:sdtContent>
                    <w:p>
                      <w:pPr>
                        <w:ind w:firstLine="720"/>
                        <w:jc w:val="both"/>
                        <w:rPr>
                          <w:szCs w:val="24"/>
                          <w:lang w:eastAsia="lt-LT"/>
                        </w:rPr>
                      </w:pPr>
                      <w:sdt>
                        <w:sdtPr>
                          <w:alias w:val="Numeris"/>
                          <w:tag w:val="nr_00fd51a2c385476c9925d343a62c413e"/>
                          <w:lock w:val="sdtLocked"/>
                          <w:richText/>
                        </w:sdtPr>
                        <w:sdtContent>
                          <w:r>
                            <w:rPr>
                              <w:color w:val="000000"/>
                              <w:szCs w:val="24"/>
                            </w:rPr>
                            <w:t>3.8.4</w:t>
                          </w:r>
                        </w:sdtContent>
                      </w:sdt>
                      <w:r>
                        <w:rPr>
                          <w:color w:val="000000"/>
                          <w:szCs w:val="24"/>
                        </w:rPr>
                        <w:t>. už duomenų apie kitų, ne VĮ Valstybinių miškų urėdijos, valdytojų miškų priskyrimą gaisrų rizikos laipsniams teikimą ir pažymų išdavimą subjektams, siekiantiems paramos pagal EŽŪFKP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4a2c99355bf42df8bed703f28e3ec9f"/>
                    <w:lock w:val="sdtLocked"/>
                    <w:richText/>
                  </w:sdtPr>
                  <w:sdtContent>
                    <w:p>
                      <w:pPr>
                        <w:ind w:firstLine="720"/>
                        <w:jc w:val="both"/>
                        <w:rPr>
                          <w:szCs w:val="24"/>
                          <w:lang w:eastAsia="lt-LT"/>
                        </w:rPr>
                      </w:pPr>
                      <w:sdt>
                        <w:sdtPr>
                          <w:alias w:val="Numeris"/>
                          <w:tag w:val="nr_34a2c99355bf42df8bed703f28e3ec9f"/>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c32917f47e324536bdd01b143e36f63c"/>
                <w:lock w:val="sdtLocked"/>
                <w:richText/>
              </w:sdtPr>
              <w:sdtContent>
                <w:p>
                  <w:pPr>
                    <w:ind w:firstLine="720"/>
                    <w:jc w:val="both"/>
                    <w:rPr>
                      <w:szCs w:val="24"/>
                      <w:lang w:eastAsia="lt-LT"/>
                    </w:rPr>
                  </w:pPr>
                  <w:sdt>
                    <w:sdtPr>
                      <w:alias w:val="Numeris"/>
                      <w:tag w:val="nr_c32917f47e324536bdd01b143e36f63c"/>
                      <w:lock w:val="sdtLocked"/>
                      <w:richText/>
                    </w:sdtPr>
                    <w:sdtContent>
                      <w:r>
                        <w:rPr>
                          <w:color w:val="000000"/>
                          <w:szCs w:val="24"/>
                          <w:lang w:eastAsia="lt-LT"/>
                        </w:rPr>
                        <w:t>4.8</w:t>
                      </w:r>
                    </w:sdtContent>
                  </w:sdt>
                  <w:r>
                    <w:rPr>
                      <w:color w:val="000000"/>
                      <w:szCs w:val="24"/>
                      <w:lang w:eastAsia="lt-LT"/>
                    </w:rPr>
                    <w:t xml:space="preserve">.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 </w:t>
                  </w:r>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c4ab82abdf744cb5882d376ce89042a4"/>
                <w:lock w:val="sdtLocked"/>
                <w:richText/>
              </w:sdtPr>
              <w:sdtContent>
                <w:p>
                  <w:pPr>
                    <w:ind w:firstLine="720"/>
                    <w:jc w:val="both"/>
                  </w:pPr>
                  <w:sdt>
                    <w:sdtPr>
                      <w:alias w:val="Numeris"/>
                      <w:tag w:val="nr_c4ab82abdf744cb5882d376ce89042a4"/>
                      <w:lock w:val="sdtLocked"/>
                      <w:richText/>
                    </w:sdtPr>
                    <w:sdtContent>
                      <w:r>
                        <w:rPr>
                          <w:lang w:eastAsia="lt-LT"/>
                        </w:rPr>
                        <w:t>4.11</w:t>
                      </w:r>
                    </w:sdtContent>
                  </w:sdt>
                  <w:r>
                    <w:rPr>
                      <w:lang w:eastAsia="lt-LT"/>
                    </w:rPr>
                    <w:t xml:space="preserve">.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verslo centrui pagal duomenų teikimo sutartis, periodiškai šiuos duomenis atnaujinti ir skelbti tokių teritorijų sąrašą Aplinkos ministerijos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62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4:docId w14:val="19FFBC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9fe0ee3d3cb34493b15af4025210a74f"/>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ceea6a808b83426080c1d4e573d00172"/>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cfe856a693bf49f5945d2d1c38e46cd3"/>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e4d43729381a479f90df05459fe4e189"/>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dbb797eb1fcb4a618e41affc4715e206">
        <Part Type="papunktis" Nr="3.8.1" Abbr="3.8.1 pp." DocPartId="361ad57bdb2e482b835baedab384c74c" PartId="58a146ce7044408cabbc1e9d6e492f6f"/>
        <Part Type="papunktis" Nr="3.8.2" Abbr="3.8.2 pp." DocPartId="cf56c79f934b4ce486c16497fb6b242d" PartId="d44fd96ac8e042edbbf7e353dbd6db2d"/>
        <Part Type="papunktis" Nr="3.8.3" Abbr="3.8.3 pp." DocPartId="c8d4774c5a29445b8b0856e418c4429c" PartId="5a3c800ba7224d7995b361a1df3b8fa5"/>
        <Part Type="papunktis" Nr="3.8.4" Abbr="3.8.4 pp." DocPartId="a26812e46154474f8a08be57cc78e3ba" PartId="00fd51a2c385476c9925d343a62c413e"/>
      </Part>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4a2c99355bf42df8bed703f28e3ec9f"/>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c32917f47e324536bdd01b143e36f63c"/>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c4ab82abdf744cb5882d376ce89042a4"/>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79C8ED7C-4304-49B4-AF33-B918B96BC13F}">
  <ds:schemaRefs>
    <ds:schemaRef ds:uri="http://lrs.lt/TAIS/DocParts"/>
  </ds:schemaRefs>
</ds:datastoreItem>
</file>

<file path=docProps/app.xml><?xml version="1.0" encoding="utf-8"?>
<Properties xmlns="http://schemas.openxmlformats.org/officeDocument/2006/extended-properties">
  <Template>Normal.dotm</Template>
  <TotalTime>8</TotalTime>
  <Pages>7</Pages>
  <Words>14340</Words>
  <Characters>8175</Characters>
  <Application>Microsoft Office Word</Application>
  <DocSecurity>0</DocSecurity>
  <Lines>68</Lines>
  <Paragraphs>44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22471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2018-08-22T13:19:00Z</dcterms:modified>
  <revision>10</revision>
</coreProperties>
</file>