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2024-06-21 iki 2025-01-24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ff5f745cfb0a4db9ac2aa109d2b9b09c"/>
        <w:lock w:val="sdtLocked"/>
        <w:richText/>
      </w:sdtPr>
      <w:sdtContent>
        <w:p>
          <w:pPr>
            <w:keepLines/>
            <w:tabs>
              <w:tab w:val="left" w:pos="1304"/>
              <w:tab w:val="left" w:pos="1457"/>
              <w:tab w:val="left" w:pos="1604"/>
              <w:tab w:val="left" w:pos="1757"/>
            </w:tabs>
            <w:suppressAutoHyphens/>
            <w:ind w:left="5529"/>
            <w:textAlignment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suppressAutoHyphens/>
            <w:jc w:val="center"/>
            <w:textAlignment w:val="center"/>
            <w:rPr>
              <w:b/>
              <w:bCs/>
              <w:szCs w:val="24"/>
            </w:rPr>
          </w:pPr>
        </w:p>
        <w:p>
          <w:pPr>
            <w:suppressAutoHyphens/>
            <w:jc w:val="center"/>
            <w:textAlignment w:val="center"/>
            <w:rPr>
              <w:color w:val="000000"/>
              <w:szCs w:val="24"/>
            </w:rPr>
          </w:pPr>
          <w:sdt>
            <w:sdtPr>
              <w:alias w:val="Pavadinimas"/>
              <w:tag w:val="title_ff5f745cfb0a4db9ac2aa109d2b9b09c"/>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1.1. 2014 m. birželio 17 d. Komisijos reglamentas (ES) Nr. 651/2014, kuriuo tam tikrų kategorijų pagalba skelbiama suderinama su vidaus rinka taikant Sutarties 107 ir 108 straipsnius, su visais pakeitimais (toliau – Reglamentas (ES) Nr. 651/2014). Teikiant pagalbą pagal Reglamento (ES) Nr. 651/2014 41 straipsnį turi būti užtikrinta atitiktis minėto straipsnio 1 daliai; 5-6 dalims; laikomasi 41 straipsnio 6, 7 ir 8 dalyse nurodytų intensyvumų ir laikomasi visų Reglamento (ES) Nr. 651/2014 I skyriaus reikalavimų.</w:t>
                </w: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rPr>
                    <w:szCs w:val="24"/>
                  </w:rPr>
                </w:pPr>
                <w:r>
                  <w:rPr>
                    <w:color w:val="000000"/>
                    <w:szCs w:val="24"/>
                    <w:lang w:eastAsia="lt-LT"/>
                  </w:rPr>
                  <w:t xml:space="preserve">1.4. </w:t>
                </w:r>
                <w:r>
                  <w:rPr>
                    <w:szCs w:val="24"/>
                  </w:rPr>
                  <w:t>Lietuvos Respublikos finansų ministro 2022 m. birželio 22 d. įsakymas Nr. 1K-237 „Dėl 2021-2027 metų Europos Sąjungos fondų investicijų programos ir Ekonomikos gaivinimo ir atsparumo didinimo plano „Naujos kartos Lietuva“ įgyvendinimo“.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w:t>
                </w:r>
                <w:r>
                  <w:rPr>
                    <w:szCs w:val="24"/>
                  </w:rPr>
                  <w:t>Privačių ir viešųjų juridinių 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strike/>
                    <w:color w:val="000000"/>
                    <w:lang w:eastAsia="lt-LT"/>
                  </w:rPr>
                </w:pPr>
                <w:r>
                  <w:rPr>
                    <w:color w:val="000000"/>
                    <w:lang w:eastAsia="lt-LT"/>
                  </w:rPr>
                  <w:t>2.1. Iki 549 130 737 (penki šimtai keturiasdešimt devyni milijonai šimtas trisdešimt tūkstančių septyni šimtai trisdešimt septyni) Eur REPowerEU lėšų ir iki 22 562 000 (dvidešimt du milijonai penki šimtai šešiasdešimt du tūkstančiai) Eur Lietuvos Respublikos valstybės biudžeto lėšų.</w:t>
                </w:r>
              </w:p>
              <w:p>
                <w:pPr>
                  <w:suppressAutoHyphens/>
                  <w:jc w:val="both"/>
                  <w:textAlignment w:val="center"/>
                  <w:rPr>
                    <w:color w:val="000000"/>
                    <w:lang w:eastAsia="lt-LT"/>
                  </w:rPr>
                </w:pPr>
                <w:r>
                  <w:rPr>
                    <w:color w:val="000000"/>
                    <w:lang w:eastAsia="lt-LT"/>
                  </w:rPr>
                  <w:t>2.2. Pagal Priemonės schemos 14 punktą apskaičiuotas vidutinis metinis galimas suteikti valstybės pagalbos dydis neturi viršyti Reglamento (ES) Nr. 651/2014 1 straipsnio 2 dalies a punkte nustatytų ribų.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Priemonės schemos (toliau – Schema)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FF0000"/>
                  </w:rPr>
                </w:pPr>
                <w:r>
                  <w:rPr>
                    <w:color w:val="000000"/>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w:t>
                </w:r>
                <w:r>
                  <w:t xml:space="preserve">gyvendins ir paskolas teiks INVEGA kaip ENEF valdytoja, paskirta vadovaujantis ENEF sutartimi, kuri Priemonę įgyvendina teikdama Paskolas tiesiogiai paskolų gavėjams.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Schemoje vartojamos sąvokos suprantamos taip, kaip jos apibrėžtos Reglamento (ES) Nr. 651/2014 2 straipsnyje, Lietuvos Respublikos smulkiojo ir vidutinio verslo plėtros įstatyme (toliau – SVV įstatymas), Lietuvos Respublikos įmonių grupių konsoliduotosios atskaitomybės įstatyme, Lietuvos Respublikos įmonių atskaitomybės įstatyme, Lietuvos Respublikos elektros energetikos įstatyme,</w:t>
                </w:r>
                <w:r>
                  <w:t xml:space="preserve"> Lietuvos Respublikos atsinaujinančių išteklių energetikos įstatyme, Lietuvos Respublikos statybos įstatyme, Lietuvos Respublikos žemės įstatyme, Lietuvos Respublikos valstybės ir savivaldybių įmonių įstatymu, Lietuvos Respublikos viešųjų įstaigų įstatymu ir kt.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Saulės ir (ar) vėjo elektrinių įrengimas arba įsigijimas iš parko.</w:t>
                </w:r>
              </w:p>
              <w:p>
                <w:pPr>
                  <w:jc w:val="both"/>
                  <w:rPr>
                    <w:color w:val="000000"/>
                  </w:rPr>
                </w:pP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(1) gaminantiems vartotojams, arba asmenims, siekiantiems tapti gaminančiais vartotojais, arba (2) elektros energijos gamintojams, numatantiems elektros energiją gaminti elektros energijos iš atsinaujinančių išteklių gamybos įrenginiuose, kurių leistina generuoti galia lygi nuliui, ir pagamintą elektros energiją vartoti savo reikmėms ir ūkio poreikiams tenkinti, arba (3) įmonių grupės (kaip ji apibrėžta Įmonių grupių konsoliduotosios atskaitomybės įstatyme) įmonei, statančiai ir (ar) įsigyjančiai saulės ir (ar) vėjo elektrines, skirtas įmonių grupės reikmėms ir ūkio poreikiams tenkinti, kai veikla vykdoma Atsinaujinančių išteklių energetikos įstatymo 201 straipsnio 8 dalyje nustatyta tvarka ir sąlygomis, kurie yra:</w:t>
                </w:r>
              </w:p>
              <w:p>
                <w:pPr>
                  <w:jc w:val="both"/>
                  <w:rPr>
                    <w:rFonts w:eastAsia="Calibri"/>
                  </w:rPr>
                </w:pPr>
                <w:r>
                  <w:rPr>
                    <w:rFonts w:eastAsia="Calibri"/>
                  </w:rPr>
                  <w:t>7.1.1. Privatūs juridiniai asmenys:</w:t>
                </w:r>
              </w:p>
              <w:p>
                <w:pPr>
                  <w:jc w:val="both"/>
                  <w:rPr>
                    <w:rFonts w:eastAsia="Calibri"/>
                  </w:rPr>
                </w:pPr>
                <w:r>
                  <w:rPr>
                    <w:rFonts w:eastAsia="Calibri"/>
                  </w:rPr>
                  <w:t>7.1.1.1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7.1.1.2. valstybės valdomos bendrovės;</w:t>
                </w:r>
              </w:p>
              <w:p>
                <w:pPr>
                  <w:jc w:val="both"/>
                  <w:rPr>
                    <w:rFonts w:eastAsia="Calibri"/>
                  </w:rPr>
                </w:pPr>
                <w:r>
                  <w:rPr>
                    <w:rFonts w:eastAsia="Calibri"/>
                  </w:rPr>
                  <w:t>7.1.1.3. savivaldybės valdomos bendrovės;</w:t>
                </w:r>
              </w:p>
              <w:p>
                <w:pPr>
                  <w:jc w:val="both"/>
                  <w:rPr>
                    <w:rFonts w:eastAsia="Calibri"/>
                  </w:rPr>
                </w:pPr>
                <w:r>
                  <w:rPr>
                    <w:rFonts w:eastAsia="Calibri"/>
                  </w:rPr>
                  <w:t>7.1.1.4. kiti privatūs juridiniai asmenys.</w:t>
                </w:r>
              </w:p>
              <w:p>
                <w:pPr>
                  <w:jc w:val="both"/>
                  <w:rPr>
                    <w:rFonts w:eastAsia="Calibri"/>
                  </w:rPr>
                </w:pPr>
                <w:r>
                  <w:rPr>
                    <w:rFonts w:eastAsia="Calibri"/>
                  </w:rPr>
                  <w:t>7.1.2. viešieji juridiniai asmenys:</w:t>
                </w:r>
              </w:p>
              <w:p>
                <w:pPr>
                  <w:jc w:val="both"/>
                  <w:rPr>
                    <w:rFonts w:eastAsia="Calibri"/>
                  </w:rPr>
                </w:pPr>
                <w:r>
                  <w:rPr>
                    <w:rFonts w:eastAsia="Calibri"/>
                  </w:rPr>
                  <w:t>7.1.2.1. valstybės ir savivaldybės įmonės;</w:t>
                </w:r>
              </w:p>
              <w:p>
                <w:pPr>
                  <w:jc w:val="both"/>
                  <w:rPr>
                    <w:rFonts w:eastAsia="Calibri"/>
                  </w:rPr>
                </w:pPr>
                <w:r>
                  <w:rPr>
                    <w:rFonts w:eastAsia="Calibri"/>
                  </w:rPr>
                  <w:t>7.1.2.2. viešosios įstaigos;</w:t>
                </w:r>
              </w:p>
              <w:p>
                <w:pPr>
                  <w:jc w:val="both"/>
                  <w:rPr>
                    <w:rFonts w:eastAsia="Calibri"/>
                  </w:rPr>
                </w:pPr>
                <w:r>
                  <w:rPr>
                    <w:rFonts w:eastAsia="Calibri"/>
                  </w:rPr>
                  <w:t>7.1.2.3. savivaldybės;</w:t>
                </w:r>
              </w:p>
              <w:p>
                <w:pPr>
                  <w:jc w:val="both"/>
                  <w:rPr>
                    <w:rFonts w:eastAsia="Calibri"/>
                  </w:rPr>
                </w:pPr>
                <w:r>
                  <w:rPr>
                    <w:rFonts w:eastAsia="Calibri"/>
                  </w:rPr>
                  <w:t>7.1.2.4. kiti viešieji juridiniai asmenys, atitinkantys pelno nesiekiantiems asmenims nustatytus kriterijus.</w:t>
                </w:r>
              </w:p>
              <w:p>
                <w:pPr>
                  <w:jc w:val="both"/>
                  <w:rPr>
                    <w:color w:val="000000"/>
                  </w:rPr>
                </w:pPr>
                <w:r>
                  <w:rPr>
                    <w:color w:val="000000"/>
                  </w:rPr>
                  <w:t xml:space="preserve">7.2. Paskolos neteikiamos: </w:t>
                </w:r>
              </w:p>
              <w:p>
                <w:pPr>
                  <w:jc w:val="both"/>
                  <w:rPr>
                    <w:color w:val="000000"/>
                  </w:rPr>
                </w:pPr>
                <w:r>
                  <w:rPr>
                    <w:color w:val="000000"/>
                  </w:rPr>
                  <w:t>7.2.1. įmonėms, vykdančioms veiklą žuvininkystės, akvakultūros sektoriuje;</w:t>
                </w:r>
              </w:p>
              <w:p>
                <w:pPr>
                  <w:jc w:val="both"/>
                  <w:rPr>
                    <w:color w:val="000000"/>
                  </w:rPr>
                </w:pPr>
                <w:r>
                  <w:rPr>
                    <w:color w:val="000000"/>
                  </w:rPr>
                  <w:t xml:space="preserve">7.2.2. saulės ir (ar) vėjo elektrinių parkų vystytojams, elektros energijos gamintojams ir investiciniams fondams, kurie ketina finansuoti saulės ir (ar) vėjo elektrines, siekiant gaminti elektros energiją ne savo vartojimo ir ūkio poreikiams, išskyrus įmonių grupės įmones, statančias ir (ar) įsigyjančias elektrines įmonių grupės reikmėms ir ūkio poreikiams, ir gamintojus, kurių leistina generuoti galia yra lygi nuliui. </w:t>
                </w:r>
              </w:p>
              <w:p>
                <w:pPr>
                  <w:suppressAutoHyphens/>
                  <w:jc w:val="both"/>
                  <w:textAlignment w:val="center"/>
                  <w:rPr>
                    <w:lang w:eastAsia="lt-LT"/>
                  </w:rPr>
                </w:pPr>
                <w:r>
                  <w:rPr>
                    <w:color w:val="000000"/>
                    <w:lang w:eastAsia="lt-LT"/>
                  </w:rPr>
                  <w:t xml:space="preserve">7.3. </w:t>
                </w:r>
                <w:r>
                  <w:rPr>
                    <w:lang w:eastAsia="lt-LT"/>
                  </w:rPr>
                  <w:t>Paskolos gavėjas atitinka šiuos reikalavimus:</w:t>
                </w:r>
              </w:p>
              <w:p>
                <w:pPr>
                  <w:jc w:val="both"/>
                  <w:rPr>
                    <w:rFonts w:eastAsia="Calibri"/>
                    <w:szCs w:val="24"/>
                  </w:rPr>
                </w:pPr>
                <w:r>
                  <w:rPr>
                    <w:spacing w:val="2"/>
                  </w:rPr>
                  <w:t>7.3.1.</w:t>
                </w:r>
                <w:r>
                  <w:rPr>
                    <w:spacing w:val="2"/>
                    <w:sz w:val="20"/>
                  </w:rPr>
                  <w:t xml:space="preserve"> </w:t>
                </w:r>
                <w:r>
                  <w:rPr>
                    <w:rFonts w:eastAsia="Calibri"/>
                    <w:szCs w:val="24"/>
                  </w:rPr>
                  <w:t xml:space="preserve">Paskolos gavėjui, jo vadovui, atstovui, Paskolos gavėjo nuosavybės ir valdymo struktūroje esantiems asmenims, naudos gavėjui, kaip jis apibrėžtas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The Office of Foreign Assets Control of the U.S. Department of the Treasury), Jungtinė Didžiosios Britanijos ir Šiaurės Airijos Karalystė; </w:t>
                </w:r>
              </w:p>
              <w:p>
                <w:pPr>
                  <w:jc w:val="both"/>
                  <w:rPr>
                    <w:rFonts w:eastAsia="Calibri"/>
                    <w:szCs w:val="24"/>
                  </w:rPr>
                </w:pPr>
                <w:r>
                  <w:rPr>
                    <w:rFonts w:eastAsia="Calibri"/>
                    <w:szCs w:val="24"/>
                  </w:rPr>
                  <w:t>7.3.2. vykdo veiklą Lietuvos Respublikoje. Paskolos gavėjas laikomas vykdančiu veiklą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7.3.3. paraiškos vertinimo metu Paskolos gavėjas per paskutinius 5 metus galutiniu teismo sprendimu ar galutiniu administraciniu sprendimu nėra pripažintas kaltu ir neturi neišnykusio ar nepanaikinto teistumo dėl pareigų, susijusių su mokesčių ar socialinio draudimo įmokų mokėjimu pagal Lietuvos Respublikos teisės aktus arba pagal kitos valstybės teisės aktus, jei Paskolos gavėjas yra užsienyje registruotas juridinis asmuo, neatitikimo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 ir nėra informacijos, kad Paskolos gavėjas neatitinka minimalių patikimo mokesčių mokėtojo kriterijų, nustatytų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7.3.4. Paskolos gavėjas ir įmonių grupė (jei Paskolos gavėjas priklauso įmonių grupei) sprendimo suteikti Paskolą metu nėra patiriantys sunkumų, kaip tai apibrėžta Reglamento (ES) Nr. 651/2014 2 straipsnio 18 punkte. Paskolos davėjas, siekdamas įsitikinti, kad Paskolos gavėjas ir įmonių grupė (jei Paskolos gavėjas priklauso įmonių grupei) sprendimo suteikti Paskolą metu nėra patiriantys sunkumų, iki sprendimo suteikti Paskolą patikrina Paskolos gavėjo ir įmonių grupės (jei Paskolos gavėjas priklauso įmonių grupei) patvirtintus paskutinių dvejų finansinių metų metinių finansinių ataskaitų rinkinius. Jei paaiškėja, kad pagal paskutinių dvejų finansinių metų metinių finansinių ataskaitų rinkinius Paskolos gavėjas ir (ar) įmonių grupė (jei Paskolos gavėjas priklauso įmonių grupei) buvo patiriantys sunkumų, tačiau Paskolos gavėjui pateikus pagrindžiančius dokumentus (Paskolos gavėjas</w:t>
                </w:r>
                <w:r>
                  <w:rPr>
                    <w:rFonts w:ascii="Calibri" w:hAnsi="Calibri" w:cs="Calibri"/>
                    <w:color w:val="000000"/>
                    <w:sz w:val="22"/>
                    <w:szCs w:val="22"/>
                    <w:shd w:val="clear" w:color="auto" w:fill="FFFFFF"/>
                  </w:rPr>
                  <w:t xml:space="preserve"> </w:t>
                </w:r>
                <w:r>
                  <w:rPr>
                    <w:color w:val="000000"/>
                    <w:shd w:val="clear" w:color="auto" w:fill="FFFFFF"/>
                  </w:rPr>
                  <w:t>pateikia Paskolos davėjui finansinės atskaitomybės už paskutinį praėjusį ketvirtį arba mėnesio, ėjusio prieš paraiškos gauti Paskolą pateikimą, paskutinę dieną dokumentus ir, jei per laikotarpį nuo finansinių metų metinių finansinių ataskaitų rinkinio patvirtinimo iki sprendimo suteikti Paskolą dienos paraiškos įvyko nuosavybės struktūros (kapitalo, akcijų priedų, perkainojimo rezervų, rezervų) pokyčių, – dokumentus, pagrindžiančius šiuos pokyčius (sukauptų nuostolių padengimo, kapitalo padidinimo apmokėjimo, turto vertinimo ir (arba) kitus susijusius dokumentus), kad iki sprendimo suteikti Paskolą dienos Paskolos gavėjas ir įmonių grupė (jei Paskolos gavėjas priklauso įmonių grupei) nebėra laikomi sunkumų patiriančiais, bus laikoma, kad toks Paskolos gavėjas ir įmonių grupė (jei Paskolos gavėjas priklauso įmonių grupei) Paskolos suteikimo metu nėra patiriantys sunkumų; </w:t>
                </w:r>
              </w:p>
              <w:p>
                <w:pPr>
                  <w:jc w:val="both"/>
                  <w:rPr>
                    <w:rFonts w:eastAsia="Calibri"/>
                  </w:rPr>
                </w:pPr>
                <w:r>
                  <w:rPr>
                    <w:rFonts w:eastAsia="Calibri"/>
                  </w:rPr>
                  <w:t xml:space="preserve">7.3.5. </w:t>
                </w:r>
                <w:r>
                  <w:rPr>
                    <w:color w:val="000000"/>
                    <w:shd w:val="clear" w:color="auto" w:fill="FFFFFF"/>
                  </w:rPr>
                  <w:t>Paskolos gavėjui nėra iškelta bankroto ir (ar) restruktūrizavimo byla pagal Lietuvos Respublikos juridinių asmenų nemokumo įstatymą;   </w:t>
                </w:r>
              </w:p>
              <w:p>
                <w:pPr>
                  <w:jc w:val="both"/>
                  <w:rPr>
                    <w:rFonts w:eastAsia="Calibri"/>
                  </w:rPr>
                </w:pPr>
                <w:r>
                  <w:rPr>
                    <w:rFonts w:eastAsia="Calibri"/>
                  </w:rPr>
                  <w:t>7.3.6. paraiškos pateikimo metu yra pateikęs valstybės įmonei Registrų centrui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pateikta nuosavo kapitalo sudėtis;</w:t>
                </w:r>
              </w:p>
              <w:p>
                <w:pPr>
                  <w:jc w:val="both"/>
                  <w:rPr>
                    <w:szCs w:val="24"/>
                  </w:rPr>
                </w:pPr>
                <w:r>
                  <w:rPr>
                    <w:rFonts w:eastAsia="Calibri"/>
                    <w:szCs w:val="24"/>
                  </w:rPr>
                  <w:t xml:space="preserve">7.3.7. priimant sprendimą dėl Paskolos suteikimo Paskolos gavėjas </w:t>
                </w:r>
                <w:r>
                  <w:rPr>
                    <w:szCs w:val="24"/>
                  </w:rPr>
                  <w:t>nėra gavęs Lietuvos Respublikoje valstybės pagalbos, kuri Paskolos davėjo sprendimu buvo pripažinta nepagrįstai išmokėta ir (arba) kaip nurodyta Lietuvos Respublikos konkurencijos įstatymo 55 straipsnio 2 dalyje Europos Komisijos buvo pripažinta ir nesuderinama su Europos Sąjungos vidaus rinka ir (arba) pagalbos teikėjo, kaip jis apibrėžtas Konkurencijos įstatyme,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 xml:space="preserve">7.3.8. Paskolos gavėjui gali būti suteikta atitinkamo dydžio valstybės pagalba, vadovaujantis Reglamento (ES) Nr. 651/2014 4 straipsnio 1 dalies s) punkto ir 41 straipsnio nuostatomis; </w:t>
                </w:r>
              </w:p>
              <w:p>
                <w:pPr>
                  <w:tabs>
                    <w:tab w:val="left" w:pos="1701"/>
                  </w:tabs>
                  <w:jc w:val="both"/>
                  <w:rPr>
                    <w:szCs w:val="24"/>
                  </w:rPr>
                </w:pPr>
                <w:r>
                  <w:rPr>
                    <w:color w:val="000000"/>
                    <w:shd w:val="clear" w:color="auto" w:fill="FFFFFF"/>
                  </w:rPr>
                  <w:t>7.3.9. Paskolos gavėjo veikla nėra vykdoma Reglamento (ES) Nr. 651/2014 1 straipsnio 2 dalies a punkte ir 3 dalies a ir c punktuose išvardytais atvejais;  </w:t>
                </w:r>
              </w:p>
              <w:p>
                <w:pPr>
                  <w:tabs>
                    <w:tab w:val="left" w:pos="1701"/>
                  </w:tabs>
                  <w:jc w:val="both"/>
                  <w:rPr>
                    <w:color w:val="000000"/>
                  </w:rPr>
                </w:pPr>
                <w:r>
                  <w:rPr>
                    <w:color w:val="000000"/>
                    <w:spacing w:val="2"/>
                  </w:rPr>
                  <w:t>7.3.10. Paskolos gavėjo ir (ar) Paskolos negrąžinimo rizika yra priimtino rizikingumo lygio</w:t>
                </w:r>
                <w:r>
                  <w:rPr>
                    <w:color w:val="000000"/>
                  </w:rPr>
                  <w:t xml:space="preserve">, </w:t>
                </w:r>
                <w:r>
                  <w:t>įskaitant riziką, susijusią su Paskolos gavėjo, jo vadovo, savininkų, Naudos gavėjų reputacija, o Projektas Paskolos davėjo yra pripažintas ekonomiškai pagrįstu ir finansiškai gyvybingu. Rizikingumo lygio ir Projekto ekonominio pagrįstumo bei finansinio gyvybingumo vertinimas atliekamas Paskolos davėjo vidaus procedūrų nustatyta tvarka.</w:t>
                </w:r>
              </w:p>
              <w:p>
                <w:pPr>
                  <w:jc w:val="both"/>
                  <w:textAlignment w:val="baseline"/>
                  <w:rPr>
                    <w:szCs w:val="24"/>
                  </w:rPr>
                </w:pPr>
                <w:r>
                  <w:rPr>
                    <w:szCs w:val="24"/>
                  </w:rPr>
                  <w:t>7.3.11. Paskolos gavėjas neturi arba yra nutraukęs prekybinius įsipareigojimus su Rusijos Federacijos ir (ar) Baltarusijos Respublikos fiziniais ir (ar) juridiniais asmenimis.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7.3.12.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7.3.12.1. padaryto sunkaus profesinio nusižengimo;</w:t>
                </w:r>
              </w:p>
              <w:p>
                <w:pPr>
                  <w:jc w:val="both"/>
                  <w:textAlignment w:val="baseline"/>
                  <w:rPr>
                    <w:szCs w:val="24"/>
                  </w:rPr>
                </w:pPr>
                <w:r>
                  <w:rPr>
                    <w:szCs w:val="24"/>
                  </w:rPr>
                  <w:t>7.3.12.2. sukčiavimo;</w:t>
                </w:r>
              </w:p>
              <w:p>
                <w:pPr>
                  <w:jc w:val="both"/>
                  <w:textAlignment w:val="baseline"/>
                  <w:rPr>
                    <w:szCs w:val="24"/>
                  </w:rPr>
                </w:pPr>
                <w:r>
                  <w:rPr>
                    <w:szCs w:val="24"/>
                  </w:rPr>
                  <w:t>7.3.12.3. korupcijos;</w:t>
                </w:r>
              </w:p>
              <w:p>
                <w:pPr>
                  <w:jc w:val="both"/>
                  <w:textAlignment w:val="baseline"/>
                  <w:rPr>
                    <w:szCs w:val="24"/>
                  </w:rPr>
                </w:pPr>
                <w:r>
                  <w:rPr>
                    <w:szCs w:val="24"/>
                  </w:rPr>
                  <w:t>7.3.12.4. nusikalstomo susivienijimo;</w:t>
                </w:r>
              </w:p>
              <w:p>
                <w:pPr>
                  <w:jc w:val="both"/>
                  <w:textAlignment w:val="baseline"/>
                  <w:rPr>
                    <w:szCs w:val="24"/>
                  </w:rPr>
                </w:pPr>
                <w:r>
                  <w:rPr>
                    <w:szCs w:val="24"/>
                  </w:rPr>
                  <w:t>7.3.12.5. pinigų plovimo arba teroristų finansavimo;</w:t>
                </w:r>
              </w:p>
              <w:p>
                <w:pPr>
                  <w:jc w:val="both"/>
                  <w:textAlignment w:val="baseline"/>
                  <w:rPr>
                    <w:szCs w:val="24"/>
                  </w:rPr>
                </w:pPr>
                <w:r>
                  <w:rPr>
                    <w:szCs w:val="24"/>
                  </w:rPr>
                  <w:t>7.3.12.6. teroristinių nusikaltimų arba su teroristine veikla susijusių nusikaltimų;</w:t>
                </w:r>
              </w:p>
              <w:p>
                <w:pPr>
                  <w:jc w:val="both"/>
                  <w:textAlignment w:val="baseline"/>
                  <w:rPr>
                    <w:szCs w:val="24"/>
                  </w:rPr>
                </w:pPr>
                <w:r>
                  <w:rPr>
                    <w:szCs w:val="24"/>
                  </w:rPr>
                  <w:t>7.3.12.7. vaikų darbo ar kitų su prekyba žmonėmis susijusių nusikalstamų veikų;</w:t>
                </w:r>
              </w:p>
              <w:p>
                <w:pPr>
                  <w:jc w:val="both"/>
                  <w:textAlignment w:val="baseline"/>
                  <w:rPr>
                    <w:szCs w:val="24"/>
                  </w:rPr>
                </w:pPr>
                <w:r>
                  <w:rPr>
                    <w:szCs w:val="24"/>
                  </w:rPr>
                  <w:t>7.3.12.8. dėl netinkamai vykdytų įsipareigojimų, susijusių su jam skirta ES finansine parama, ir dėl to įsipareigojimai buvo nutraukti anksčiau laiko ar iš jo buvo pareikalauta atlyginti nuostolius ar buvo pritaikytos kitos sankcijos;</w:t>
                </w:r>
              </w:p>
              <w:p>
                <w:pPr>
                  <w:jc w:val="both"/>
                  <w:textAlignment w:val="baseline"/>
                  <w:rPr>
                    <w:szCs w:val="24"/>
                  </w:rPr>
                </w:pPr>
                <w:r>
                  <w:rPr>
                    <w:szCs w:val="24"/>
                  </w:rPr>
                  <w:t>7.3.12.9.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rPr>
                    <w:szCs w:val="24"/>
                  </w:rPr>
                </w:pPr>
                <w:r>
                  <w:rPr>
                    <w:szCs w:val="24"/>
                  </w:rPr>
                  <w:t>7.3.12.10.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tabs>
                    <w:tab w:val="left" w:pos="1701"/>
                  </w:tabs>
                  <w:jc w:val="both"/>
                </w:pPr>
                <w:r>
                  <w:t>7.3.12.11.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rPr>
                    <w:szCs w:val="24"/>
                  </w:rPr>
                </w:pPr>
                <w:r>
                  <w:t>7.3.13. „Paskolos gavėjas nepalaiko verslo santykių su juridiniais asmenimis, registruotais teritorijose, kurios pagal savo jurisdikciją nebendradarbiauja su Europos</w:t>
                </w:r>
                <w:r>
                  <w:rPr>
                    <w:szCs w:val="24"/>
                  </w:rPr>
                  <w:t xml:space="preserve"> Sąjunga tarptautiniu mastu suderintų mokesčių taikymo srityje, taip pat nevykdo arba neketina vykdyti sandorių su tikslinėse teritorijose registruotais juridiniais asmenimis (tikslinių teritorijų sąrašas patvirtintas Lietuvos Respublikos finansų ministro 2001 m. gruodžio 22 d. įsakymu Nr. 344 „Dėl tikslinių teritorijų sąrašo patvirtinimo.“.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8.1. Pagal Priemonę Paskolos lėšomis gali būti finansuojamos šios Projekto išlaidos:</w:t>
                </w:r>
                <w:r>
                  <w:t xml:space="preserve"> </w:t>
                </w:r>
              </w:p>
              <w:p>
                <w:pPr>
                  <w:jc w:val="both"/>
                  <w:rPr>
                    <w:rFonts w:eastAsia="Calibri"/>
                  </w:rPr>
                </w:pPr>
                <w:r>
                  <w:rPr>
                    <w:rFonts w:eastAsia="Calibri"/>
                  </w:rPr>
                  <w:t>8.1.1. Pasirengimo elektrinės statybai ir prijungimo dokumentacijos parengimas (techninio projekto parengimas, statybą leidžiančio dokumento išdavimas ir kita);</w:t>
                </w:r>
              </w:p>
              <w:p>
                <w:pPr>
                  <w:tabs>
                    <w:tab w:val="left" w:pos="0"/>
                  </w:tabs>
                  <w:jc w:val="both"/>
                  <w:rPr>
                    <w:rFonts w:eastAsia="Calibri"/>
                    <w:szCs w:val="24"/>
                  </w:rPr>
                </w:pPr>
                <w:r>
                  <w:rPr>
                    <w:rFonts w:eastAsia="Calibri"/>
                    <w:szCs w:val="24"/>
                  </w:rPr>
                  <w:t>8.1.2. Privažiavimo kelių iki sklypo, kuriame statoma saulės ir/ar vėjo elektrinė, statybos išlaidos, kai jos sudaro ne daugiau nei 10 proc. visų tinkamų finansuoti išlaidų vertės;</w:t>
                </w:r>
              </w:p>
              <w:p>
                <w:pPr>
                  <w:tabs>
                    <w:tab w:val="left" w:pos="0"/>
                  </w:tabs>
                  <w:jc w:val="both"/>
                </w:pPr>
                <w:r>
                  <w:t>8.1.3. žemės sklypo sutvarkymas, infrastruktūros ir inžinerinių tinklų bei sistemų sklype įrengimas ir (ar) sutvarkymas ir apsaugos įrengimo darbai (įskaitant sklypo aptvėrimo, apšvietimo išlaidas) (jei saulės ir (ar) vėjo elektrinė statoma ant žemės);</w:t>
                </w:r>
              </w:p>
              <w:p>
                <w:pPr>
                  <w:tabs>
                    <w:tab w:val="left" w:pos="0"/>
                  </w:tabs>
                  <w:jc w:val="both"/>
                </w:pPr>
                <w:r>
                  <w:t xml:space="preserve">8.1.4. saulės ir (ar) vėjo elektrinės ir reikalinga įsigyti susijusi elektrotechninė įranga, konstrukcijos, kabeliai bei susiję montavimo (derinimo) darbai ir kiti susiję saulės ir (ar) vėjo elektrinės statybos darbai pagal sudarytas </w:t>
                </w:r>
                <w:r>
                  <w:rPr>
                    <w:rFonts w:eastAsia="Calibri"/>
                    <w:szCs w:val="24"/>
                  </w:rPr>
                  <w:t>turto įsigijimo, prekių tiekimo ir (ar) paslaugų atlikimo, rangos sutartis</w:t>
                </w:r>
                <w:r>
                  <w:t xml:space="preserve">; </w:t>
                </w:r>
              </w:p>
              <w:p>
                <w:pPr>
                  <w:tabs>
                    <w:tab w:val="left" w:pos="0"/>
                  </w:tabs>
                  <w:jc w:val="both"/>
                </w:pPr>
                <w:r>
                  <w:t xml:space="preserve">8.1.5. elektros jungties (oro linijos/kabelio) tiesimo  darbai iki saulės ir (ar) vėjo elektrinės prijungimo vietos; </w:t>
                </w:r>
              </w:p>
              <w:p>
                <w:pPr>
                  <w:jc w:val="both"/>
                </w:pPr>
                <w:r>
                  <w:t>8.1.6. elektrinės prijungimo prie elektros energijos skirstomojo ir (arba) perdavimo tinklo mokestis pagal prisijungimo sąlygas;</w:t>
                </w:r>
              </w:p>
              <w:p>
                <w:pPr>
                  <w:jc w:val="both"/>
                </w:pPr>
                <w:r>
                  <w:t>8.1.7. pastatytos, bet iki perleidimo pareiškėjo nuosavybėn neeksploatuotos elektrinės įsigijimo investicinės išlaidos;</w:t>
                </w:r>
              </w:p>
              <w:p>
                <w:pPr>
                  <w:jc w:val="both"/>
                </w:pPr>
                <w:r>
                  <w:t>8.1.8. pastatytos ir neeksploatuotos elektrinės dalies įsigijimo investicinės išlaidos.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išlaidos, kurios buvo anksčiau finansuotos (apmokėtos) iš Europos Sąjungos fondų, kitų Europos Sąjungos finansinės paramos priemonių ir (ar) kitos tarptautinės paramos ar nacionalinių lėšų;</w:t>
                </w:r>
              </w:p>
              <w:p>
                <w:pPr>
                  <w:jc w:val="both"/>
                  <w:rPr>
                    <w:rFonts w:eastAsia="Calibri"/>
                  </w:rPr>
                </w:pPr>
                <w:r>
                  <w:rPr>
                    <w:rFonts w:eastAsia="Calibri"/>
                  </w:rPr>
                  <w:t>9.1.2. paraiškos Paskolai bei Projekto aprašymo parengimo išlaidos;</w:t>
                </w:r>
              </w:p>
              <w:p>
                <w:pPr>
                  <w:jc w:val="both"/>
                  <w:rPr>
                    <w:rFonts w:eastAsia="Calibri"/>
                  </w:rPr>
                </w:pPr>
                <w:r>
                  <w:rPr>
                    <w:rFonts w:eastAsia="Calibri"/>
                  </w:rPr>
                  <w:t>9.1.3. </w:t>
                </w:r>
                <w:r>
                  <w:rPr>
                    <w:color w:val="000000"/>
                  </w:rPr>
                  <w:t xml:space="preserve"> žemės </w:t>
                </w:r>
                <w:r>
                  <w:rPr>
                    <w:rFonts w:eastAsia="Calibri"/>
                  </w:rPr>
                  <w:t>įsigijimo ir (ar) nuomos ir su tuo susijusios išlaidos;</w:t>
                </w:r>
              </w:p>
              <w:p>
                <w:pPr>
                  <w:jc w:val="both"/>
                  <w:rPr>
                    <w:rFonts w:eastAsia="Calibri"/>
                  </w:rPr>
                </w:pPr>
                <w:r>
                  <w:rPr>
                    <w:rFonts w:eastAsia="Calibri"/>
                  </w:rPr>
                  <w:t>9.1.4. Projektui, kurio investicijos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 xml:space="preserve">9.1.5. atsiskaitymams su Rusijos Federacijoje ir Baltarusijos Respublikoje registruotais fiziniais ir (ar) juridiniais asmenimis.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Parlemento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sudarant paskolos sutartį tarp Paskolos davėjo ir Paskolos gavėjo (toliau – Paskolos sutartis); </w:t>
                </w:r>
              </w:p>
              <w:p>
                <w:pPr>
                  <w:suppressAutoHyphens/>
                  <w:jc w:val="both"/>
                  <w:textAlignment w:val="center"/>
                  <w:rPr>
                    <w:color w:val="000000"/>
                  </w:rPr>
                </w:pPr>
                <w:r>
                  <w:rPr>
                    <w:color w:val="000000"/>
                  </w:rPr>
                  <w:t>11.1.1. Viešajam juridiniam asmeniui gali būti suteiktas iki 100 proc. finansavimas nuo tinkamų išlaidų sumos.</w:t>
                </w:r>
                <w:r>
                  <w:rPr>
                    <w:szCs w:val="24"/>
                  </w:rPr>
                  <w:t xml:space="preserve"> PVM yra tinkamas finansuoti, jeigu pagal atitinkamam </w:t>
                </w:r>
                <w:r>
                  <w:rPr>
                    <w:color w:val="000000"/>
                  </w:rPr>
                  <w:t xml:space="preserve">viešajam juridiniam asmeniui </w:t>
                </w:r>
                <w:r>
                  <w:rPr>
                    <w:szCs w:val="24"/>
                  </w:rPr>
                  <w:t>taikomus teisės aktus jo negalima įtraukti į PVM atskaitą;</w:t>
                </w:r>
              </w:p>
              <w:p>
                <w:pPr>
                  <w:suppressAutoHyphens/>
                  <w:jc w:val="both"/>
                  <w:textAlignment w:val="center"/>
                  <w:rPr>
                    <w:color w:val="000000"/>
                  </w:rPr>
                </w:pPr>
                <w:r>
                  <w:rPr>
                    <w:color w:val="000000"/>
                    <w:szCs w:val="24"/>
                  </w:rPr>
                  <w:t>11.1.2. Privatiems juridiniams</w:t>
                </w:r>
                <w:r>
                  <w:rPr>
                    <w:color w:val="000000"/>
                  </w:rPr>
                  <w:t xml:space="preserve"> asmenims gali būti suteiktas iki 80 proc. finansavimas</w:t>
                </w:r>
                <w:r>
                  <w:t xml:space="preserve"> </w:t>
                </w:r>
                <w:r>
                  <w:rPr>
                    <w:color w:val="000000"/>
                  </w:rPr>
                  <w:t>nuo tinkamų išlaidų sumos be PVM;</w:t>
                </w:r>
              </w:p>
              <w:p>
                <w:pPr>
                  <w:suppressAutoHyphens/>
                  <w:jc w:val="both"/>
                  <w:textAlignment w:val="center"/>
                  <w:rPr>
                    <w:color w:val="000000"/>
                  </w:rPr>
                </w:pPr>
                <w:r>
                  <w:rPr>
                    <w:color w:val="000000"/>
                  </w:rPr>
                  <w:t>11.2. Paskolos laikotarpis:</w:t>
                </w:r>
              </w:p>
              <w:p>
                <w:pPr>
                  <w:jc w:val="both"/>
                  <w:rPr>
                    <w:color w:val="000000"/>
                  </w:rPr>
                </w:pPr>
                <w:r>
                  <w:rPr>
                    <w:color w:val="000000"/>
                  </w:rPr>
                  <w:t>11.2.1. ne ilgiau nei 15 metų imtinai, kai Paskolos gavėjas siekia statyti ir (ar) įsirengti, ir (ar) įsigyti saulės elektrinę;</w:t>
                </w:r>
              </w:p>
              <w:p>
                <w:pPr>
                  <w:jc w:val="both"/>
                  <w:rPr>
                    <w:color w:val="000000"/>
                  </w:rPr>
                </w:pPr>
                <w:r>
                  <w:rPr>
                    <w:color w:val="000000"/>
                  </w:rPr>
                  <w:t>11.2.2. ne ilgiau nei 20 metų imtinai, kai Paskolos gavėjas siekia statyti ir (ar) įsirengti, ir (ar) įsigyti vėjo ar hibridinę (kurios viena dalių – vėjo, o kita - saulės) elektrinę.</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jc w:val="both"/>
                  <w:rPr>
                    <w:color w:val="000000"/>
                  </w:rPr>
                </w:pPr>
                <w:r>
                  <w:rPr>
                    <w:color w:val="000000"/>
                  </w:rPr>
                  <w:t xml:space="preserve">11.4. </w:t>
                </w:r>
                <w:r>
                  <w:t>Metinė palūkanų norma nustatoma kaip kintamos palūkanos: 1 proc. + 6 mėn. EURIBOR (esant neigiamai 6 mėn. EURIBOR reikšmei, laikoma, kad 6 mėn. EURIBOR reikšmė lygi 0 proc. Visais atvejais metinė palūkanų norma negali viršyti 3 proc.</w:t>
                </w:r>
                <w:r>
                  <w:rPr>
                    <w:color w:val="000000"/>
                  </w:rPr>
                  <w:t xml:space="preserve">;  </w:t>
                </w:r>
              </w:p>
              <w:p>
                <w:pPr>
                  <w:jc w:val="both"/>
                  <w:rPr>
                    <w:color w:val="000000"/>
                    <w:szCs w:val="24"/>
                  </w:rPr>
                </w:pPr>
                <w:r>
                  <w:rPr>
                    <w:color w:val="000000"/>
                    <w:szCs w:val="24"/>
                  </w:rPr>
                  <w:t>11.5. Paskolos panaudojimo laikotarpis:</w:t>
                </w:r>
              </w:p>
              <w:p>
                <w:pPr>
                  <w:jc w:val="both"/>
                  <w:rPr>
                    <w:color w:val="000000"/>
                    <w:szCs w:val="24"/>
                  </w:rPr>
                </w:pPr>
                <w:r>
                  <w:rPr>
                    <w:color w:val="000000"/>
                    <w:szCs w:val="24"/>
                  </w:rPr>
                  <w:t>11.5.1. iki 36 mėnesių imtinai, pradedant skaičiuoti nuo Paskolos sutarties sudarymo, kai Paskolos gavėjas siekia statyti ir (ar) įsirengti ir (ar) įsigyti saulės elektrinę;</w:t>
                </w:r>
              </w:p>
              <w:p>
                <w:pPr>
                  <w:jc w:val="both"/>
                  <w:rPr>
                    <w:color w:val="000000"/>
                    <w:szCs w:val="24"/>
                  </w:rPr>
                </w:pPr>
                <w:r>
                  <w:rPr>
                    <w:color w:val="000000"/>
                    <w:szCs w:val="24"/>
                  </w:rPr>
                  <w:t>11.5.2. iki 48 mėnesių imtinai, pradedant skaičiuoti nuo Paskolos sutarties sudarymo, kai Paskolos gavėjas siekia statyti ir (ar) įsirengti ir (ar) įsigyti vėjo elektrinę ar hibridinę (kurios viena dalių – vėjo, o kita – saulės) elektrinę.</w:t>
                </w:r>
              </w:p>
              <w:p>
                <w:pPr>
                  <w:jc w:val="both"/>
                  <w:rPr>
                    <w:color w:val="000000"/>
                  </w:rPr>
                </w:pPr>
                <w:r>
                  <w:rPr>
                    <w:color w:val="000000"/>
                  </w:rPr>
                  <w:t xml:space="preserve">11.6. Paskolos panaudojimo laikotarpis gali būti pratęstas Paskolos gavėjo prašymu Paskolos gavėjo ir Paskolos davėjo rašytiniu  susitarimu; </w:t>
                </w:r>
              </w:p>
              <w:p>
                <w:pPr>
                  <w:spacing w:line="259" w:lineRule="auto"/>
                  <w:jc w:val="both"/>
                  <w:rPr>
                    <w:color w:val="000000"/>
                    <w:szCs w:val="24"/>
                  </w:rPr>
                </w:pPr>
                <w:r>
                  <w:rPr>
                    <w:color w:val="000000"/>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szCs w:val="24"/>
                  </w:rPr>
                </w:pPr>
                <w:r>
                  <w:rPr>
                    <w:szCs w:val="24"/>
                  </w:rPr>
                  <w:t>11.9. Jei nustatoma, kad Paskolos gavėjas pateikė neteisingą informaciją ir (ar) dokumentus ir (ar) nuslėpė informaciją, turinčią reikšmės Paskolos suteikimui, Paskolos gavėjas privalo grąžinti visą neteisėtai gautą valstybės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rPr>
                </w:pPr>
                <w:r>
                  <w:rPr>
                    <w:color w:val="000000"/>
                  </w:rPr>
                  <w:t xml:space="preserve">11.10. Išsami Priemonės įgyvendinimo tvarka ir procedūros  nustatomos Priemonės įgyvendinimo sąlygų aprašyme, tvirtinamame INVEGA generalinio direktoriaus įsakymu.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Privačiajam juridiniam asmeniui Paskola gali būti suteikta tik tuo atveju, jei bent 20 proc. Projekto tinkamų finansuoti išlaidų dalis ir visos netinkamomis pripažintos išlaidos yra finansuojamos Paskolos gavėjo nuosavomis ar (ir) skolintomis lėšomis.</w:t>
                </w:r>
                <w:r>
                  <w:rPr>
                    <w:szCs w:val="24"/>
                    <w:lang w:eastAsia="ar-SA"/>
                  </w:rPr>
                  <w:t xml:space="preserve"> Paskolos gavėjo</w:t>
                </w:r>
                <w:r>
                  <w:rPr>
                    <w:b/>
                    <w:bCs/>
                    <w:szCs w:val="24"/>
                    <w:lang w:eastAsia="ar-SA"/>
                  </w:rPr>
                  <w:t xml:space="preserve"> </w:t>
                </w:r>
                <w:r>
                  <w:rPr>
                    <w:szCs w:val="24"/>
                    <w:lang w:eastAsia="ar-SA"/>
                  </w:rPr>
                  <w:t>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Vienam Paskolos gavėjui ar įmonių grupei (jei Paskolos gavėjas priklauso įmonių grupei) gali būti suteikiamos kelios Paskolos, tačiau bendra Paskolų suma negali būti didesnė kaip</w:t>
                </w:r>
                <w:r>
                  <w:rPr>
                    <w:i/>
                    <w:iCs/>
                    <w:szCs w:val="24"/>
                  </w:rPr>
                  <w:t xml:space="preserve"> </w:t>
                </w:r>
                <w:r>
                  <w:rPr>
                    <w:color w:val="000000"/>
                    <w:szCs w:val="24"/>
                    <w:lang w:eastAsia="lt-LT"/>
                  </w:rPr>
                  <w:t xml:space="preserve">100 000 000 (šimtas milijonų) Eur. Suteikiamos Paskolos dydis Paskolos gavėjui ar įmonių grupei (jei Paskolos gavėjas priklauso įmonių grupei) turi neviršyti galimo suteikti valstybės pagalbos dydžio vienam Projektui, kaip nurodyta Reglamento (ES) Nr. 651/2014 4 straipsnio 1 dalies s) punkte.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apskaičiavimas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INVEGA, atsižvelgdama į Europos Komisijos komunikatą dėl orientacinių ir  diskonto normų nustatymo metodo pakeitimo (2008/C 14/02)9;</w:t>
                </w:r>
              </w:p>
              <w:p>
                <w:pPr>
                  <w:jc w:val="both"/>
                  <w:rPr>
                    <w:color w:val="000000"/>
                  </w:rPr>
                </w:pPr>
                <w:r>
                  <w:rPr>
                    <w:color w:val="000000"/>
                  </w:rPr>
                  <w:t>14.2. Paskolos gavėjui apskaičiuota valstybės pagalbos suma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14.5. Jeigu BSE viršija didžiausią galimą suteikti valstybės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Pagal Schemą teikiama valstybės pagalba sumuojama, kaip tai nurodyta Reglamento (ES) Nr. 651/2014 8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16.1. Paskolos davėjas turi užtikrinti, kad teikiamos Paskolos atitiktų Reglamento (ES) Nr. 651/2014,ir Priemonės schemos nuostatas</w:t>
                </w:r>
              </w:p>
              <w:p>
                <w:pPr>
                  <w:suppressAutoHyphens/>
                  <w:jc w:val="both"/>
                  <w:textAlignment w:val="center"/>
                  <w:rPr>
                    <w:color w:val="000000"/>
                    <w:szCs w:val="24"/>
                    <w:lang w:eastAsia="lt-LT"/>
                  </w:rPr>
                </w:pPr>
                <w:r>
                  <w:rPr>
                    <w:szCs w:val="24"/>
                  </w:rPr>
                  <w:t>16.2. Paskolos davėjas turi skelbti duomenis apie suteiktą pagalbą Registre.</w:t>
                </w:r>
                <w:r>
                  <w:rPr>
                    <w:color w:val="000000"/>
                    <w:szCs w:val="24"/>
                    <w:lang w:eastAsia="lt-LT"/>
                  </w:rPr>
                  <w:t xml:space="preserve"> </w:t>
                </w:r>
              </w:p>
              <w:p>
                <w:pPr>
                  <w:suppressAutoHyphens/>
                  <w:jc w:val="both"/>
                  <w:textAlignment w:val="center"/>
                  <w:rPr>
                    <w:color w:val="000000"/>
                    <w:szCs w:val="24"/>
                    <w:lang w:eastAsia="lt-LT"/>
                  </w:rPr>
                </w:pPr>
                <w:r>
                  <w:rPr>
                    <w:color w:val="000000"/>
                    <w:szCs w:val="24"/>
                    <w:lang w:eastAsia="lt-LT"/>
                  </w:rPr>
                  <w:t>16.3.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p>
                <w:pPr>
                  <w:suppressAutoHyphens/>
                  <w:jc w:val="both"/>
                  <w:textAlignment w:val="center"/>
                  <w:rPr>
                    <w:szCs w:val="24"/>
                  </w:rPr>
                </w:pP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Lietuvos Respublikos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INVEGA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INVEGOS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INVEGA interneto svetainėje (https://invega.lt/).</w:t>
                </w:r>
              </w:p>
            </w:tc>
          </w:tr>
        </w:tbl>
        <w:p>
          <w:pPr>
            <w:widowControl w:val="0"/>
            <w:jc w:val="center"/>
            <w:rPr>
              <w:color w:val="000000"/>
            </w:rPr>
          </w:pPr>
        </w:p>
        <w:p>
          <w:pPr>
            <w:widowControl w:val="0"/>
            <w:jc w:val="center"/>
            <w:rPr>
              <w:szCs w:val="24"/>
            </w:rP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8616E5"/>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header" Target="header10.xml"/>
  <Relationship Id="rId2" Type="http://schemas.openxmlformats.org/officeDocument/2006/relationships/customXml" Target="../customXml/item2.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ff5f745cfb0a4db9ac2aa109d2b9b09c"/>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2.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4.xml><?xml version="1.0" encoding="utf-8"?>
<ds:datastoreItem xmlns:ds="http://schemas.openxmlformats.org/officeDocument/2006/customXml" ds:itemID="{B8DE4F4F-7FD1-4B90-A920-5D015D949688}">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4E7D028B-3754-40D9-9EA0-DB4F37CD73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19</Pages>
  <Words>33496</Words>
  <Characters>19093</Characters>
  <Application>Microsoft Office Word</Application>
  <DocSecurity>0</DocSecurity>
  <Lines>159</Lines>
  <Paragraphs>104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52485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JUOSPONIENĖ Karolina</lastModifiedBy>
  <lastPrinted>2021-12-24T00:52:00Z</lastPrinted>
  <dcterms:modified xsi:type="dcterms:W3CDTF">2024-06-21T11:13:00Z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