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2025-08-09 iki 2026-01-28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b547878be229403293d5082389e867f6"/>
        <w:lock w:val="sdtLocked"/>
        <w:richText/>
      </w:sdtPr>
      <w:sdtContent>
        <w:p>
          <w:pPr>
            <w:keepLines/>
            <w:tabs>
              <w:tab w:val="left" w:pos="1304"/>
              <w:tab w:val="left" w:pos="1457"/>
              <w:tab w:val="left" w:pos="1604"/>
              <w:tab w:val="left" w:pos="1757"/>
            </w:tabs>
            <w:suppressAutoHyphens/>
            <w:ind w:left="5103"/>
            <w:textAlignment w:val="center"/>
            <w:sectPr>
              <w:headerReference w:type="default" r:id="rId16"/>
              <w:pgSz w:w="11906" w:h="16838"/>
              <w:pgMar w:top="1701"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pPr>
            <w:keepLines/>
            <w:tabs>
              <w:tab w:val="left" w:pos="1304"/>
              <w:tab w:val="left" w:pos="1457"/>
              <w:tab w:val="left" w:pos="1604"/>
              <w:tab w:val="left" w:pos="1757"/>
            </w:tabs>
            <w:suppressAutoHyphens/>
            <w:ind w:left="5103"/>
            <w:textAlignment w:val="center"/>
            <w:rPr>
              <w:color w:val="000000"/>
            </w:rPr>
          </w:pPr>
          <w:r>
            <w:rPr>
              <w:color w:val="000000"/>
            </w:rPr>
            <w:t>redakcija)</w:t>
          </w:r>
        </w:p>
        <w:p>
          <w:pPr>
            <w:suppressAutoHyphens/>
            <w:jc w:val="center"/>
            <w:textAlignment w:val="center"/>
            <w:rPr>
              <w:b/>
              <w:bCs/>
              <w:szCs w:val="24"/>
            </w:rPr>
          </w:pPr>
        </w:p>
        <w:p>
          <w:pPr>
            <w:suppressAutoHyphens/>
            <w:jc w:val="center"/>
            <w:textAlignment w:val="center"/>
            <w:rPr>
              <w:b/>
              <w:bCs/>
              <w:szCs w:val="24"/>
            </w:rPr>
          </w:pPr>
          <w:sdt>
            <w:sdtPr>
              <w:alias w:val="Pavadinimas"/>
              <w:tag w:val="title_b547878be229403293d5082389e867f6"/>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p>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 Reglamentas (ES) Nr. 651/2014). Teikiant pagalbą pagal Reglamento (ES) Nr. 651/2014 41 straipsnį turi būti užtikrinta atitiktis minėto straipsnio 1 daliai (investicinė pagalba teikiama atsinaujinančiųjų išteklių energijos iš atsinaujinančiųjų energijos išteklių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intensyvumų ir laikomasi visų Reglamento (ES) Nr. </w:t>
                </w:r>
                <w:r>
                  <w:rPr>
                    <w:color w:val="000000"/>
                    <w:lang w:val="en-US" w:eastAsia="lt-LT"/>
                  </w:rPr>
                  <w:t>651/</w:t>
                </w:r>
                <w:r>
                  <w:rPr>
                    <w:color w:val="000000"/>
                    <w:lang w:eastAsia="lt-LT"/>
                  </w:rPr>
                  <w:t xml:space="preserve">2014 I skyriaus reikalavimų. </w:t>
                </w:r>
              </w:p>
              <w:p>
                <w:pPr>
                  <w:suppressAutoHyphens/>
                  <w:jc w:val="both"/>
                  <w:textAlignment w:val="center"/>
                  <w:rPr>
                    <w:color w:val="000000"/>
                    <w:lang w:eastAsia="lt-LT"/>
                  </w:rPr>
                </w:pP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Ekonomikos gaivinimo ir atsparumo didinimo plano „Naujos kartos Lietuva“ įgyvendinimo“.</w:t>
                </w:r>
              </w:p>
              <w:p>
                <w:pPr>
                  <w:suppressAutoHyphens/>
                  <w:jc w:val="both"/>
                  <w:textAlignment w:val="center"/>
                </w:pPr>
                <w:r>
                  <w:t>1.5. Valstybės pagalba taip pat gali būti teikiama pagal 2023 m. gruodžio 13 d. Komisijos reglamentą (ES) Nr. 2023/2831 dėl Sutarties dėl Europos Sąjungos veikimo 107 ir 108 straipsnių taikymo de minimis pagalbai (toliau – De minimis reglamentas).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„Privačių ir viešųjų juridinių asmenų investicijos į elektros energijos iš AEI gamybos įrenginius“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2.1. Iki 549 130 737 (penki šimtai keturiasdešimt devyni milijonai šimtas trisdešimt tūkstančių septyni šimtai trisdešimt septyni) eurų REPowerEU lėšų ir iki 22 562 000 (dvidešimt du milijonai penki šimtai šešiasdešimt du tūkstančiai) eurų Lietuvos Respublikos valstybės biudžeto lėšų.</w:t>
                </w:r>
              </w:p>
              <w:p>
                <w:pPr>
                  <w:suppressAutoHyphens/>
                  <w:ind w:firstLine="62"/>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Reglamento (ES) Nr. 651/2014 1 straipsnio 2 dalies a punkte nustatytų ribų.</w:t>
                </w:r>
              </w:p>
              <w:p>
                <w:pPr>
                  <w:suppressAutoHyphens/>
                  <w:ind w:firstLine="62"/>
                  <w:jc w:val="both"/>
                  <w:textAlignment w:val="center"/>
                  <w:rPr>
                    <w:color w:val="000000"/>
                    <w:lang w:eastAsia="lt-LT"/>
                  </w:rPr>
                </w:pPr>
                <w:r>
                  <w:rPr>
                    <w:color w:val="000000"/>
                    <w:lang w:eastAsia="lt-LT"/>
                  </w:rPr>
                  <w:t xml:space="preserve">2.3.  Bendra paskolų suma paskolų gavėjams, nurodytiems Schemos 7.1.3 papunktyje, negali viršyti 300 000 000 (trijų šimtų penkiasdešimt milijonų) eurų.</w:t>
                </w:r>
              </w:p>
              <w:p>
                <w:pPr>
                  <w:suppressAutoHyphens/>
                  <w:jc w:val="both"/>
                  <w:textAlignment w:val="center"/>
                  <w:rPr>
                    <w:color w:val="000000"/>
                    <w:lang w:eastAsia="lt-LT"/>
                  </w:rPr>
                </w:pPr>
                <w:r>
                  <w:rPr>
                    <w:color w:val="000000"/>
                    <w:lang w:eastAsia="lt-LT"/>
                  </w:rPr>
                  <w:t>2.4. Bendra paskolų suma, skirta kaupimo įrenginiams, jungiamiems prie elektros tinklo, negali viršyti 250 000 000 (dviejų šimtų penkiasdešimt milijonų) eurų.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Schemos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pPr>
                <w:r>
                  <w:rPr>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highlight w:val="yellow"/>
                  </w:rPr>
                </w:pPr>
                <w:r>
                  <w:rPr>
                    <w:rFonts w:eastAsia="Calibri"/>
                  </w:rPr>
                  <w:t>Priemonę įgyvendina ir paskolas teikia UAB ILTE (toliau – ILTE) kaip Energijos efektyvumo fondo (toliau – ENEF) valdytoja, paskirta vadovaujantis ENEF sutartimi, ir kuri Priemonę įgyvendina teikdama paskolas paskolų gavėjams</w:t>
                </w:r>
                <w: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 xml:space="preserve">Schemoje vartojamos sąvokos suprantamos taip, kaip jos apibrėžtos Reglamento </w:t>
                </w:r>
                <w:hyperlink r:id="rId17" w:tgtFrame="_blank" w:history="1">
                  <w:r>
                    <w:rPr>
                      <w:rStyle w:val="Hipersaitas"/>
                      <w:rFonts w:eastAsia="Calibri"/>
                    </w:rPr>
                    <w:t>(ES) Nr. 651/2014</w:t>
                  </w:r>
                </w:hyperlink>
                <w:r>
                  <w:rPr>
                    <w:rFonts w:eastAsia="Calibri"/>
                  </w:rPr>
                  <w:t xml:space="preserve"> 2 straipsnyje, </w:t>
                </w:r>
                <w:r>
                  <w:rPr>
                    <w:rFonts w:eastAsia="Calibri"/>
                    <w:i/>
                    <w:iCs/>
                  </w:rPr>
                  <w:t>De minimis</w:t>
                </w:r>
                <w:r>
                  <w:rPr>
                    <w:rFonts w:eastAsia="Calibri"/>
                  </w:rPr>
                  <w:t> reglamento 2 straipsnyje, Lietuvos Respublikos nacionalinio plėtros banko įstatyme, Lietuvos Respublikos smulkiojo ir vidutinio verslo plėtros įstatyme (toliau – SVV įstatymas), Lietuvos Respublikos įmonių ir įmonių grupių  atskaitomybės įstatyme, Lietuvos Respublikos konkurencijos įstatyme,  Lietuvos Respublikos elektros energetikos įstatyme, Lietuvos Respublikos atsinaujinančių išteklių energetikos įstatyme, Lietuvos Respublikos statybos įstatyme, Lietuvos Respublikos žemės įstatyme, Lietuvos Respublikos valstybės ir savivaldybių įmonių įstatyme, Lietuvos Respublikos viešųjų įstaigų įstatyme ir kita.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6.1. Saulės, vėjo, hibridinių elektrinių įrengimas, statyba arba įsigijimas (taip pat ir įgyvendinant projektą jungtinės veiklos sutarčių pagrindu).</w:t>
                </w:r>
              </w:p>
              <w:p>
                <w:pPr>
                  <w:jc w:val="both"/>
                  <w:rPr>
                    <w:color w:val="000000"/>
                  </w:rPr>
                </w:pPr>
                <w:r>
                  <w:rPr>
                    <w:color w:val="000000"/>
                  </w:rPr>
                  <w:t xml:space="preserve">6.2. Elektros energijos kaupimo įrenginio (toliau – kaupimo įrenginys) įsigijimas ir įrengimas, kai kaupimo įrenginys prijungiamas prie saulės ir (ar) vėjo elektrinės ir jungiamas tame pačiame prijungimo prie elektros tinklų taške. </w:t>
                </w:r>
              </w:p>
              <w:p>
                <w:pPr>
                  <w:jc w:val="both"/>
                  <w:rPr>
                    <w:color w:val="000000"/>
                  </w:rPr>
                </w:pPr>
                <w:r>
                  <w:rPr>
                    <w:color w:val="000000"/>
                  </w:rPr>
                  <w:t>6.3. Kaupimo įrenginio, kuris jungiamas prie elektros tinklo, įsigijimas ir įrengimas.</w:t>
                </w: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w:t>
                </w:r>
              </w:p>
              <w:p>
                <w:pPr>
                  <w:jc w:val="both"/>
                  <w:rPr>
                    <w:rFonts w:eastAsia="Calibri"/>
                  </w:rPr>
                </w:pPr>
                <w:r>
                  <w:rPr>
                    <w:rFonts w:eastAsia="Calibri"/>
                  </w:rPr>
                  <w:t xml:space="preserve">7.1.1.  gaminantiems vartotojams, arba asmenims, siekiantiems tapti gaminančiais vartotojais;</w:t>
                </w:r>
              </w:p>
              <w:p>
                <w:pPr>
                  <w:jc w:val="both"/>
                  <w:rPr>
                    <w:rFonts w:eastAsia="Calibri"/>
                  </w:rPr>
                </w:pPr>
                <w:r>
                  <w:rPr>
                    <w:rFonts w:eastAsia="Calibri"/>
                  </w:rPr>
                  <w:t xml:space="preserve">7.1.2. elektros energijos gamintojams, numatantiems elektros energiją gaminti ir (ar) kaupti elektros energijos iš atsinaujinančių išteklių gamybos įrenginiuose, kurių leistina generuoti galia lygi nuliui ir  pagamintą elektros energiją vartoti savo reikmėms ir ūkio poreikiams tenkinti;</w:t>
                </w:r>
              </w:p>
              <w:p>
                <w:pPr>
                  <w:jc w:val="both"/>
                  <w:rPr>
                    <w:rFonts w:eastAsia="Calibri"/>
                  </w:rPr>
                </w:pPr>
                <w:r>
                  <w:rPr>
                    <w:rFonts w:eastAsia="Calibri"/>
                  </w:rPr>
                  <w:t>7.1.3. juridiniams asmenims, statantiems, įsigyjantiems saulės ir (ar) vėjo elektrines Atsinaujinančių išteklių energetikos įstatymo 20</w:t>
                </w:r>
                <w:r>
                  <w:rPr>
                    <w:rFonts w:eastAsia="Calibri"/>
                    <w:vertAlign w:val="superscript"/>
                  </w:rPr>
                  <w:t>1</w:t>
                </w:r>
                <w:r>
                  <w:rPr>
                    <w:rFonts w:eastAsia="Calibri"/>
                  </w:rPr>
                  <w:t xml:space="preserve"> straipsnio 8 dalyje nustatyta tvarka (taip pat ir įgyvendinant projektą jungtinės veiklos sutarčių pagrindu);</w:t>
                </w:r>
              </w:p>
              <w:p>
                <w:pPr>
                  <w:jc w:val="both"/>
                  <w:rPr>
                    <w:rFonts w:eastAsia="Calibri"/>
                  </w:rPr>
                </w:pPr>
                <w:r>
                  <w:rPr>
                    <w:rFonts w:eastAsia="Calibri"/>
                  </w:rPr>
                  <w:t>7.1.4. įmonių grupės įmonei, statančiai ir (ar) įsigyjančiai saulės, vėjo ar hibridines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pPr>
                  <w:jc w:val="both"/>
                  <w:rPr>
                    <w:rFonts w:eastAsia="Calibri"/>
                  </w:rPr>
                </w:pPr>
                <w:r>
                  <w:rPr>
                    <w:rFonts w:eastAsia="Calibri"/>
                  </w:rPr>
                  <w:t>7.1.5. juridiniams asmenims, įrengiantiems kaupimo įrenginius prie saulės, vėjo ar hibridinių elektrinių tame pačiame prijungimo prie elektros tinklų taške arba jungiant kaupimo įrenginį tiesiogiai prie elektros tinklo.</w:t>
                </w:r>
              </w:p>
              <w:p>
                <w:pPr>
                  <w:jc w:val="both"/>
                  <w:rPr>
                    <w:rFonts w:eastAsia="Calibri"/>
                  </w:rPr>
                </w:pPr>
                <w:r>
                  <w:rPr>
                    <w:rFonts w:eastAsia="Calibri"/>
                  </w:rPr>
                  <w:t>7.2. Paskolos gavėjai yra:</w:t>
                </w:r>
              </w:p>
              <w:p>
                <w:pPr>
                  <w:jc w:val="both"/>
                  <w:rPr>
                    <w:rFonts w:eastAsia="Calibri"/>
                  </w:rPr>
                </w:pPr>
                <w:r>
                  <w:rPr>
                    <w:rFonts w:eastAsia="Calibri"/>
                  </w:rPr>
                  <w:t>7.2.1. Privatūs juridiniai asmenys:</w:t>
                </w:r>
              </w:p>
              <w:p>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7.2.1.2. valstybės valdomos bendrovės;</w:t>
                </w:r>
              </w:p>
              <w:p>
                <w:pPr>
                  <w:jc w:val="both"/>
                  <w:rPr>
                    <w:rFonts w:eastAsia="Calibri"/>
                  </w:rPr>
                </w:pPr>
                <w:r>
                  <w:rPr>
                    <w:rFonts w:eastAsia="Calibri"/>
                  </w:rPr>
                  <w:t>7.2.1.3. savivaldybės valdomos bendrovės;</w:t>
                </w:r>
              </w:p>
              <w:p>
                <w:pPr>
                  <w:jc w:val="both"/>
                  <w:rPr>
                    <w:rFonts w:eastAsia="Calibri"/>
                  </w:rPr>
                </w:pPr>
                <w:r>
                  <w:rPr>
                    <w:rFonts w:eastAsia="Calibri"/>
                  </w:rPr>
                  <w:t>7.2.1.4. kiti privatūs juridiniai asmenys.</w:t>
                </w:r>
              </w:p>
              <w:p>
                <w:pPr>
                  <w:jc w:val="both"/>
                  <w:rPr>
                    <w:rFonts w:eastAsia="Calibri"/>
                  </w:rPr>
                </w:pPr>
                <w:r>
                  <w:rPr>
                    <w:rFonts w:eastAsia="Calibri"/>
                  </w:rPr>
                  <w:t>7.2.2. viešieji juridiniai asmenys:</w:t>
                </w:r>
              </w:p>
              <w:p>
                <w:pPr>
                  <w:jc w:val="both"/>
                  <w:rPr>
                    <w:rFonts w:eastAsia="Calibri"/>
                  </w:rPr>
                </w:pPr>
                <w:r>
                  <w:rPr>
                    <w:rFonts w:eastAsia="Calibri"/>
                  </w:rPr>
                  <w:t>7.2.2.1. valstybės ir savivaldybės įmonės;</w:t>
                </w:r>
              </w:p>
              <w:p>
                <w:pPr>
                  <w:jc w:val="both"/>
                  <w:rPr>
                    <w:rFonts w:eastAsia="Calibri"/>
                  </w:rPr>
                </w:pPr>
                <w:r>
                  <w:rPr>
                    <w:rFonts w:eastAsia="Calibri"/>
                  </w:rPr>
                  <w:t>7.2.2.2. viešosios įstaigos;</w:t>
                </w:r>
              </w:p>
              <w:p>
                <w:pPr>
                  <w:jc w:val="both"/>
                  <w:rPr>
                    <w:rFonts w:eastAsia="Calibri"/>
                  </w:rPr>
                </w:pPr>
                <w:r>
                  <w:rPr>
                    <w:rFonts w:eastAsia="Calibri"/>
                  </w:rPr>
                  <w:t>7.2.2.3. savivaldybės;</w:t>
                </w:r>
              </w:p>
              <w:p>
                <w:pPr>
                  <w:jc w:val="both"/>
                  <w:rPr>
                    <w:rFonts w:eastAsia="Calibri"/>
                  </w:rPr>
                </w:pPr>
                <w:r>
                  <w:rPr>
                    <w:rFonts w:eastAsia="Calibri"/>
                  </w:rPr>
                  <w:t>7.2.2.4. kiti viešieji juridiniai asmenys, atitinkantys pelno nesiekiantiems asmenims nustatytus kriterijus.</w:t>
                </w:r>
              </w:p>
              <w:p>
                <w:pPr>
                  <w:jc w:val="both"/>
                  <w:rPr>
                    <w:color w:val="000000"/>
                  </w:rPr>
                </w:pPr>
                <w:r>
                  <w:rPr>
                    <w:color w:val="000000"/>
                  </w:rPr>
                  <w:t>7.3. Paskolos neteikiamos įmonėms, vykdančioms veiklą žuvininkystės, akvakultūros sektoriuje.</w:t>
                </w:r>
              </w:p>
              <w:p>
                <w:pPr>
                  <w:suppressAutoHyphens/>
                  <w:jc w:val="both"/>
                  <w:textAlignment w:val="center"/>
                  <w:rPr>
                    <w:lang w:eastAsia="lt-LT"/>
                  </w:rPr>
                </w:pPr>
                <w:r>
                  <w:rPr>
                    <w:color w:val="000000"/>
                    <w:lang w:eastAsia="lt-LT"/>
                  </w:rPr>
                  <w:t xml:space="preserve">7.4. </w:t>
                </w:r>
                <w:r>
                  <w:rPr>
                    <w:lang w:eastAsia="lt-LT"/>
                  </w:rPr>
                  <w:t>Paskolos gavėjas atitinka šiuos reikalavimus:</w:t>
                </w:r>
              </w:p>
              <w:p>
                <w:pPr>
                  <w:jc w:val="both"/>
                  <w:rPr>
                    <w:rFonts w:eastAsia="Calibri"/>
                  </w:rPr>
                </w:pPr>
                <w:r>
                  <w:rPr>
                    <w:spacing w:val="2"/>
                  </w:rPr>
                  <w:t>7.4.1.</w:t>
                </w:r>
                <w:r>
                  <w:rPr>
                    <w:spacing w:val="2"/>
                    <w:sz w:val="20"/>
                  </w:rPr>
                  <w:t xml:space="preserve"> </w:t>
                </w:r>
                <w:r>
                  <w:rPr>
                    <w:rFonts w:eastAsia="Calibri"/>
                  </w:rPr>
                  <w:t xml:space="preserve">Paskolos gavėjui, jo vadovui, atstovui, paskolos gavėjo nuosavybės ir valdymo struktūroje esantiems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rFonts w:eastAsia="Calibri"/>
                    <w:i/>
                    <w:iCs/>
                  </w:rPr>
                  <w:t>The Office of Foreign Assets Control of the U.S. Department of the Treasury</w:t>
                </w:r>
                <w:r>
                  <w:rPr>
                    <w:rFonts w:eastAsia="Calibri"/>
                  </w:rPr>
                  <w:t xml:space="preserve">); </w:t>
                </w:r>
              </w:p>
              <w:p>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 xml:space="preserve">7.4.3. Per paskutinius 5 metus galutiniu teismo sprendimu ar galutiniu administraciniu sprendimu paskolos gavėjas nėra pripažintas kaltu ir neturi neišnykusio ar nepanaikinto teistumo dėl pareigų, susijusių su mokesčių ar socialinio draudimo įmokų mokėjimo, neatitikimo; </w:t>
                </w:r>
              </w:p>
              <w:p>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xml:space="preserve">. Kai Projektas finansuojamas pagal Reglamento </w:t>
                </w:r>
                <w:hyperlink r:id="rId18" w:tgtFrame="_blank" w:history="1">
                  <w:r>
                    <w:rPr>
                      <w:rStyle w:val="Hipersaitas"/>
                      <w:shd w:val="clear" w:color="auto" w:fill="FFFFFF"/>
                    </w:rPr>
                    <w:t>(ES) Nr. 651/2014</w:t>
                  </w:r>
                </w:hyperlink>
                <w:r>
                  <w:rPr>
                    <w:color w:val="000000"/>
                    <w:shd w:val="clear" w:color="auto" w:fill="FFFFFF"/>
                  </w:rPr>
                  <w:t xml:space="preserve"> nuostatas, Paskolos gavėjas kaip ūkio subjektas sprendimo suteikti paskolą metu nėra patiriantis sunkumų, kaip tai apibrėžta Reglamento </w:t>
                </w:r>
                <w:hyperlink r:id="rId19" w:tgtFrame="_blank" w:history="1">
                  <w:r>
                    <w:rPr>
                      <w:rStyle w:val="Hipersaitas"/>
                      <w:shd w:val="clear" w:color="auto" w:fill="FFFFFF"/>
                    </w:rPr>
                    <w:t>(ES) Nr. 651/2014</w:t>
                  </w:r>
                </w:hyperlink>
                <w:r>
                  <w:rPr>
                    <w:color w:val="000000"/>
                    <w:shd w:val="clear" w:color="auto" w:fill="FFFFFF"/>
                  </w:rPr>
                  <w:t xml:space="preserve"> 2 straipsnio 18 punkte. Ūkio subjektu laikomas Paskolos gavėjas ir visos su juo pagal Reglamento </w:t>
                </w:r>
                <w:hyperlink r:id="rId20" w:tgtFrame="_blank" w:history="1">
                  <w:r>
                    <w:rPr>
                      <w:rStyle w:val="Hipersaitas"/>
                      <w:shd w:val="clear" w:color="auto" w:fill="FFFFFF"/>
                    </w:rPr>
                    <w:t>(ES) Nr. 651/2014</w:t>
                  </w:r>
                </w:hyperlink>
                <w:r>
                  <w:rPr>
                    <w:color w:val="000000"/>
                    <w:shd w:val="clear" w:color="auto" w:fill="FFFFFF"/>
                  </w:rPr>
                  <w:t xml:space="preserve"> I priedo 3 straipsnio 3 dalį susijusios įmonės.</w:t>
                </w:r>
              </w:p>
              <w:p>
                <w:pPr>
                  <w:jc w:val="both"/>
                  <w:rPr>
                    <w:rFonts w:eastAsia="Calibri"/>
                  </w:rPr>
                </w:pPr>
                <w:r>
                  <w:rPr>
                    <w:rFonts w:eastAsia="Calibri"/>
                  </w:rPr>
                  <w:t xml:space="preserve">7.4.6. </w:t>
                </w:r>
                <w:r>
                  <w:rPr>
                    <w:color w:val="000000"/>
                    <w:shd w:val="clear" w:color="auto" w:fill="FFFFFF"/>
                  </w:rPr>
                  <w:t>Paskolos gavėjui nėra iškelta bankroto ir (ar) restruktūrizavimo byla pagal Lietuvos Respublikos juridinių asmenų nemokumo įstatymą, jis nėra likviduojamas;   </w:t>
                </w:r>
              </w:p>
              <w:p>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buvo pripažinta nesuderinama su Europos Sąjungos vidaus rinka, arba pagalbos teikėjo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7.4.9. Paskolos gavėjui gali būti suteikta atitinkamo dydžio valstybės pagalba, vadovaujantis Reglamento (ES) Nr. 651/2014 4 straipsnio 1 dalies s) punkto ir 41 straipsnio nuostatomis (taikoma valstybės pagalbą teikiant pagal Reglamentą (ES) Nr. 651/2014);</w:t>
                </w:r>
              </w:p>
              <w:p>
                <w:pPr>
                  <w:tabs>
                    <w:tab w:val="left" w:pos="1701"/>
                  </w:tabs>
                  <w:jc w:val="both"/>
                </w:pPr>
                <w:r>
                  <w:t>7.4.10. Paskolos gavėjo veikla nėra vykdoma Reglamento (ES) Nr. 651/2014 1 straipsnio 3 dalies a ir c punktuose nurodytais atvejais (valstybės pagalbą teikiant pagal Reglamentą (ES) Nr. 651/2014) ir (arba) De minimis reglamento 1 straipsnio 1 dalies a ir c punktuose nurodytais atvejais (valstybės pagalbą teikiant pagal De minimis reglamentą;</w:t>
                </w:r>
              </w:p>
              <w:p>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 xml:space="preserve">įskaitant riziką, susijusią su paskolos gavėjo, jo vadovo, savininkų, naudos gavėjų reputacija ir paskolos gavėjo įgyvendinamo projekto (toliau – Projektas)  rangovu (-ais), o Projektas paskolos davėjo yra pripažintas ekonomiškai pagrįstu ir finansiškai gyvybingu. Rizikingumo lygio ir Projekto ekonominio pagrįstumo bei finansinio gyvybingumo vertinimas atliekamas paskolos davėjo vidaus procedūrų nustatyta tvarka, </w:t>
                </w:r>
                <w:r>
                  <w:rPr>
                    <w:shd w:val="clear" w:color="auto" w:fill="FFFFFF"/>
                  </w:rPr>
                  <w:t>o reikalavimai Projektą įgyvendinančiam rangovui skelbiami viešai paskolos davėjo interneto svetainėje https://ilte.lt</w:t>
                </w:r>
                <w:r>
                  <w:t>;</w:t>
                </w:r>
              </w:p>
              <w:p>
                <w:pPr>
                  <w:jc w:val="both"/>
                  <w:textAlignment w:val="baseline"/>
                  <w:rPr>
                    <w:szCs w:val="24"/>
                  </w:rPr>
                </w:pPr>
                <w:r>
                  <w:rPr>
                    <w:szCs w:val="24"/>
                  </w:rPr>
                  <w:t>7.4.12. Paskolos gavėjas neturi prekybinių įsipareigojimų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arba yra juos nutraukęs.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7.4.13.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7.4.13.1. padaryto sunkaus profesinio nusižengimo;</w:t>
                </w:r>
              </w:p>
              <w:p>
                <w:pPr>
                  <w:jc w:val="both"/>
                  <w:textAlignment w:val="baseline"/>
                  <w:rPr>
                    <w:szCs w:val="24"/>
                  </w:rPr>
                </w:pPr>
                <w:r>
                  <w:rPr>
                    <w:szCs w:val="24"/>
                  </w:rPr>
                  <w:t>7.4.13.2. sukčiavimo;</w:t>
                </w:r>
              </w:p>
              <w:p>
                <w:pPr>
                  <w:jc w:val="both"/>
                  <w:textAlignment w:val="baseline"/>
                  <w:rPr>
                    <w:szCs w:val="24"/>
                  </w:rPr>
                </w:pPr>
                <w:r>
                  <w:rPr>
                    <w:szCs w:val="24"/>
                  </w:rPr>
                  <w:t>7.4.13.3. korupcijos;</w:t>
                </w:r>
              </w:p>
              <w:p>
                <w:pPr>
                  <w:jc w:val="both"/>
                  <w:textAlignment w:val="baseline"/>
                  <w:rPr>
                    <w:szCs w:val="24"/>
                  </w:rPr>
                </w:pPr>
                <w:r>
                  <w:rPr>
                    <w:szCs w:val="24"/>
                  </w:rPr>
                  <w:t>7.4.13.4. nusikalstamo susivienijimo;</w:t>
                </w:r>
              </w:p>
              <w:p>
                <w:pPr>
                  <w:jc w:val="both"/>
                  <w:textAlignment w:val="baseline"/>
                  <w:rPr>
                    <w:szCs w:val="24"/>
                  </w:rPr>
                </w:pPr>
                <w:r>
                  <w:rPr>
                    <w:szCs w:val="24"/>
                  </w:rPr>
                  <w:t>7.4.13.5. pinigų plovimo arba teroristų finansavimo;</w:t>
                </w:r>
              </w:p>
              <w:p>
                <w:pPr>
                  <w:jc w:val="both"/>
                  <w:textAlignment w:val="baseline"/>
                  <w:rPr>
                    <w:szCs w:val="24"/>
                  </w:rPr>
                </w:pPr>
                <w:r>
                  <w:rPr>
                    <w:szCs w:val="24"/>
                  </w:rPr>
                  <w:t>7.4.13.6. teroristinių nusikaltimų arba su teroristine veikla susijusių nusikaltimų;</w:t>
                </w:r>
              </w:p>
              <w:p>
                <w:pPr>
                  <w:jc w:val="both"/>
                  <w:textAlignment w:val="baseline"/>
                  <w:rPr>
                    <w:szCs w:val="24"/>
                  </w:rPr>
                </w:pPr>
                <w:r>
                  <w:rPr>
                    <w:szCs w:val="24"/>
                  </w:rPr>
                  <w:t>7.4.13.7. vaikų darbo ar kitų su prekyba žmonėmis susijusių nusikalstamų veikų;</w:t>
                </w:r>
              </w:p>
              <w:p>
                <w:pPr>
                  <w:jc w:val="both"/>
                  <w:textAlignment w:val="baseline"/>
                  <w:rPr>
                    <w:szCs w:val="24"/>
                  </w:rPr>
                </w:pPr>
                <w:r>
                  <w:rPr>
                    <w:szCs w:val="24"/>
                  </w:rPr>
                  <w:t>7.4.13.8. dėl netinkamai vykdytų įsipareigojimų, susijusių su jam skirta Europos Sąjungos finansine parama, ir dėl to įsipareigojimai buvo nutraukti anksčiau laiko ar iš jo buvo pareikalauta atlyginti nuostolius ar buvo pritaikytos kitos sankcijos;</w:t>
                </w:r>
              </w:p>
              <w:p>
                <w:pPr>
                  <w:jc w:val="both"/>
                  <w:textAlignment w:val="baseline"/>
                  <w:rPr>
                    <w:szCs w:val="24"/>
                  </w:rPr>
                </w:pPr>
                <w:r>
                  <w:rPr>
                    <w:szCs w:val="24"/>
                  </w:rPr>
                  <w:t>7.4.13.9.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pPr>
                <w:r>
                  <w:t>7.4.13.10.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srityje.</w:t>
                </w:r>
              </w:p>
              <w:p>
                <w:pPr>
                  <w:spacing w:line="254" w:lineRule="auto"/>
                  <w:jc w:val="both"/>
                </w:pPr>
                <w:r>
                  <w:t xml:space="preserve">7.4.15. Paskolos gavėjo nuosavybės rodiklis (nuosavo kapitalo ir viso turto santykis) po paskolos suteikimo nėra mažesnis kaip 0,1 arba 0,15 į nuosavą kapitalą įtraukiant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finansinių ataskaitų rinkinį ar paskutinį tarpinį finansinių ataskaitų rinkinį, kaip tai apibrėžta Lietuvos Respublikos įmonių ir įmonių grupių atskaitomybės įstatymo 3 straipsnyje. Jeigu pagal paskutinių finansinių metų finansinių ataskaitų rinkinį nuosavybės rodiklis po paskolos suteikimo yra mažesnis kaip 0,1 arba 0,15 įtraukus trečiųjų asmenų subordinuotas paskolas, o pagal paskutinį tarpinį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turi būti pasiektas ne vėliau kaip iki paskolos lėšų išmokėjimo. Paskolos gavėjo nuosavybės rodiklis netaikomas paskolos gavėjui, kurį kontroliuoja ar kurio savininkė ar dalininkė yra savivaldybė ar valstybė, turinti daugiau negu 1/2 balsų visuotiniame dalininkų susirinkime arba valstybė ar savivaldybė yra įgijusi akcijų, visuotiniame akcininkų susirinkime suteikiančių daugiau kaip 1/2 balsų.</w:t>
                </w:r>
              </w:p>
              <w:p>
                <w:pPr>
                  <w:spacing w:line="254" w:lineRule="auto"/>
                  <w:jc w:val="both"/>
                </w:pPr>
                <w:r>
                  <w:t>7.4.16. Kai teikiama sindikuota paskola, Paskolos gavėjas neturi finansinių įsipareigojimų finansų įstaigai ir (ar) tarptautinei finansų institucijai (toliau – TFI), kuri bus kreditorė pagal sindikuotos paskolos sutartį.</w:t>
                </w:r>
              </w:p>
              <w:p>
                <w:pPr>
                  <w:spacing w:line="254" w:lineRule="auto"/>
                  <w:jc w:val="both"/>
                </w:pPr>
                <w:r>
                  <w:t>7.4.17. Kai teikiama tiesioginė (rinkos sąlygomis) paskola, paskolos gavėjas turi būti pateikęs įrodymus, kad prašomai suteikti paskolai neturi galimybės gauti finansavimo rinkoje iš Lietuvos Respublikoje veikiančių finansų įstaigų.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 xml:space="preserve">8.1. Pagal Priemonę paskolos lėšomis gali būti finansuojamos šios Projekto išlaidos (taip pat ir įgyvendinant projektą pagal jungtinės veiklos sutartį): </w:t>
                </w:r>
              </w:p>
              <w:p>
                <w:pPr>
                  <w:jc w:val="both"/>
                  <w:rPr>
                    <w:rFonts w:eastAsia="Calibri"/>
                  </w:rPr>
                </w:pPr>
                <w:r>
                  <w:rPr>
                    <w:rFonts w:eastAsia="Calibri"/>
                  </w:rPr>
                  <w:t>8.1.1. pasirengimo elektrinės ir (ar) kaupimo įrenginio statybai ir prijungimo dokumentacijos parengimas (techninio ir darbo projektų parengimas, statybą leidžiančio dokumento išdavimas ir kita);</w:t>
                </w:r>
              </w:p>
              <w:p>
                <w:pPr>
                  <w:jc w:val="both"/>
                  <w:rPr>
                    <w:rFonts w:eastAsia="Calibri"/>
                  </w:rPr>
                </w:pPr>
                <w:r>
                  <w:rPr>
                    <w:rFonts w:eastAsia="Calibri"/>
                  </w:rPr>
                  <w:t>8.1.2. privažiavimo kelių iki sklypo, kuriame statoma saulės ir/ar vėjo elektrinė, statybos išlaidos, kai jos sudaro ne daugiau nei 10 proc. visų tinkamų finansuoti išlaidų vertės;</w:t>
                </w:r>
              </w:p>
              <w:p>
                <w:pPr>
                  <w:jc w:val="both"/>
                  <w:rPr>
                    <w:rFonts w:eastAsia="Calibri"/>
                  </w:rPr>
                </w:pPr>
                <w:r>
                  <w:rPr>
                    <w:rFonts w:eastAsia="Calibri"/>
                  </w:rPr>
                  <w:t>8.1.3. žemės sklypo sutvarkymas, infrastruktūros ir inžinerinių tinklų bei sistemų sklype įrengimas ir (ar) sutvarkymas ir apsaugos įrengimo darbai (įskaitant sklypo aptvėrimo, apšvietimo išlaidas) (jei saulės ir (ar) vėjo elektrinė statoma ant žemės);</w:t>
                </w:r>
              </w:p>
              <w:p>
                <w:pPr>
                  <w:jc w:val="both"/>
                  <w:rPr>
                    <w:rFonts w:eastAsia="Calibri"/>
                  </w:rPr>
                </w:pPr>
                <w:r>
                  <w:rPr>
                    <w:rFonts w:eastAsia="Calibri"/>
                  </w:rPr>
                  <w:t xml:space="preserve">8.1.4. saulės ir (ar) vėjo elektrinės ir reikalinga įsigyti susijusi elektrotechninė įranga, konstrukcijos, kabeliai bei susiję montavimo (derinimo) darbai ir kiti susiję saulės ir (ar) vėjo elektrinės statybos darbai pagal sudarytas turto įsigijimo, prekių tiekimo ir (ar) paslaugų atlikimo, rangos sutartis; </w:t>
                </w:r>
              </w:p>
              <w:p>
                <w:pPr>
                  <w:jc w:val="both"/>
                  <w:rPr>
                    <w:rFonts w:eastAsia="Calibri"/>
                  </w:rPr>
                </w:pPr>
                <w:r>
                  <w:rPr>
                    <w:rFonts w:eastAsia="Calibri"/>
                  </w:rPr>
                  <w:t xml:space="preserve">8.1.5. elektros jungties (oro linijos/kabelio) tiesimo  darbai iki saulės ir (ar) vėjo elektrinės prijungimo vietos; </w:t>
                </w:r>
              </w:p>
              <w:p>
                <w:pPr>
                  <w:jc w:val="both"/>
                  <w:rPr>
                    <w:rFonts w:eastAsia="Calibri"/>
                  </w:rPr>
                </w:pPr>
                <w:r>
                  <w:rPr>
                    <w:rFonts w:eastAsia="Calibri"/>
                  </w:rPr>
                  <w:t>8.1.6. elektrinės prijungimo prie elektros energijos skirstomojo ir (arba) perdavimo tinklo mokestis pagal prisijungimo sąlygas;</w:t>
                </w:r>
              </w:p>
              <w:p>
                <w:pPr>
                  <w:jc w:val="both"/>
                  <w:rPr>
                    <w:rFonts w:eastAsia="Calibri"/>
                  </w:rPr>
                </w:pPr>
                <w:r>
                  <w:rPr>
                    <w:rFonts w:eastAsia="Calibri"/>
                  </w:rPr>
                  <w:t>8.1.7. pastatytos, bet iki perleidimo pareiškėjo nuosavybėn neeksploatuotos elektrinės įsigijimo investicinės išlaidos;</w:t>
                </w:r>
              </w:p>
              <w:p>
                <w:pPr>
                  <w:jc w:val="both"/>
                  <w:rPr>
                    <w:rFonts w:eastAsia="Calibri"/>
                  </w:rPr>
                </w:pPr>
                <w:r>
                  <w:rPr>
                    <w:rFonts w:eastAsia="Calibri"/>
                  </w:rPr>
                  <w:t>8.1.8. pastatytos ir neeksploatuotos elektrinės dalies įsigijimo investicinės išlaidos;</w:t>
                </w:r>
              </w:p>
              <w:p>
                <w:pPr>
                  <w:jc w:val="both"/>
                  <w:rPr>
                    <w:rFonts w:eastAsia="Calibri"/>
                  </w:rPr>
                </w:pPr>
                <w:r>
                  <w:rPr>
                    <w:rFonts w:eastAsia="Calibri"/>
                  </w:rPr>
                  <w:t xml:space="preserve">8.1.9. kaupimo įrenginio įsigijimo išlaidos; </w:t>
                </w:r>
              </w:p>
              <w:p>
                <w:pPr>
                  <w:jc w:val="both"/>
                  <w:rPr>
                    <w:rFonts w:eastAsia="Calibri"/>
                  </w:rPr>
                </w:pPr>
                <w:r>
                  <w:rPr>
                    <w:rFonts w:eastAsia="Calibri"/>
                  </w:rPr>
                  <w:t xml:space="preserve">8.1.10. kaupimo įrenginio montavimo darbų išlaidos; </w:t>
                </w:r>
              </w:p>
              <w:p>
                <w:pPr>
                  <w:jc w:val="both"/>
                  <w:rPr>
                    <w:rFonts w:eastAsia="Calibri"/>
                  </w:rPr>
                </w:pPr>
                <w:r>
                  <w:rPr>
                    <w:rFonts w:eastAsia="Calibri"/>
                  </w:rPr>
                  <w:t>8.1.11. kaupimo įrenginiui įrengti reikalingų būtinųjų priedų įsigijimo ir įrengimo išlaidos (kroviklis, hibridinis inverteris ir kita);</w:t>
                </w:r>
              </w:p>
              <w:p>
                <w:pPr>
                  <w:jc w:val="both"/>
                  <w:rPr>
                    <w:rFonts w:eastAsia="Calibri"/>
                  </w:rPr>
                </w:pPr>
                <w:r>
                  <w:rPr>
                    <w:rFonts w:eastAsia="Calibri"/>
                  </w:rPr>
                  <w:t>8.1.12. elektros įvado, kuris nuosavybės teise priklauso pareiškėjui, įsigijimas ir įrengimas, įskaitant ir elektros energijos apskaitos prietaisus;</w:t>
                </w:r>
              </w:p>
              <w:p>
                <w:pPr>
                  <w:jc w:val="both"/>
                  <w:rPr>
                    <w:rFonts w:eastAsia="Calibri"/>
                  </w:rPr>
                </w:pPr>
                <w:r>
                  <w:rPr>
                    <w:rFonts w:eastAsia="Calibri"/>
                  </w:rPr>
                  <w:t>8.1.14. kaupimo įrenginio projektavimo, projekto techninės priežiūros, projekto valdymo išlaidos projekto įgyvendinimo metu.</w:t>
                </w:r>
              </w:p>
              <w:p>
                <w:pPr>
                  <w:jc w:val="both"/>
                  <w:rPr>
                    <w:rFonts w:eastAsia="Calibri"/>
                  </w:rPr>
                </w:pPr>
                <w:r>
                  <w:rPr>
                    <w:rFonts w:eastAsia="Calibri"/>
                  </w:rPr>
                  <w:t>8.1.15. žemės sklypo įsigijimo ir su tuo susijusios išlaidos gali būti tinkamos finansuoti, bet ne daugiau kaip 10 proc. visų tinkamų finansuoti išlaidų vertės;</w:t>
                </w:r>
              </w:p>
              <w:p>
                <w:pPr>
                  <w:jc w:val="both"/>
                  <w:rPr>
                    <w:rFonts w:eastAsia="Calibri"/>
                  </w:rPr>
                </w:pPr>
                <w:r>
                  <w:rPr>
                    <w:rFonts w:eastAsia="Calibri"/>
                  </w:rPr>
                  <w:t xml:space="preserve">8.1.16. privažiavimo kelių iki sklypo, kuriame statomi energijos kaupimo įrenginiai, statybos išlaidos, bet  ne daugiau kaip 10 proc. visų tinkamų finansuoti išlaidų vertės;</w:t>
                </w:r>
              </w:p>
              <w:p>
                <w:pPr>
                  <w:jc w:val="both"/>
                  <w:rPr>
                    <w:rFonts w:eastAsia="Calibri"/>
                  </w:rPr>
                </w:pPr>
                <w:r>
                  <w:rPr>
                    <w:rFonts w:eastAsia="Calibri"/>
                  </w:rPr>
                  <w:t>8.1.17. žemės sklypo sutvarkymas, infrastruktūros ir inžinerinių tinklų bei sistemų sklype įrengimas ir (ar) sutvarkymas ir apsaugos įrengimo darbai (įskaitant sklypo aptvėrimo, apšvietimo išlaidas, priešgaisrinės apsaugos sistemų įrengimą).</w:t>
                </w:r>
              </w:p>
              <w:p>
                <w:pPr>
                  <w:jc w:val="both"/>
                </w:pPr>
                <w:r>
                  <w:rPr>
                    <w:rFonts w:eastAsia="Calibri"/>
                  </w:rPr>
                  <w:t xml:space="preserve">8.2. Valstybės pagalba teikiama kaupimo įrenginiams, jei tenkinamos Reglamento </w:t>
                </w:r>
                <w:hyperlink r:id="rId21" w:tgtFrame="_blank" w:history="1">
                  <w:r>
                    <w:rPr>
                      <w:rStyle w:val="Hipersaitas"/>
                      <w:rFonts w:eastAsia="Calibri"/>
                    </w:rPr>
                    <w:t>(ES) Nr. 651/2014</w:t>
                  </w:r>
                </w:hyperlink>
                <w:r>
                  <w:rPr>
                    <w:rFonts w:eastAsia="Calibri"/>
                  </w:rPr>
                  <w:t xml:space="preserve"> 41 straipsnio 1 a dalies sąlygos, t. y. abu elementai yra vienos investicijos komponentai arba kai kaupimo įrenginys prijungiamas prie esamo atsinaujinančiosios saulės ir (ar) vėjo energijos gamybos įrenginio. Paskolos gavėjas įsipareigoja, kad energijos kaupimo įrenginyje kaupiama elektros energija iš tiesiogiai prijungtos saulės ir (ar) vėjo elektrinės sudarys ne mažiau kaip 75 proc. visos kaupiamos elektros energijos. Šis reikalavimas netaikomas, kai valstybės pagalba teikiama pagal De minimis reglamentą arba finansavimas teikiamas pagal Schemos 11.4.1 ar 11.4.2 papunktyje nurodytas sąlygas.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paskolos gavėjo išlaidos, kurios nėra Tinkamos finansuoti Projekto išlaidos;</w:t>
                </w:r>
              </w:p>
              <w:p>
                <w:pPr>
                  <w:tabs>
                    <w:tab w:val="left" w:pos="0"/>
                  </w:tabs>
                  <w:jc w:val="both"/>
                  <w:rPr>
                    <w:rFonts w:eastAsia="Calibri"/>
                    <w:szCs w:val="24"/>
                  </w:rPr>
                </w:pPr>
                <w:r>
                  <w:rPr>
                    <w:rFonts w:eastAsia="Calibri"/>
                    <w:szCs w:val="24"/>
                  </w:rPr>
                  <w:t>9.1.2. išlaidos, kurios buvo finansuotos (apmokėtos) ar finansuojamos iš ES fondų, kitų ES finansinės paramos priemonių ir (ar) kitos tarptautinės paramos ar nacionalinių lėšų, jei, visas lėšas kartu sudėjus su Paskolos lėšomis, išlaidos būtų finansuotos daugiau kaip 100 procentų išlaidų vertės;</w:t>
                </w:r>
              </w:p>
              <w:p>
                <w:pPr>
                  <w:jc w:val="both"/>
                  <w:rPr>
                    <w:rFonts w:eastAsia="Calibri"/>
                  </w:rPr>
                </w:pPr>
                <w:r>
                  <w:rPr>
                    <w:rFonts w:eastAsia="Calibri"/>
                  </w:rPr>
                  <w:t>9.1.3. paraiškos paskolai bei Projekto aprašymo parengimo išlaidos;</w:t>
                </w:r>
              </w:p>
              <w:p>
                <w:pPr>
                  <w:jc w:val="both"/>
                  <w:rPr>
                    <w:rFonts w:eastAsia="Calibri"/>
                  </w:rPr>
                </w:pPr>
                <w:r>
                  <w:rPr>
                    <w:rFonts w:eastAsia="Calibri"/>
                  </w:rPr>
                  <w:t>9.1.4. </w:t>
                </w:r>
                <w:r>
                  <w:rPr>
                    <w:color w:val="000000"/>
                  </w:rPr>
                  <w:t xml:space="preserve"> žemės nuomos ir su tuo susijusios išlaidos</w:t>
                </w:r>
                <w:r>
                  <w:rPr>
                    <w:rFonts w:eastAsia="Calibri"/>
                  </w:rPr>
                  <w:t>;</w:t>
                </w:r>
              </w:p>
              <w:p>
                <w:pPr>
                  <w:jc w:val="both"/>
                  <w:rPr>
                    <w:rFonts w:eastAsia="Calibri"/>
                  </w:rPr>
                </w:pPr>
                <w:r>
                  <w:rPr>
                    <w:rFonts w:eastAsia="Calibri"/>
                  </w:rPr>
                  <w:t xml:space="preserve">9.1.5. Projekto, finansuojamo pagal Reglamento </w:t>
                </w:r>
                <w:hyperlink r:id="rId22" w:tgtFrame="_blank" w:history="1">
                  <w:r>
                    <w:rPr>
                      <w:rStyle w:val="Hipersaitas"/>
                      <w:rFonts w:eastAsia="Calibri"/>
                    </w:rPr>
                    <w:t>(ES) Nr. 651/2014</w:t>
                  </w:r>
                </w:hyperlink>
                <w:r>
                  <w:rPr>
                    <w:rFonts w:eastAsia="Calibri"/>
                  </w:rPr>
                  <w:t xml:space="preserve"> 41 straipsnio nuostatas, investicijos, kurios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9.1.6. atsiskaitymams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jc w:val="both"/>
                  <w:rPr>
                    <w:color w:val="000000"/>
                    <w:lang w:eastAsia="lt-LT"/>
                  </w:rPr>
                </w:pPr>
                <w:r>
                  <w:rPr>
                    <w:rFonts w:eastAsia="Calibri"/>
                  </w:rPr>
                  <w:t xml:space="preserve">9.1.7. </w:t>
                </w:r>
                <w:r>
                  <w:rPr>
                    <w:color w:val="000000"/>
                    <w:lang w:eastAsia="lt-LT"/>
                  </w:rPr>
                  <w:t>Schemos 7.1.1, 7.1.2 ir 7.1.4 papunkčiuose nurodytų paskolos gavėjų Projektų, kuriais siekiama įsigyti saulės ar vėjo, ar hibridinę elektrinę ar jos dalį ir (ar) kaupimo įrenginį, išlaidos, kai saulės ar vėjo, ar hibridinės elektrinės yra pastatytos ar įrengtos juridinio asmens, apibrėžto Schemos 7.1.3 papunktyje, ir buvo finansuotos iš Priemonei skirtų lėšų arba pagal Lietuvos Respublikos ekonomikos ir inovacijų ministerijos priemonę „Tiesioginės paskolos, skirtos atsinaujinančių išteklių energetikos projektams finansuoti“, kuri buvo patvirtinta Lietuvos Respublikos ekonomikos ir inovacijų ministro 2023 m. liepos 13 d. įsakymu Nr. 4-387 „Dėl Skatinamosios finansinės priemonės „Tiesioginės paskolos, skirtos atsinaujinančių išteklių energetikos projektams finansuoti“ schemos patvirtinimo“;</w:t>
                </w:r>
              </w:p>
              <w:p>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kuris teisės aktų nustatyta tvarka turi galimybę įtraukti PVM į PVM atskaitą, arba privatus juridinis asmuo.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(taip pat ir įgyvendinant projektą pagal jungtinės veiklos sutartį), sudarant paskolos sutartį tarp paskolos davėjo ir paskolos gavėjo (toliau – Paskolos sutartis): </w:t>
                </w:r>
              </w:p>
              <w:p>
                <w:pPr>
                  <w:suppressAutoHyphens/>
                  <w:jc w:val="both"/>
                  <w:textAlignment w:val="center"/>
                  <w:rPr>
                    <w:color w:val="000000"/>
                    <w:szCs w:val="24"/>
                  </w:rPr>
                </w:pPr>
                <w:r>
                  <w:rPr>
                    <w:color w:val="000000"/>
                    <w:szCs w:val="24"/>
                  </w:rPr>
                  <w:t>11.1.1. Viešajam juridiniam asmeniui, kuriame daugiau kaip 50 procentų akcijų, pajų ar kitokių dalyvavimą kapitale žyminčių kapitalo dalių arba daugiau kaip 50 procentų įmonės dalyvių balsų tiesiogiai ar netiesiogiai (pagal balsavimo sutartį, balsavimo teisės perleidimo sutartį, įgaliojimą ir pan.) atskirai arba kartu turi valstybė ir (ar) savivaldybė, gali būti suteiktas iki 100 proc. finansavimas nuo tinkamų finansuoti išlaidų sumos.</w:t>
                </w:r>
              </w:p>
              <w:p>
                <w:pPr>
                  <w:suppressAutoHyphens/>
                  <w:jc w:val="both"/>
                  <w:textAlignment w:val="center"/>
                  <w:rPr>
                    <w:color w:val="000000"/>
                    <w:szCs w:val="24"/>
                  </w:rPr>
                </w:pPr>
                <w:r>
                  <w:rPr>
                    <w:color w:val="000000"/>
                    <w:szCs w:val="24"/>
                  </w:rPr>
                  <w:t>11.1.2. Privatiems juridiniams asmenims ir viešiesiems juridiniams asmenims, išskyrus nurodytus 11.1.1 papunktyje, gali būti suteiktas iki 80 proc. finansavimas nuo tinkamų finansuoti išlaidų sumos be PVM.</w:t>
                </w:r>
              </w:p>
              <w:p>
                <w:pPr>
                  <w:suppressAutoHyphens/>
                  <w:jc w:val="both"/>
                  <w:textAlignment w:val="center"/>
                  <w:rPr>
                    <w:color w:val="000000"/>
                    <w:szCs w:val="24"/>
                  </w:rPr>
                </w:pPr>
                <w:r>
                  <w:rPr>
                    <w:color w:val="000000"/>
                    <w:szCs w:val="24"/>
                  </w:rPr>
                  <w:t>11.2. Paskolos laikotarpis ne ilgiau nei 25 metai imtinai, kai paskolos gavėjas siekia statyti ir (ar) įsirengti, ir (ar) įsigyti saulės ir (ar) vėjo, ir (ar) hibridinę elektrinę ir (ar) kaupimo įrenginį.</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suppressAutoHyphens/>
                  <w:jc w:val="both"/>
                  <w:textAlignment w:val="center"/>
                  <w:rPr>
                    <w:color w:val="000000"/>
                    <w:szCs w:val="24"/>
                  </w:rPr>
                </w:pPr>
                <w:r>
                  <w:rPr>
                    <w:color w:val="000000"/>
                    <w:szCs w:val="24"/>
                  </w:rPr>
                  <w:t>11.4. Taikomos palūkanų normos:</w:t>
                </w:r>
              </w:p>
              <w:p>
                <w:pPr>
                  <w:suppressAutoHyphens/>
                  <w:jc w:val="both"/>
                  <w:textAlignment w:val="center"/>
                  <w:rPr>
                    <w:color w:val="000000"/>
                    <w:szCs w:val="24"/>
                  </w:rPr>
                </w:pPr>
                <w:r>
                  <w:rPr>
                    <w:color w:val="000000"/>
                    <w:szCs w:val="24"/>
                  </w:rPr>
                  <w:t xml:space="preserve">11.4.1.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 </w:t>
                </w:r>
              </w:p>
              <w:p>
                <w:pPr>
                  <w:suppressAutoHyphens/>
                  <w:jc w:val="both"/>
                  <w:textAlignment w:val="center"/>
                  <w:rPr>
                    <w:color w:val="000000"/>
                    <w:szCs w:val="24"/>
                  </w:rPr>
                </w:pPr>
                <w:r>
                  <w:rPr>
                    <w:color w:val="000000"/>
                    <w:szCs w:val="24"/>
                  </w:rPr>
                  <w:t>11.4.2. tiesioginei ILTE (kai ji teikiama rinkos sąlygomis) ir subordinuotai paskolai taikoma rinkos sąlygas atitinkanti kintamoji metinė palūkanų norma, kurią sudaro:</w:t>
                </w:r>
              </w:p>
              <w:p>
                <w:pPr>
                  <w:suppressAutoHyphens/>
                  <w:jc w:val="both"/>
                  <w:textAlignment w:val="center"/>
                  <w:rPr>
                    <w:color w:val="000000"/>
                    <w:szCs w:val="24"/>
                  </w:rPr>
                </w:pPr>
                <w:r>
                  <w:rPr>
                    <w:color w:val="000000"/>
                    <w:szCs w:val="24"/>
                  </w:rPr>
                  <w:t>11.4.2.1. palūkanų marža, kuri priklauso nuo Paskolos gavėjo kredito rizikos reitingo, Paskolos užtikrinimo priemonių dydžio ir likvidumo, Paskolos grąžinimo termino bei Paskolos grąžinimo grafiko, ir</w:t>
                </w:r>
              </w:p>
              <w:p>
                <w:pPr>
                  <w:suppressAutoHyphens/>
                  <w:jc w:val="both"/>
                  <w:textAlignment w:val="center"/>
                  <w:rPr>
                    <w:color w:val="000000"/>
                    <w:szCs w:val="24"/>
                  </w:rPr>
                </w:pPr>
                <w:r>
                  <w:rPr>
                    <w:color w:val="000000"/>
                    <w:szCs w:val="24"/>
                  </w:rPr>
                  <w:t>11.4.2.2. kintama palūkanų normos dalis – 6 mėnesių EURIBOR (kai EURIBOR neigiamas, jis prilyginamas nuliui).</w:t>
                </w:r>
              </w:p>
              <w:p>
                <w:pPr>
                  <w:suppressAutoHyphens/>
                  <w:jc w:val="both"/>
                  <w:textAlignment w:val="center"/>
                  <w:rPr>
                    <w:color w:val="000000"/>
                    <w:szCs w:val="24"/>
                  </w:rPr>
                </w:pPr>
                <w:r>
                  <w:rPr>
                    <w:color w:val="000000"/>
                    <w:szCs w:val="24"/>
                  </w:rPr>
                  <w:t>11.4.3. ILTE tiesioginei paskolai taikoma rinkos sąlygas atitinkanti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szCs w:val="24"/>
                  </w:rPr>
                </w:pPr>
                <w:r>
                  <w:rPr>
                    <w:color w:val="000000"/>
                    <w:szCs w:val="24"/>
                  </w:rPr>
                  <w:t>11.4.4.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szCs w:val="24"/>
                  </w:rPr>
                </w:pPr>
                <w:r>
                  <w:rPr>
                    <w:color w:val="000000"/>
                    <w:szCs w:val="24"/>
                  </w:rPr>
                  <w:t>11.4.5. Tiesioginei (lengvatinei) paskolai (toliau – lengvatinė paskola) taikoma palūkanų norma:</w:t>
                </w:r>
              </w:p>
              <w:p>
                <w:pPr>
                  <w:suppressAutoHyphens/>
                  <w:jc w:val="both"/>
                  <w:textAlignment w:val="center"/>
                  <w:rPr>
                    <w:color w:val="000000"/>
                    <w:szCs w:val="24"/>
                  </w:rPr>
                </w:pPr>
                <w:r>
                  <w:rPr>
                    <w:color w:val="000000"/>
                    <w:szCs w:val="24"/>
                  </w:rPr>
                  <w:t>11.4.5.1. kintamoji metinė palūkanų norma, kurią sudaro 1 proc. palūkanų marža.</w:t>
                </w:r>
              </w:p>
              <w:p>
                <w:pPr>
                  <w:suppressAutoHyphens/>
                  <w:jc w:val="both"/>
                  <w:textAlignment w:val="center"/>
                  <w:rPr>
                    <w:color w:val="000000"/>
                    <w:szCs w:val="24"/>
                  </w:rPr>
                </w:pPr>
                <w:r>
                  <w:rPr>
                    <w:color w:val="000000"/>
                    <w:szCs w:val="24"/>
                  </w:rPr>
                  <w:t>11.4.5.2. 6 mėn. EURIBOR (esant neigiamai 6 mėn. EURIBOR reikšmei, laikoma, kad 6 mėn. EURIBOR reikšmė lygi 0 proc.).</w:t>
                </w:r>
              </w:p>
              <w:p>
                <w:pPr>
                  <w:suppressAutoHyphens/>
                  <w:jc w:val="both"/>
                  <w:textAlignment w:val="center"/>
                  <w:rPr>
                    <w:color w:val="000000"/>
                    <w:szCs w:val="24"/>
                  </w:rPr>
                </w:pPr>
                <w:r>
                  <w:rPr>
                    <w:color w:val="000000"/>
                    <w:szCs w:val="24"/>
                  </w:rPr>
                  <w:t>11.4.5.3. visais atvejais, lengvatinei paskolai taikoma metinė palūkanų norma negali viršyti 3 proc.</w:t>
                </w:r>
              </w:p>
              <w:p>
                <w:pPr>
                  <w:suppressAutoHyphens/>
                  <w:jc w:val="both"/>
                  <w:textAlignment w:val="center"/>
                  <w:rPr>
                    <w:color w:val="000000"/>
                    <w:szCs w:val="24"/>
                  </w:rPr>
                </w:pPr>
                <w:r>
                  <w:rPr>
                    <w:color w:val="000000"/>
                    <w:szCs w:val="24"/>
                  </w:rPr>
                  <w:t>11.4.6. Lengvatinė paskola gali būti suteikta tik Schemos 6.1 ir 6.2 papunkčiuose nurodytoms veikloms.</w:t>
                </w:r>
              </w:p>
              <w:p>
                <w:pPr>
                  <w:suppressAutoHyphens/>
                  <w:jc w:val="both"/>
                  <w:textAlignment w:val="center"/>
                  <w:rPr>
                    <w:color w:val="000000"/>
                    <w:szCs w:val="24"/>
                  </w:rPr>
                </w:pPr>
                <w:r>
                  <w:rPr>
                    <w:color w:val="000000"/>
                    <w:szCs w:val="24"/>
                  </w:rPr>
                  <w:t>11.4.7. Finansuojant kaupimo įrenginių išlaidas, nurodytas Schemos 8.1.9-8.1.14 p., kai nėra tenkinami Reglamento (ES) Nr. 651/2014 41 straipsnio 1a dalies reikalavimai, pareiškėjas gali pasirinkti Projektą finansuoti taikant De minimis reglamentą, o netenkinant ir De minimis reglamento reikalavimų, finansuojama rinkos sąlygomis, t. y. paskolai taikoma rinkos sąlygas atitinkanti kintamoji metinė palūkanų norma.</w:t>
                </w:r>
              </w:p>
              <w:p>
                <w:pPr>
                  <w:suppressAutoHyphens/>
                  <w:jc w:val="both"/>
                  <w:textAlignment w:val="center"/>
                  <w:rPr>
                    <w:color w:val="000000"/>
                    <w:szCs w:val="24"/>
                  </w:rPr>
                </w:pPr>
                <w:r>
                  <w:rPr>
                    <w:color w:val="000000"/>
                    <w:szCs w:val="24"/>
                  </w:rPr>
                  <w:t>11.4.8. Teikiant finansavimą Schemos 6.2–6.3 papunkčiuose nurodytoms veikloms, paskolos davėjas gali suteikti paskolą subordinuotos, sindikuotos arba tiesioginės paskolos (lengvatinėmis arba rinkos sąlygomis) forma.</w:t>
                </w:r>
              </w:p>
              <w:p>
                <w:pPr>
                  <w:suppressAutoHyphens/>
                  <w:jc w:val="both"/>
                  <w:textAlignment w:val="center"/>
                  <w:rPr>
                    <w:color w:val="000000"/>
                    <w:szCs w:val="24"/>
                  </w:rPr>
                </w:pPr>
                <w:r>
                  <w:rPr>
                    <w:color w:val="000000"/>
                    <w:szCs w:val="24"/>
                  </w:rPr>
                  <w:t>11.5. Paskolos panaudojimo laikotarpis:</w:t>
                </w:r>
              </w:p>
              <w:p>
                <w:pPr>
                  <w:suppressAutoHyphens/>
                  <w:jc w:val="both"/>
                  <w:textAlignment w:val="center"/>
                  <w:rPr>
                    <w:color w:val="000000"/>
                    <w:szCs w:val="24"/>
                  </w:rPr>
                </w:pPr>
                <w:r>
                  <w:rPr>
                    <w:color w:val="000000"/>
                    <w:szCs w:val="24"/>
                  </w:rPr>
                  <w:t>11.5.1. iki 36 mėnesių imtinai, pradedant skaičiuoti nuo Paskolos sutarties sudarymo, kai paskolos gavėjas siekia statyti ir (ar) įsirengti ir (ar) įsigyti saulės elektrinę ir (ar) kaupimo įrenginį;</w:t>
                </w:r>
              </w:p>
              <w:p>
                <w:pPr>
                  <w:suppressAutoHyphens/>
                  <w:jc w:val="both"/>
                  <w:textAlignment w:val="center"/>
                  <w:rPr>
                    <w:color w:val="000000"/>
                    <w:szCs w:val="24"/>
                  </w:rPr>
                </w:pPr>
                <w:r>
                  <w:rPr>
                    <w:color w:val="000000"/>
                    <w:szCs w:val="24"/>
                  </w:rPr>
                  <w:t>11.5.2. iki 48 mėnesių imtinai, pradedant skaičiuoti nuo Paskolos sutarties sudarymo, kai paskolos gavėjas siekia statyti ir (ar) įsirengti ir (ar) įsigyti vėjo elektrinę ar hibridinę elektrinę ir (ar) kaupimo įrenginį;</w:t>
                </w:r>
              </w:p>
              <w:p>
                <w:pPr>
                  <w:suppressAutoHyphens/>
                  <w:jc w:val="both"/>
                  <w:textAlignment w:val="center"/>
                  <w:rPr>
                    <w:color w:val="000000"/>
                    <w:szCs w:val="24"/>
                  </w:rPr>
                </w:pPr>
                <w:r>
                  <w:rPr>
                    <w:color w:val="000000"/>
                    <w:szCs w:val="24"/>
                  </w:rPr>
                  <w:t xml:space="preserve">11.6. Paskolos panaudojimo laikotarpis gali būti pratęstas paskolos gavėjo prašymu paskolos gavėjo ir paskolos davėjo rašytiniu  susitarimu; </w:t>
                </w:r>
              </w:p>
              <w:p>
                <w:pPr>
                  <w:suppressAutoHyphens/>
                  <w:jc w:val="both"/>
                  <w:textAlignment w:val="center"/>
                  <w:rPr>
                    <w:color w:val="000000"/>
                    <w:szCs w:val="24"/>
                  </w:rPr>
                </w:pPr>
                <w:r>
                  <w:rPr>
                    <w:color w:val="000000"/>
                    <w:szCs w:val="24"/>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color w:val="000000"/>
                    <w:szCs w:val="24"/>
                  </w:rPr>
                </w:pPr>
                <w:r>
                  <w:rPr>
                    <w:color w:val="000000"/>
                    <w:szCs w:val="24"/>
                  </w:rPr>
                  <w:t>11.9. Jei nustatoma, kad paskolos gavėjas pateikė neteisingą informaciją ir (ar) dokumentus ir (ar) nuslėpė informaciją, turinčią reikšmės paskolos suteikimui, paskolos gavėjas privalo grąžinti visą neteisėtai gautą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szCs w:val="24"/>
                  </w:rPr>
                </w:pPr>
                <w:r>
                  <w:rPr>
                    <w:color w:val="000000"/>
                    <w:szCs w:val="24"/>
                  </w:rPr>
                  <w:t xml:space="preserve">11.10. Išsami Priemonės įgyvendinimo tvarka ir procedūros  nustatomos Priemonės aprašyme, tvirtinamame ILTE generalinio direktoriaus įsakymu;</w:t>
                </w:r>
              </w:p>
              <w:p>
                <w:pPr>
                  <w:suppressAutoHyphens/>
                  <w:jc w:val="both"/>
                  <w:textAlignment w:val="center"/>
                  <w:rPr>
                    <w:color w:val="000000"/>
                    <w:szCs w:val="24"/>
                  </w:rPr>
                </w:pPr>
                <w:r>
                  <w:rPr>
                    <w:color w:val="000000"/>
                    <w:szCs w:val="24"/>
                  </w:rPr>
                  <w:t>11.11. Kaupimo įrenginiai, kurie jungiami tame pačiame taške prie elektros energijos perdavimo ar skirstymo tinklų prijungtos saulės ir (ar) vėjo elektrinės, kai nėra tenkinami Reglamento (ES) Nr. 651/2014 41 straipsnio 1a dalies reikalavimai, finansuojami taikant De minimis reglamento reikalavimus arba rinkos sąlygomis;</w:t>
                </w:r>
              </w:p>
              <w:p>
                <w:pPr>
                  <w:suppressAutoHyphens/>
                  <w:jc w:val="both"/>
                  <w:textAlignment w:val="center"/>
                  <w:rPr>
                    <w:color w:val="000000"/>
                  </w:rPr>
                </w:pPr>
                <w:r>
                  <w:rPr>
                    <w:color w:val="000000"/>
                    <w:szCs w:val="24"/>
                  </w:rPr>
                  <w:t>11.12. Paaiškėjus, kad paskolos gavėjui buvo suteikta neteisėta ir (arba) nesuderinama valstybės pagalba, paskolos gavėjas privalo grąžinti jam išmokėtą pagalbos sumą, t. y. visą suteiktą ir negrąžintą paskolą su Paskolos sutartyje nustatytomis palūkanomis (paskolos grąžinimo dienai) ir su palūkanomis, kaip nustatyta Reglamente (ES) 2015/1589. Jei neteisėta ir (arba) nesuderinama valstybės pagalba buvo suteikta iš Lietuvos Respublikos valstybės biudžeto lėšų, paskolos gavėjas privalo jam išmokėtą pagalbos sumą su visomis palūkanomis sugrąžinti savanoriškai arba ši suma išieškoma ne ginčo tvarka, vadovaujantis Konkurencijos įstatymo 551 straipsnio nuostatomis. Jei neteisėta arba nesuderinama pagalba buvo suteikta iš REPowerEU lėšų, paskolos gavėjas privalo grąžinti visą jam išmokėtą neteisėtos pagalbos arba nesuderinamos pagalbos sumą su visomis palūkanomis, vadovaudamasis Finansinių priemonių įgyvendinimo taisyklių, patvirtintų Lietuvos Respublikos finansų ministro 2022 m. birželio 22 d. įsakymu Nr. 1K-237 „Dėl 2021–2027 metų Europos Sąjungos fondų investicijų programos ir Ekonomikos gaivinimo ir atsparumo didinimo plano „Naujos kartos Lietuva“ įgyvendinimo“, nustatyta tvarka.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12.1. Privačiajam juridiniam asmeniui ir (arba) viešajam juridiniam asmeniui, išskyrus nurodytą Schemos 11.1.1 papunktyje, Paskola gali būti suteikta tokiomis sąlygomis:</w:t>
                </w:r>
              </w:p>
              <w:p>
                <w:pPr>
                  <w:jc w:val="both"/>
                  <w:textAlignment w:val="baseline"/>
                  <w:rPr>
                    <w:color w:val="000000"/>
                    <w:szCs w:val="24"/>
                  </w:rPr>
                </w:pPr>
                <w:r>
                  <w:rPr>
                    <w:color w:val="000000"/>
                    <w:szCs w:val="24"/>
                  </w:rPr>
                  <w:t>12.1.1. kai finansuojama Schemos 6.1 papunktyje nurodyta veikla – ne mažiau kaip 20 proc. Projekto tinkamų finansuoti išlaidų dalis ir visos netinkamomis pripažintos išlaidos yra finansuojamos Paskolos gavėjo nuosavomis ar (ir) skolintomis lėšomis, iš jų Paskolos gavėjo nuosavos lėšos turi sudaryti ne mažiau kaip 10 proc. Projekto tinkamų finansuoti išlaidų.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 (pavyzdžiui, suteikta garantija).</w:t>
                </w:r>
              </w:p>
              <w:p>
                <w:pPr>
                  <w:jc w:val="both"/>
                  <w:textAlignment w:val="baseline"/>
                  <w:rPr>
                    <w:color w:val="000000"/>
                    <w:szCs w:val="24"/>
                  </w:rPr>
                </w:pPr>
                <w:r>
                  <w:rPr>
                    <w:color w:val="000000"/>
                    <w:szCs w:val="24"/>
                  </w:rPr>
                  <w:t>12.1.2. kai finansuojamos Schemos 6.2–6.3 papunkčiuose nurodytos veiklos – ne mažiau kaip 10 proc. Projekto tinkamų finansuoti išlaidų dalis ir visos netinkamomis pripažintos išlaidos yra finansuojamos Paskolos gavėjo nuosavomis lėšomis, kurios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valstybės pagalba (pavyzdžiui, suteikta garantija). Maksimali Priemonės lėšų suma, skirta Projekto finansavimui, gali būti iki 70 proc. Projekto tinkamų finansuoti išlaidų.</w:t>
                </w:r>
              </w:p>
              <w:p>
                <w:pPr>
                  <w:jc w:val="both"/>
                  <w:textAlignment w:val="baseline"/>
                  <w:rPr>
                    <w:color w:val="000000"/>
                    <w:szCs w:val="24"/>
                  </w:rPr>
                </w:pPr>
                <w:r>
                  <w:rPr>
                    <w:color w:val="000000"/>
                    <w:szCs w:val="24"/>
                  </w:rPr>
                  <w:t>12.2. Kai finansuojama Schemos 6.3 papunktyje nurodyta veikla, visais atvejais tiesioginė paskola turi sudaryti ne daugiau kaip 70 proc. Projekto tinkamų finansuoti išlaidų.</w:t>
                </w:r>
              </w:p>
              <w:p>
                <w:pPr>
                  <w:jc w:val="both"/>
                  <w:textAlignment w:val="baseline"/>
                  <w:rPr>
                    <w:color w:val="000000"/>
                    <w:szCs w:val="24"/>
                  </w:rPr>
                </w:pPr>
                <w:r>
                  <w:rPr>
                    <w:color w:val="000000"/>
                    <w:szCs w:val="24"/>
                  </w:rPr>
                  <w:t>12.3. Teikiant subordinuotą paskolą, Paskola ir finansų įstaigos ir (ar) TFI suteikta paskola, kurios atžvilgiu subordinuojama Paskola, turi sudaryti ne daugiau kaip 80 procentų Projekto tinkamų finansuoti išlaidų (suma skaičiuojama be PVM, išskyrus tuos atvejus, kai Paskolos gavėjas yra ne PVM mokėtojas).</w:t>
                </w:r>
              </w:p>
              <w:p>
                <w:pPr>
                  <w:jc w:val="both"/>
                  <w:textAlignment w:val="baseline"/>
                  <w:rPr>
                    <w:color w:val="000000"/>
                    <w:szCs w:val="24"/>
                  </w:rPr>
                </w:pPr>
                <w:r>
                  <w:rPr>
                    <w:color w:val="000000"/>
                    <w:szCs w:val="24"/>
                  </w:rPr>
                  <w:t>12.4. Teikiant sindikuotą paskolą, Paskola ir finansų įstaigos ir (ar) TFI, kredituojančios paskolos gavėją kartu su Paskolos davėju, suteikta paskola turi sudaryti ne daugiau kaip 80 procentų Projekto tinkamų finansuoti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 išskyrus tuos atvejus, kai Paskolos gavėjas yra ne PVM mokėtojas).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szCs w:val="24"/>
                    <w:lang w:eastAsia="lt-LT"/>
                  </w:rPr>
                </w:pPr>
                <w:r>
                  <w:rPr>
                    <w:szCs w:val="24"/>
                  </w:rPr>
                  <w:t>13.1. Suteikiamos paskolos dydis paskolos gavėjui ar įmonių grupei (jei paskolos gavėjas priklauso įmonių grupei) turi neviršyti galimo suteikti valstybės pagalbos dydžio vienam Projektui, kaip nurodyta Reglamento (ES) Nr. 651/2014 4 straipsnio 1 dalies s) punkte.</w:t>
                </w:r>
              </w:p>
              <w:p>
                <w:pPr>
                  <w:tabs>
                    <w:tab w:val="left" w:pos="993"/>
                  </w:tabs>
                  <w:jc w:val="both"/>
                  <w:rPr>
                    <w:color w:val="000000"/>
                    <w:lang w:eastAsia="lt-LT"/>
                  </w:rPr>
                </w:pPr>
                <w:r>
                  <w:rPr>
                    <w:color w:val="000000"/>
                    <w:szCs w:val="24"/>
                    <w:lang w:eastAsia="lt-LT"/>
                  </w:rPr>
                  <w:t xml:space="preserve">13.2. Bendra </w:t>
                </w:r>
                <w:r>
                  <w:rPr>
                    <w:i/>
                    <w:iCs/>
                    <w:color w:val="000000"/>
                    <w:szCs w:val="24"/>
                    <w:lang w:eastAsia="lt-LT"/>
                  </w:rPr>
                  <w:t>de minimis</w:t>
                </w:r>
                <w:r>
                  <w:rPr>
                    <w:color w:val="000000"/>
                    <w:szCs w:val="24"/>
                    <w:lang w:eastAsia="lt-LT"/>
                  </w:rPr>
                  <w:t xml:space="preserve"> pagalbos suma, suteikta vienam paskolos gavėjui (t. y. vienai įmonei, kaip ji apibrėžta </w:t>
                </w:r>
                <w:r>
                  <w:rPr>
                    <w:i/>
                    <w:iCs/>
                    <w:color w:val="000000"/>
                    <w:szCs w:val="24"/>
                    <w:lang w:eastAsia="lt-LT"/>
                  </w:rPr>
                  <w:t>De minimis</w:t>
                </w:r>
                <w:r>
                  <w:rPr>
                    <w:color w:val="000000"/>
                    <w:szCs w:val="24"/>
                    <w:lang w:eastAsia="lt-LT"/>
                  </w:rPr>
                  <w:t xml:space="preserve"> reglamento 2 straipsnio 2 dalyje), per bet kurį trejų metų laikotarpį negali būti didesnė kaip 300 000 (trys šimtai tūkstančių) eurų. Visi to paties paskolos gavėjo, kuriam pagalba teikiama vadovaujantis </w:t>
                </w:r>
                <w:r>
                  <w:rPr>
                    <w:i/>
                    <w:iCs/>
                    <w:color w:val="000000"/>
                    <w:szCs w:val="24"/>
                    <w:lang w:eastAsia="lt-LT"/>
                  </w:rPr>
                  <w:t>De minimis</w:t>
                </w:r>
                <w:r>
                  <w:rPr>
                    <w:color w:val="000000"/>
                    <w:szCs w:val="24"/>
                    <w:lang w:eastAsia="lt-LT"/>
                  </w:rPr>
                  <w:t xml:space="preserve"> Reglamentu, kontroliuojami subjektai, atitinkantys bent vienos rūšies tarpusavio santykius, nustatytus </w:t>
                </w:r>
                <w:r>
                  <w:rPr>
                    <w:i/>
                    <w:iCs/>
                    <w:color w:val="000000"/>
                    <w:szCs w:val="24"/>
                    <w:lang w:eastAsia="lt-LT"/>
                  </w:rPr>
                  <w:t>De minimis</w:t>
                </w:r>
                <w:r>
                  <w:rPr>
                    <w:color w:val="000000"/>
                    <w:szCs w:val="24"/>
                    <w:lang w:eastAsia="lt-LT"/>
                  </w:rPr>
                  <w:t xml:space="preserve"> reglamento 2 straipsnio 2 dalyje, laikomi viena įmone.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Valstybės pagalbos apskaičiavimas (taikoma skaičiuojant pagal Reglamentą (ES) Nr. 651/2014 ir </w:t>
                </w:r>
                <w:r>
                  <w:rPr>
                    <w:i/>
                    <w:iCs/>
                    <w:color w:val="000000"/>
                    <w:szCs w:val="24"/>
                    <w:lang w:eastAsia="lt-LT"/>
                  </w:rPr>
                  <w:t>De minimis</w:t>
                </w:r>
                <w:r>
                  <w:rPr>
                    <w:color w:val="000000"/>
                    <w:szCs w:val="24"/>
                    <w:lang w:eastAsia="lt-LT"/>
                  </w:rPr>
                  <w:t xml:space="preserve"> reglamentą)</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ILTE, atsižvelgdama į Europos Komisijos komunikatą dėl orientacinių ir  diskonto normų nustatymo metodo pakeitimo (2008/C 14/02)9;</w:t>
                </w:r>
              </w:p>
              <w:p>
                <w:pPr>
                  <w:jc w:val="both"/>
                  <w:rPr>
                    <w:color w:val="000000"/>
                  </w:rPr>
                </w:pPr>
                <w:r>
                  <w:rPr>
                    <w:color w:val="000000"/>
                  </w:rPr>
                  <w:t>14.2. Paskolos gavėjui apskaičiuotas valstybės pagalbos dydis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 xml:space="preserve">14.5. Jeigu BSE viršija didžiausią galimą suteikti valstybės pagalbos arba </w:t>
                </w:r>
                <w:r>
                  <w:rPr>
                    <w:i/>
                    <w:iCs/>
                    <w:color w:val="000000"/>
                  </w:rPr>
                  <w:t>de minimis</w:t>
                </w:r>
                <w:r>
                  <w:rPr>
                    <w:color w:val="000000"/>
                  </w:rPr>
                  <w:t xml:space="preserve">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 xml:space="preserve">Pagal Schemą teikiama valstybės pagalba sumuojama, kaip tai nurodyta Reglamento (ES) Nr. 651/2014 8 straipsnyje ir </w:t>
                </w:r>
                <w:r>
                  <w:rPr>
                    <w:i/>
                    <w:iCs/>
                  </w:rPr>
                  <w:t>D</w:t>
                </w:r>
                <w:r>
                  <w:rPr>
                    <w:bCs/>
                    <w:i/>
                    <w:iCs/>
                  </w:rPr>
                  <w:t>e minimis</w:t>
                </w:r>
                <w:r>
                  <w:rPr>
                    <w:bCs/>
                  </w:rPr>
                  <w:t xml:space="preserve"> </w:t>
                </w:r>
                <w:r>
                  <w:t>reglamento 5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 xml:space="preserve">16.1. Paskolos davėjas turi užtikrinti, kad teikiamos paskolos atitiktų Reglamento (ES) Nr. 651/2014 ir (arba) </w:t>
                </w:r>
                <w:r>
                  <w:rPr>
                    <w:i/>
                    <w:iCs/>
                    <w:szCs w:val="24"/>
                  </w:rPr>
                  <w:t>De minimis</w:t>
                </w:r>
                <w:r>
                  <w:rPr>
                    <w:szCs w:val="24"/>
                  </w:rPr>
                  <w:t xml:space="preserve"> reglamento ir Schemos nuostatas;</w:t>
                </w:r>
              </w:p>
              <w:p>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ILTE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ILTE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ILTE interneto svetainėje (https://ilte.lt/).</w:t>
                </w:r>
              </w:p>
            </w:tc>
          </w:tr>
        </w:tbl>
        <w:p>
          <w:pPr>
            <w:widowControl w:val="0"/>
            <w:jc w:val="center"/>
            <w:rPr>
              <w:color w:val="000000"/>
            </w:rPr>
          </w:pPr>
        </w:p>
        <w:p>
          <w:pPr>
            <w:widowControl w:val="0"/>
            <w:jc w:val="cente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97466049811f08e9f87c0d053bf09">
            <w:r w:rsidRPr="00532B9F">
              <w:rPr>
                <w:rFonts w:ascii="Times New Roman" w:eastAsia="MS Mincho" w:hAnsi="Times New Roman"/>
                <w:sz w:val="20"/>
                <w:i/>
                <w:iCs/>
                <w:color w:val="0000FF" w:themeColor="hyperlink"/>
                <w:u w:val="single"/>
              </w:rPr>
              <w:t>1-65</w:t>
            </w:r>
          </w:fldSimple>
          <w:r>
            <w:rPr>
              <w:rFonts w:ascii="Times New Roman" w:eastAsia="MS Mincho" w:hAnsi="Times New Roman"/>
              <w:sz w:val="20"/>
              <w:i/>
              <w:iCs/>
            </w:rPr>
            <w:t>,
2025-03-19,
paskelbta TAR 2025-03-19, i. k. 2025-04453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59e10169011f08fdabd4950271e2c">
            <w:r w:rsidRPr="00532B9F">
              <w:rPr>
                <w:rFonts w:ascii="Times New Roman" w:eastAsia="MS Mincho" w:hAnsi="Times New Roman"/>
                <w:sz w:val="20"/>
                <w:i/>
                <w:iCs/>
                <w:color w:val="0000FF" w:themeColor="hyperlink"/>
                <w:u w:val="single"/>
              </w:rPr>
              <w:t>1-82</w:t>
            </w:r>
          </w:fldSimple>
          <w:r>
            <w:rPr>
              <w:rFonts w:ascii="Times New Roman" w:eastAsia="MS Mincho" w:hAnsi="Times New Roman"/>
              <w:sz w:val="20"/>
              <w:i/>
              <w:iCs/>
            </w:rPr>
            <w:t>,
2025-04-11,
paskelbta TAR 2025-04-11, i. k. 2025-06400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9df3e4370d11f08fdabd4950271e2c">
            <w:r w:rsidRPr="00532B9F">
              <w:rPr>
                <w:rFonts w:ascii="Times New Roman" w:eastAsia="MS Mincho" w:hAnsi="Times New Roman"/>
                <w:sz w:val="20"/>
                <w:i/>
                <w:iCs/>
                <w:color w:val="0000FF" w:themeColor="hyperlink"/>
                <w:u w:val="single"/>
              </w:rPr>
              <w:t>1-133</w:t>
            </w:r>
          </w:fldSimple>
          <w:r>
            <w:rPr>
              <w:rFonts w:ascii="Times New Roman" w:eastAsia="MS Mincho" w:hAnsi="Times New Roman"/>
              <w:sz w:val="20"/>
              <w:i/>
              <w:iCs/>
            </w:rPr>
            <w:t>,
2025-05-22,
paskelbta TAR 2025-05-22, i. k. 2025-09108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00ceb4617c11f0a8bbd1e98310677d">
            <w:r w:rsidRPr="00532B9F">
              <w:rPr>
                <w:rFonts w:ascii="Times New Roman" w:eastAsia="MS Mincho" w:hAnsi="Times New Roman"/>
                <w:sz w:val="20"/>
                <w:i/>
                <w:iCs/>
                <w:color w:val="0000FF" w:themeColor="hyperlink"/>
                <w:u w:val="single"/>
              </w:rPr>
              <w:t>1-182</w:t>
            </w:r>
          </w:fldSimple>
          <w:r>
            <w:rPr>
              <w:rFonts w:ascii="Times New Roman" w:eastAsia="MS Mincho" w:hAnsi="Times New Roman"/>
              <w:sz w:val="20"/>
              <w:i/>
              <w:iCs/>
            </w:rPr>
            <w:t>,
2025-07-15,
paskelbta TAR 2025-07-15, i. k. 2025-12844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36bc0741f11f0a8bbd1e98310677d">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2025-08-08,
paskelbta TAR 2025-08-08, i. k. 2025-13880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ba9f0da6211efa5ddd96c482819f5">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2025-01-24,
paskelbta TAR 2025-01-24, i. k. 2025-00994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997466049811f08e9f87c0d053bf09">
            <w:r w:rsidRPr="00532B9F">
              <w:rPr>
                <w:rFonts w:ascii="Times New Roman" w:eastAsia="MS Mincho" w:hAnsi="Times New Roman"/>
                <w:sz w:val="20"/>
                <w:iCs/>
                <w:color w:val="0000FF" w:themeColor="hyperlink"/>
                <w:u w:val="single"/>
              </w:rPr>
              <w:t>1-65</w:t>
            </w:r>
          </w:fldSimple>
          <w:r>
            <w:rPr>
              <w:rFonts w:ascii="Times New Roman" w:eastAsia="MS Mincho" w:hAnsi="Times New Roman"/>
              <w:sz w:val="20"/>
              <w:iCs/>
            </w:rPr>
            <w:t>,
2025-03-19,
paskelbta TAR 2025-03-19, i. k. 2025-04453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59e10169011f08fdabd4950271e2c">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2025-04-11,
paskelbta TAR 2025-04-11, i. k. 2025-06400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9df3e4370d11f08fdabd4950271e2c">
            <w:r w:rsidRPr="00532B9F">
              <w:rPr>
                <w:rFonts w:ascii="Times New Roman" w:eastAsia="MS Mincho" w:hAnsi="Times New Roman"/>
                <w:sz w:val="20"/>
                <w:iCs/>
                <w:color w:val="0000FF" w:themeColor="hyperlink"/>
                <w:u w:val="single"/>
              </w:rPr>
              <w:t>1-133</w:t>
            </w:r>
          </w:fldSimple>
          <w:r>
            <w:rPr>
              <w:rFonts w:ascii="Times New Roman" w:eastAsia="MS Mincho" w:hAnsi="Times New Roman"/>
              <w:sz w:val="20"/>
              <w:iCs/>
            </w:rPr>
            <w:t>,
2025-05-22,
paskelbta TAR 2025-05-22, i. k. 2025-09108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00ceb4617c11f0a8bbd1e98310677d">
            <w:r w:rsidRPr="00532B9F">
              <w:rPr>
                <w:rFonts w:ascii="Times New Roman" w:eastAsia="MS Mincho" w:hAnsi="Times New Roman"/>
                <w:sz w:val="20"/>
                <w:iCs/>
                <w:color w:val="0000FF" w:themeColor="hyperlink"/>
                <w:u w:val="single"/>
              </w:rPr>
              <w:t>1-182</w:t>
            </w:r>
          </w:fldSimple>
          <w:r>
            <w:rPr>
              <w:rFonts w:ascii="Times New Roman" w:eastAsia="MS Mincho" w:hAnsi="Times New Roman"/>
              <w:sz w:val="20"/>
              <w:iCs/>
            </w:rPr>
            <w:t>,
2025-07-15,
paskelbta TAR 2025-07-15, i. k. 2025-12844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e36bc0741f11f0a8bbd1e98310677d">
            <w:r w:rsidRPr="00532B9F">
              <w:rPr>
                <w:rFonts w:ascii="Times New Roman" w:eastAsia="MS Mincho" w:hAnsi="Times New Roman"/>
                <w:sz w:val="20"/>
                <w:iCs/>
                <w:color w:val="0000FF" w:themeColor="hyperlink"/>
                <w:u w:val="single"/>
              </w:rPr>
              <w:t>1-196</w:t>
            </w:r>
          </w:fldSimple>
          <w:r>
            <w:rPr>
              <w:rFonts w:ascii="Times New Roman" w:eastAsia="MS Mincho" w:hAnsi="Times New Roman"/>
              <w:sz w:val="20"/>
              <w:iCs/>
            </w:rPr>
            <w:t>,
2025-08-08,
paskelbta TAR 2025-08-08, i. k. 2025-13880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w:instrText>
    </w:r>
    <w:r>
      <w:instrText>E   \* MERGEFORMAT</w:instrText>
    </w:r>
    <w:r>
      <w:fldChar w:fldCharType="separate"/>
    </w:r>
    <w:r>
      <w:t>12</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3B09FBB3"/>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28930587">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6.xml"/>
  <Relationship Id="rId10" Type="http://schemas.openxmlformats.org/officeDocument/2006/relationships/hyperlink" TargetMode="External" Target="http://eur-lex.europa.eu/legal-content/LIT/TXT/?uri=CELEX:32014R0651&amp;locale=lt"/>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22.xml"/>
  <Relationship Id="rId17" Type="http://schemas.openxmlformats.org/officeDocument/2006/relationships/hyperlink" TargetMode="External" Target="http://eur-lex.europa.eu/legal-content/LIT/TXT/?uri=CELEX:32014R0651&amp;locale=lt"/>
  <Relationship Id="rId18" Type="http://schemas.openxmlformats.org/officeDocument/2006/relationships/hyperlink" TargetMode="External" Target="http://eur-lex.europa.eu/legal-content/LIT/TXT/?uri=CELEX:32014R0651&amp;locale=lt"/>
  <Relationship Id="rId19" Type="http://schemas.openxmlformats.org/officeDocument/2006/relationships/hyperlink" TargetMode="External" Target="http://eur-lex.europa.eu/legal-content/LIT/TXT/?uri=CELEX:32014R0651&amp;locale=lt"/>
  <Relationship Id="rId2" Type="http://schemas.openxmlformats.org/officeDocument/2006/relationships/customXml" Target="../customXml/item1.xml"/>
  <Relationship Id="rId20" Type="http://schemas.openxmlformats.org/officeDocument/2006/relationships/hyperlink" TargetMode="External" Target="http://eur-lex.europa.eu/legal-content/LIT/TXT/?uri=CELEX:32014R0651&amp;locale=lt"/>
  <Relationship Id="rId21" Type="http://schemas.openxmlformats.org/officeDocument/2006/relationships/hyperlink" TargetMode="External" Target="http://eur-lex.europa.eu/legal-content/LIT/TXT/?uri=CELEX:32014R0651&amp;locale=lt"/>
  <Relationship Id="rId22" Type="http://schemas.openxmlformats.org/officeDocument/2006/relationships/hyperlink" TargetMode="External" Target="http://eur-lex.europa.eu/legal-content/LIT/TXT/?uri=CELEX:32014R0651&amp;locale=lt"/>
  <Relationship Id="rId23" Type="http://schemas.openxmlformats.org/officeDocument/2006/relationships/customXml" Target="../customXml/item4.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customXml" Target="../customXml/item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b547878be229403293d5082389e867f6"/>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2.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3.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C0A278B-E92A-4BB3-A698-9091F3CEF8F7}">
  <ds:schemaRefs>
    <ds:schemaRef ds:uri="http://lrs.lt/TAIS/DocPart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CF9F5EA0-65E4-44BC-BAD5-E26DDEF44DC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74</TotalTime>
  <Pages>27</Pages>
  <Words>9320</Words>
  <Characters>66312</Characters>
  <Application>Microsoft Office Word</Application>
  <DocSecurity>0</DocSecurity>
  <Lines>552</Lines>
  <Paragraphs>150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75482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GRINKEVIČIŪTĖ Agnė</lastModifiedBy>
  <lastPrinted>2021-12-24T00:52:00Z</lastPrinted>
  <dcterms:modified xsi:type="dcterms:W3CDTF">2025-08-11T11:00:00Z</dcterms:modified>
  <revision>16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