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2025-03-20 iki 2025-04-11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4820ac73190f4cf1b39a18eda19b3bd7"/>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4"/>
              <w:pgSz w:w="11906" w:h="16838"/>
              <w:pgMar w:top="1701" w:right="567" w:bottom="1134" w:left="1701" w:header="567" w:footer="567" w:gutter="0"/>
              <w:cols w:space="1296"/>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4820ac73190f4cf1b39a18eda19b3bd7"/>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strike/>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jc w:val="both"/>
                  <w:textAlignment w:val="center"/>
                  <w:rPr>
                    <w:color w:val="000000"/>
                    <w:lang w:eastAsia="lt-LT"/>
                  </w:rPr>
                </w:pPr>
                <w:r>
                  <w:rPr>
                    <w:color w:val="000000"/>
                    <w:lang w:eastAsia="lt-LT"/>
                  </w:rPr>
                  <w:t xml:space="preserve">2.3.  Bendra paskolų suma paskolų gavėjams apibrėžtiems Schemos 7.1.3 papunktyje negali viršyti 100 000 000 (šimtas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FF0000"/>
                  </w:rPr>
                </w:pPr>
                <w:r>
                  <w:rPr>
                    <w:color w:val="000000"/>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UAB ILTE (toliau – ILTE) kaip Energijos efektyvumo fondo (toliau –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(ES) Nr. 651/2014 2 straipsnyje, Lietuvos Respublikos nacionalinio plėtros banko įstatyme, Lietuvos Respublikos smulkiojo ir vidutinio verslo plėtros įstatyme (toliau – SVV įstatymas), Lietuvos Respublikos įmonių ir įmonių grupių  atskaitomybės įstatyme,  Lietuvos Respublikos elektros energetikos įstatyme,</w:t>
                </w:r>
                <w:r>
                  <w:t xml:space="preserve"> Lietuvos Respublikos atsinaujinančių išteklių energetikos įstatyme, Lietuvos Respublikos statybos įstatyme, Lietuvos Respublikos žemės įstatyme, Lietuvos Respublikos valstybės ir savivaldybių įmonių įstatyme, Lietuvos Respublikos viešųjų įstaigų įstatyme ir kt.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Saulės ir (ar) vėjo elektrinių įrengimas, statyba arba įsigijimas.</w:t>
                </w:r>
              </w:p>
              <w:p>
                <w:pPr>
                  <w:jc w:val="both"/>
                  <w:rPr>
                    <w:color w:val="000000"/>
                  </w:rPr>
                </w:pP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saulės ir (ar) vėjo elektrines Atsinaujinančių išteklių energetikos įstatymo 20</w:t>
                </w:r>
                <w:r>
                  <w:rPr>
                    <w:rFonts w:eastAsia="Calibri"/>
                    <w:vertAlign w:val="superscript"/>
                  </w:rPr>
                  <w:t>1</w:t>
                </w:r>
                <w:r>
                  <w:rPr>
                    <w:rFonts w:eastAsia="Calibri"/>
                  </w:rPr>
                  <w:t xml:space="preserve"> straipsnio 8 dalyje nustatyta tvarka;</w:t>
                </w:r>
              </w:p>
              <w:p>
                <w:pPr>
                  <w:jc w:val="both"/>
                  <w:rPr>
                    <w:rFonts w:eastAsia="Calibri"/>
                  </w:rPr>
                </w:pPr>
                <w:r>
                  <w:rPr>
                    <w:rFonts w:eastAsia="Calibri"/>
                  </w:rPr>
                  <w:t>7.1.4. įmonių grupės įmonei, statančiai ir (ar) įsigyjančiai saulės ir (ar) vėjo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įmonių grupei) sprendimo suteikti paskolą metu nėra patiriantys sunkumų, kaip tai apibrėžta Reglamento (ES) Nr. 651/2014 2 straipsnio 18 punkte;</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 xml:space="preserve">7.4.9. Paskolos gavėjui gali būti suteikta atitinkamo dydžio valstybės pagalba, vadovaujantis Reglamento (ES) Nr. 651/2014 4 straipsnio 1 dalies s) punkto ir 41 straipsnio nuostatomis; </w:t>
                </w:r>
              </w:p>
              <w:p>
                <w:pPr>
                  <w:tabs>
                    <w:tab w:val="left" w:pos="1701"/>
                  </w:tabs>
                  <w:jc w:val="both"/>
                  <w:rPr>
                    <w:szCs w:val="24"/>
                  </w:rPr>
                </w:pPr>
                <w:r>
                  <w:rPr>
                    <w:color w:val="000000"/>
                    <w:shd w:val="clear" w:color="auto" w:fill="FFFFFF"/>
                  </w:rPr>
                  <w:t>7.4.10. Paskolos gavėjo veikla nėra vykdoma Reglamento (ES) Nr. 651/2014 1 straipsnio 3 dalies a ir c punktuose išvardytais atvejais;  </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8.1. Pagal Priemonę paskolos lėšomis gali būti finansuojamos šios Projekto išlaidos:</w:t>
                </w:r>
                <w:r>
                  <w:t xml:space="preserve"> </w:t>
                </w:r>
              </w:p>
              <w:p>
                <w:pPr>
                  <w:jc w:val="both"/>
                  <w:rPr>
                    <w:rFonts w:eastAsia="Calibri"/>
                  </w:rPr>
                </w:pPr>
                <w:r>
                  <w:rPr>
                    <w:rFonts w:eastAsia="Calibri"/>
                  </w:rPr>
                  <w:t>8.1.1. Pasirengimo elektrinės statybai ir prijungimo dokumentacijos parengimas (techninio ir darbo projektų parengimas, statybą leidžiančio dokumento išdavimas ir kita);</w:t>
                </w:r>
              </w:p>
              <w:p>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pPr>
                  <w:tabs>
                    <w:tab w:val="left" w:pos="0"/>
                  </w:tabs>
                  <w:jc w:val="both"/>
                </w:pPr>
                <w:r>
                  <w:t>8.1.3. žemės sklypo sutvarkymas, infrastruktūros ir inžinerinių tinklų bei sistemų sklype įrengimas ir (ar) sutvarkymas ir apsaugos įrengimo darbai (įskaitant sklypo aptvėrimo, apšvietimo išlaidas) (jei saulės ir (ar) vėjo elektrinė statoma ant žemės);</w:t>
                </w:r>
              </w:p>
              <w:p>
                <w:pPr>
                  <w:tabs>
                    <w:tab w:val="left" w:pos="0"/>
                  </w:tabs>
                  <w:jc w:val="both"/>
                </w:pPr>
                <w:r>
                  <w:t xml:space="preserve">8.1.4. saulės ir (ar) vėjo elektrinės ir reikalinga įsigyti susijusi elektrotechninė įranga, konstrukcijos, kabeliai bei susiję montavimo (derinimo) darbai ir kiti susiję saulės ir (ar) vėjo elektrinės statybos darbai pagal sudarytas </w:t>
                </w:r>
                <w:r>
                  <w:rPr>
                    <w:rFonts w:eastAsia="Calibri"/>
                    <w:szCs w:val="24"/>
                  </w:rPr>
                  <w:t>turto įsigijimo, prekių tiekimo ir (ar) paslaugų atlikimo, rangos sutartis</w:t>
                </w:r>
                <w:r>
                  <w:t xml:space="preserve">; </w:t>
                </w:r>
              </w:p>
              <w:p>
                <w:pPr>
                  <w:tabs>
                    <w:tab w:val="left" w:pos="0"/>
                  </w:tabs>
                  <w:jc w:val="both"/>
                </w:pPr>
                <w:r>
                  <w:t xml:space="preserve">8.1.5. elektros jungties (oro linijos/kabelio) tiesimo  darbai iki saulės ir (ar) vėjo elektrinės prijungimo vietos; </w:t>
                </w:r>
              </w:p>
              <w:p>
                <w:pPr>
                  <w:jc w:val="both"/>
                </w:pPr>
                <w:r>
                  <w:t xml:space="preserve">8.1.6. </w:t>
                </w:r>
                <w:r>
                  <w:rPr>
                    <w:rFonts w:eastAsia="Calibri"/>
                  </w:rPr>
                  <w:t xml:space="preserve">elektrinės prijungimo prie elektros energijos skirstomojo ir (arba) perdavimo tinklo mokestis pagal prisijungimo </w:t>
                </w:r>
                <w:r>
                  <w:rPr>
                    <w:rFonts w:eastAsia="Calibri"/>
                    <w:szCs w:val="24"/>
                  </w:rPr>
                  <w:t xml:space="preserve">sąlygas, </w:t>
                </w:r>
                <w:r>
                  <w:rPr>
                    <w:szCs w:val="24"/>
                  </w:rPr>
                  <w:t>taip pat, jei paskolos gavėjas yra savivaldybės administracija – prievolių įvykdymo užtikrinimo išlaidos ir su prievolių užtikrinimu susiję įnašai, mokėjimai, kurie įvykdžius prievoles ir (ar) pasibaigus prievolių įvykdymo užtikrinimo terminui, bus ne vėliau kaip per 10 darbo dienų grąžinti paskolos davėjui, kaip paskolos gavėjui (savivaldybės administracijai) suteiktos paskolos dalis</w:t>
                </w:r>
                <w:r>
                  <w:t>;</w:t>
                </w:r>
              </w:p>
              <w:p>
                <w:pPr>
                  <w:jc w:val="both"/>
                </w:pPr>
                <w:r>
                  <w:t>8.1.7. pastatytos, bet iki perleidimo pareiškėjo nuosavybėn neeksploatuotos elektrinės įsigijimo investicinės išlaidos;</w:t>
                </w:r>
              </w:p>
              <w:p>
                <w:pPr>
                  <w:jc w:val="both"/>
                </w:pPr>
                <w:r>
                  <w:t>8.1.8. pastatytos ir neeksploatuotos elektrinės dalies įsigijimo investicinės išlaidos.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w:t>
                </w:r>
                <w:r>
                  <w:rPr>
                    <w:rFonts w:eastAsia="Calibri"/>
                  </w:rPr>
                  <w:t>įsigijimo ir (ar) nuomos ir su tuo susijusios išlaidos;</w:t>
                </w:r>
              </w:p>
              <w:p>
                <w:pPr>
                  <w:jc w:val="both"/>
                  <w:rPr>
                    <w:rFonts w:eastAsia="Calibri"/>
                  </w:rPr>
                </w:pPr>
                <w:r>
                  <w:rPr>
                    <w:rFonts w:eastAsia="Calibri"/>
                  </w:rPr>
                  <w:t>9.1.5. Projekto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 xml:space="preserve">Schemos 7.1.1, 7.1.2 ir 7.1.4 papunkčiuose nurodytų paskolos gavėjų Projektų, kuriais siekiama įsigyti saulės ar vėjo elektrinę ar jos dalį, išlaidos, kai saulės ar vėjo elektrinės yra pastatytos ar įrengtos juridinio asmens, apibrėžto Schemos 7.1.3 papunktyje, ir buvo finansuotos iš Priemonei skirtų lėšų arba </w:t>
                </w:r>
                <w:r>
                  <w:t>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r>
                  <w:rPr>
                    <w:color w:val="000000"/>
                    <w:lang w:eastAsia="lt-LT"/>
                  </w:rPr>
                  <w:t>;</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pPr>
                  <w:suppressAutoHyphens/>
                  <w:jc w:val="both"/>
                  <w:textAlignment w:val="center"/>
                  <w:rPr>
                    <w:szCs w:val="24"/>
                  </w:rPr>
                </w:pPr>
                <w:r>
                  <w:rPr>
                    <w:color w:val="000000"/>
                  </w:rPr>
                  <w:t xml:space="preserve">11.1.1. </w:t>
                </w:r>
                <w:r>
                  <w:rPr>
                    <w:color w:val="000000"/>
                    <w:szCs w:val="24"/>
                  </w:rPr>
                  <w:t>Viešajam juridiniam asmeniui, kuriame 50 procentų ir daugiau akcijų, pajų ar kitokių dalyvavimą kapitale žyminčių kapitalo dalių arba 50 procentų ir daugiau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rPr>
                </w:pPr>
                <w:r>
                  <w:rPr>
                    <w:color w:val="000000"/>
                  </w:rPr>
                  <w:t xml:space="preserve">11.1.2. </w:t>
                </w:r>
                <w:r>
                  <w:rPr>
                    <w:color w:val="000000"/>
                    <w:szCs w:val="24"/>
                  </w:rPr>
                  <w:t xml:space="preserve">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rPr>
                </w:pPr>
                <w:r>
                  <w:rPr>
                    <w:color w:val="000000"/>
                  </w:rPr>
                  <w:t>11.2. Paskolos laikotarpis ne ilgiau nei 20 metų imtinai, kai paskolos gavėjas siekia statyti ir (ar) įsirengti, ir (ar) įsigyti saulės ir (ar) vėjo, ir (ar) hibridinę elektrinę.</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jc w:val="both"/>
                  <w:rPr>
                    <w:color w:val="000000"/>
                  </w:rPr>
                </w:pPr>
                <w:r>
                  <w:rPr>
                    <w:color w:val="000000"/>
                  </w:rPr>
                  <w:t xml:space="preserve">11.4. </w:t>
                </w:r>
                <w:r>
                  <w:t>Metinė palūkanų norma nustatoma kaip kintamos palūkanos: 1 proc. + 6 mėn. EURIBOR (esant neigiamai 6 mėn. EURIBOR reikšmei, laikoma, kad 6 mėn. EURIBOR reikšmė lygi 0 proc. Visais atvejais metinė palūkanų norma negali viršyti 3 proc.</w:t>
                </w:r>
                <w:r>
                  <w:rPr>
                    <w:color w:val="000000"/>
                  </w:rPr>
                  <w:t xml:space="preserve">;  </w:t>
                </w:r>
              </w:p>
              <w:p>
                <w:pPr>
                  <w:jc w:val="both"/>
                  <w:rPr>
                    <w:color w:val="000000"/>
                    <w:szCs w:val="24"/>
                  </w:rPr>
                </w:pPr>
                <w:r>
                  <w:rPr>
                    <w:color w:val="000000"/>
                    <w:szCs w:val="24"/>
                  </w:rPr>
                  <w:t>11.5. Paskolos panaudojimo laikotarpis:</w:t>
                </w:r>
              </w:p>
              <w:p>
                <w:pPr>
                  <w:jc w:val="both"/>
                  <w:rPr>
                    <w:color w:val="000000"/>
                    <w:szCs w:val="24"/>
                  </w:rPr>
                </w:pPr>
                <w:r>
                  <w:rPr>
                    <w:color w:val="000000"/>
                    <w:szCs w:val="24"/>
                  </w:rPr>
                  <w:t>11.5.1. iki 36 mėnesių imtinai, pradedant skaičiuoti nuo Paskolos sutarties sudarymo, kai paskolos gavėjas siekia statyti ir (ar) įsirengti ir (ar) įsigyti saulės elektrinę;</w:t>
                </w:r>
              </w:p>
              <w:p>
                <w:pPr>
                  <w:jc w:val="both"/>
                  <w:rPr>
                    <w:color w:val="000000"/>
                    <w:szCs w:val="24"/>
                  </w:rPr>
                </w:pPr>
                <w:r>
                  <w:rPr>
                    <w:color w:val="000000"/>
                    <w:szCs w:val="24"/>
                  </w:rPr>
                  <w:t>11.5.2. iki 48 mėnesių imtinai, pradedant skaičiuoti nuo Paskolos sutarties sudarymo, kai paskolos gavėjas siekia statyti ir (ar) įsirengti ir (ar) įsigyti vėjo elektrinę ar hibridinę (kurios viena dalių – vėjo, o kita – saulės) elektrinę.</w:t>
                </w:r>
              </w:p>
              <w:p>
                <w:pPr>
                  <w:jc w:val="both"/>
                  <w:rPr>
                    <w:color w:val="000000"/>
                  </w:rPr>
                </w:pPr>
                <w:r>
                  <w:rPr>
                    <w:color w:val="000000"/>
                  </w:rPr>
                  <w:t xml:space="preserve">11.6. Paskolos panaudojimo laikotarpis gali būti pratęstas paskolos gavėjo prašymu paskolos gavėjo ir paskolos davėjo rašytiniu  susitarimu; </w:t>
                </w:r>
              </w:p>
              <w:p>
                <w:pPr>
                  <w:spacing w:line="259" w:lineRule="auto"/>
                  <w:jc w:val="both"/>
                  <w:rPr>
                    <w:color w:val="000000"/>
                    <w:szCs w:val="24"/>
                  </w:rPr>
                </w:pPr>
                <w:r>
                  <w:rPr>
                    <w:color w:val="000000"/>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szCs w:val="24"/>
                  </w:rPr>
                </w:pPr>
                <w:r>
                  <w:rPr>
                    <w:szCs w:val="24"/>
                  </w:rPr>
                  <w:t>11.9. Jei nustatoma, kad paskolos gavėjas pateikė neteisingą informaciją ir (ar) dokumentus ir (ar) nuslėpė informaciją, turinčią reikšmės paskolos suteikimui, paskolos gavėjas privalo grąžinti visą neteisėtai gautą valstybės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rPr>
                </w:pPr>
                <w:r>
                  <w:rPr>
                    <w:color w:val="000000"/>
                  </w:rPr>
                  <w:t xml:space="preserve">11.10. Išsami Priemonės įgyvendinimo tvarka ir procedūros  nustatomos Priemonės aprašyme, tvirtinamame ILTE generalinio direktoriaus įsakymu.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 Privačiajam juridiniam asmeniui ir (arba) viešajam juridiniam asmeniui, išskyrus nurodytą 11.1.1 papunktyje, Paskola gali būti suteikta tik tuo atveju, jei bent 20 proc. Projekto tinkamų finansuoti išlaidų dalis ir visos netinkamomis pripažintos išlaidos yra finansuojamos Paskolos gavėjo nuosavomis ar (ir) skolintomis lėšomis.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p>
                <w:pPr>
                  <w:jc w:val="both"/>
                  <w:textAlignment w:val="baseline"/>
                  <w:rPr>
                    <w:color w:val="000000"/>
                    <w:szCs w:val="24"/>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lang w:eastAsia="lt-LT"/>
                  </w:rPr>
                </w:pPr>
                <w:r>
                  <w:rPr>
                    <w:szCs w:val="24"/>
                  </w:rPr>
                  <w:t>13.1. Vienam paskolos gavėjui ar įmonių grupei (jei paskolos gavėjas priklauso įmonių grupei) gali būti suteikiamos kelios paskolos, tačiau bendra Paskolų suma negali būti didesnė kaip</w:t>
                </w:r>
                <w:r>
                  <w:rPr>
                    <w:i/>
                    <w:iCs/>
                    <w:szCs w:val="24"/>
                  </w:rPr>
                  <w:t xml:space="preserve"> </w:t>
                </w:r>
                <w:r>
                  <w:rPr>
                    <w:color w:val="000000"/>
                    <w:szCs w:val="24"/>
                    <w:lang w:eastAsia="lt-LT"/>
                  </w:rPr>
                  <w:t>100 000 000 (šimtas milijonų) eurų. Suteikiamos paskolos dydis paskolos gavėjui ar įmonių grupei (jei paskolos gavėjas priklauso įmonių grupei) turi neviršyti galimo suteikti valstybės pagalbos dydžio vienam Projektui, kaip nurodyta Reglamento (ES) Nr. 651/2014 4 straipsnio 1 dalies s) punkte.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apskaičiavimas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14.5. Jeigu BSE viršija didžiausią galimą suteikti valstybės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Pagal Schemą teikiama valstybės pagalba sumuojama, kaip tai nurodyta Reglamento (ES) Nr. 651/2014 8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16.1. Paskolos davėjas turi užtikrinti, kad teikiamos paskolos atitiktų Reglamento (ES) Nr. 651/2014,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rPr>
              <w:szCs w:val="24"/>
            </w:rP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4.xml"/>
  <Relationship Id="rId15"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4820ac73190f4cf1b39a18eda19b3bd7"/>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4.xml><?xml version="1.0" encoding="utf-8"?>
<ds:datastoreItem xmlns:ds="http://schemas.openxmlformats.org/officeDocument/2006/customXml" ds:itemID="{76DD2B62-1F8F-4A17-843A-964DA26BA039}">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39F6B9CB-4465-49F4-B077-28588B1518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21</Pages>
  <Words>6798</Words>
  <Characters>48144</Characters>
  <Application>Microsoft Office Word</Application>
  <DocSecurity>0</DocSecurity>
  <Lines>401</Lines>
  <Paragraphs>109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54833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JUOSPONIENĖ Karolina</lastModifiedBy>
  <lastPrinted>2021-12-24T00:52:00Z</lastPrinted>
  <dcterms:modified xsi:type="dcterms:W3CDTF">2025-03-20T10:59:00Z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