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c4bd2ef6108347b2a2a11c7bc267c16c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2020-11-07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2019-10-02, i. k. 2019-15645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 w:eastAsia="lt-LT"/>
            </w:rPr>
          </w:pPr>
        </w:p>
        <w:p>
          <w:pPr>
            <w:ind w:right="-44"/>
            <w:jc w:val="center"/>
            <w:rPr>
              <w:lang w:eastAsia="lt-LT"/>
            </w:rPr>
          </w:pPr>
          <w:r>
            <w:rPr>
              <w:sz w:val="20"/>
              <w:lang w:eastAsia="lt-LT"/>
            </w:rPr>
            <w:object w:dxaOrig="696" w:dyaOrig="801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7.6pt;height:42.4pt" o:ole="" fillcolor="window">
                <v:imagedata r:id="rId14" o:title=""/>
              </v:shape>
              <o:OLEObject Type="Embed" ProgID="CorelPhotoPaint.Image.9" ShapeID="_x0000_i1025" DrawAspect="Content" ObjectID="_0000000001" r:id="rId15"/>
            </w:object>
          </w:r>
        </w:p>
        <w:p>
          <w:pPr>
            <w:jc w:val="center"/>
            <w:rPr>
              <w:sz w:val="16"/>
              <w:szCs w:val="16"/>
              <w:lang w:eastAsia="lt-LT"/>
            </w:rPr>
          </w:pPr>
        </w:p>
        <w:p>
          <w:pPr>
            <w:keepNext/>
            <w:ind w:left="142" w:right="-44"/>
            <w:jc w:val="center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VILNIAUS RAJONO SAVIVALDYBĖS TARYBA</w:t>
          </w:r>
        </w:p>
        <w:p>
          <w:pPr>
            <w:keepNext/>
            <w:ind w:right="-44"/>
            <w:jc w:val="center"/>
            <w:rPr>
              <w:sz w:val="28"/>
              <w:szCs w:val="28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>
          <w:pPr>
            <w:ind w:right="-1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PINIGINĖS SOCIALINĖS PARAMOS NEPASITURINTIEMS VILNIAUS RAJONO SAVIVALDYBĖS GYVENTOJAMS TEIKIMO TVARKOS APRAŠO, PATVIRTINTO VILNIAUS RAJONO SAVIVALDYBĖS TARYBOS 2018 M. RUGPJŪČIO 31 D. SPRENDIMU NR. T3-265,</w:t>
          </w:r>
          <w:r>
            <w:rPr>
              <w:b/>
              <w:szCs w:val="24"/>
            </w:rPr>
            <w:t xml:space="preserve"> PAKEITIMO</w:t>
          </w:r>
        </w:p>
        <w:p>
          <w:pPr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2019 m. rugsėjo 25 d. Nr. T3-353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>
          <w:pPr>
            <w:ind w:firstLine="720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a667d617286043729b960bd1de2a1507"/>
            <w:lock w:val="sdtLocked"/>
            <w:richText/>
          </w:sdtPr>
          <w:sdtContent>
            <w:p>
              <w:pPr>
                <w:ind w:firstLine="144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zh-CN"/>
                </w:rPr>
                <w:t>Vadovaudamasi Lietuvos Respublikos vietos savivaldos įstatymo 16 straipsnio 2 dalies 38 punktu ir 4 dalimi, 18 straipsnio 1 dalimi, Lietuvos Respublikos piniginės socialinės paramos nepasiturintiems gyventojams įstatymo 4 straipsnio 2 dalimi ir</w:t>
              </w:r>
              <w:r>
                <w:rPr>
                  <w:szCs w:val="24"/>
                  <w:lang w:eastAsia="lt-LT"/>
                </w:rPr>
                <w:t xml:space="preserve"> 10 straipsnio 1 dalimi, Vilniaus rajono savivaldybės taryba </w:t>
              </w:r>
              <w:r>
                <w:rPr>
                  <w:spacing w:val="100"/>
                  <w:szCs w:val="24"/>
                  <w:lang w:eastAsia="lt-LT"/>
                </w:rPr>
                <w:t>nusprendžia</w:t>
              </w:r>
              <w:r>
                <w:rPr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95d8455715334bf6a423a7e6ad9fc1d4"/>
            <w:lock w:val="sdtLocked"/>
            <w:richText/>
          </w:sdtPr>
          <w:sdtContent>
            <w:p>
              <w:pPr>
                <w:widowControl w:val="0"/>
                <w:tabs>
                  <w:tab w:val="left" w:pos="0"/>
                </w:tabs>
                <w:suppressAutoHyphens/>
                <w:ind w:firstLine="1440"/>
                <w:jc w:val="both"/>
                <w:rPr>
                  <w:bCs/>
                  <w:szCs w:val="24"/>
                  <w:lang w:eastAsia="zh-CN"/>
                </w:rPr>
              </w:pPr>
              <w:sdt>
                <w:sdtPr>
                  <w:alias w:val="Numeris"/>
                  <w:tag w:val="nr_95d8455715334bf6a423a7e6ad9fc1d4"/>
                  <w:lock w:val="sdtLocked"/>
                  <w:richText/>
                </w:sdtPr>
                <w:sdtContent>
                  <w:r>
                    <w:rPr>
                      <w:szCs w:val="24"/>
                      <w:lang w:eastAsia="zh-CN"/>
                    </w:rPr>
                    <w:t>1</w:t>
                  </w:r>
                </w:sdtContent>
              </w:sdt>
              <w:r>
                <w:rPr>
                  <w:szCs w:val="24"/>
                  <w:lang w:eastAsia="zh-CN"/>
                </w:rPr>
                <w:t xml:space="preserve">. Pakeisti </w:t>
              </w:r>
              <w:r>
                <w:rPr>
                  <w:bCs/>
                  <w:szCs w:val="24"/>
                  <w:lang w:eastAsia="zh-CN"/>
                </w:rPr>
                <w:t>Piniginės socialinės paramos nepasiturintiems Vilniaus rajono savivaldybės gyventojams teikimo tvarkos aprašo, patvirtinto Vilniaus rajono savivaldybės tarybos 2018 m. rugpjūčio 31 d. sprendimu Nr. T3-265 „Dėl piniginės socialinės paramos nepasiturintiems Vilniaus rajono savivaldybės gyventojams teikimo tvarkos aprašo patvirtinimo“ (toliau – Aprašas):</w:t>
              </w:r>
            </w:p>
            <w:sdt>
              <w:sdtPr>
                <w:alias w:val="1.1 pp."/>
                <w:tag w:val="part_c1b2c348ec91449cbae545d81b05ada8"/>
                <w:lock w:val="sdtLocked"/>
                <w:richText/>
              </w:sdtPr>
              <w:sdtContent>
                <w:p>
                  <w:pPr>
                    <w:pStyle w:val="PlainText"/>
                    <w:ind w:firstLine="567"/>
                    <w:jc w:val="both"/>
                    <w:rPr>
                      <w:rFonts w:ascii="Times New Roman" w:hAnsi="Times New Roman"/>
                      <w:b/>
                      <w:bCs/>
                      <w:sz w:val="22"/>
                    </w:rPr>
                  </w:pPr>
                  <w:r>
                    <w:rPr>
                      <w:rFonts w:ascii="Times New Roman" w:hAnsi="Times New Roman"/>
                      <w:sz w:val="22"/>
                    </w:rPr>
                    <w:t>1.1</w:t>
                  </w:r>
                  <w:r>
                    <w:rPr>
                      <w:rFonts w:ascii="Times New Roman" w:hAnsi="Times New Roman"/>
                      <w:sz w:val="22"/>
                    </w:rPr>
                    <w:t>.</w:t>
                  </w: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 Neteko galios nuo 2020-11-07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naikinimas: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b6d93d01f6e11ebb0038a8cd8ff585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T3-329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2020-10-30,
paskelbta TAR 2020-11-06, i. k. 2020-23253        </w:t>
                  </w:r>
                </w:p>
                <w:p/>
              </w:sdtContent>
            </w:sdt>
            <w:sdt>
              <w:sdtPr>
                <w:alias w:val="1.2 pp."/>
                <w:tag w:val="part_eb407d5ade894b2d9899ece1203ceee8"/>
                <w:lock w:val="sdtLocked"/>
                <w:richText/>
              </w:sdtPr>
              <w:sdtContent>
                <w:p>
                  <w:pPr>
                    <w:pStyle w:val="PlainText"/>
                    <w:ind w:firstLine="567"/>
                    <w:jc w:val="both"/>
                    <w:rPr>
                      <w:rFonts w:ascii="Times New Roman" w:hAnsi="Times New Roman"/>
                      <w:b/>
                      <w:bCs/>
                      <w:sz w:val="22"/>
                    </w:rPr>
                  </w:pPr>
                  <w:r>
                    <w:rPr>
                      <w:rFonts w:ascii="Times New Roman" w:hAnsi="Times New Roman"/>
                      <w:sz w:val="22"/>
                    </w:rPr>
                    <w:t>1.2</w:t>
                  </w:r>
                  <w:r>
                    <w:rPr>
                      <w:rFonts w:ascii="Times New Roman" w:hAnsi="Times New Roman"/>
                      <w:sz w:val="22"/>
                    </w:rPr>
                    <w:t>.</w:t>
                  </w: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 Neteko galios nuo 2020-11-07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naikinimas: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b6d93d01f6e11ebb0038a8cd8ff585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T3-329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2020-10-30,
paskelbta TAR 2020-11-06, i. k. 2020-23253        </w:t>
                  </w:r>
                </w:p>
                <w:p/>
              </w:sdtContent>
            </w:sdt>
            <w:sdt>
              <w:sdtPr>
                <w:alias w:val="1.3 pp."/>
                <w:tag w:val="part_1f296cfe821049b481bc58e1e739f5da"/>
                <w:lock w:val="sdtLocked"/>
                <w:richText/>
              </w:sdtPr>
              <w:sdtContent>
                <w:p>
                  <w:pPr>
                    <w:widowControl w:val="0"/>
                    <w:tabs>
                      <w:tab w:val="left" w:pos="0"/>
                    </w:tabs>
                    <w:suppressAutoHyphens/>
                    <w:ind w:firstLine="1440"/>
                    <w:jc w:val="both"/>
                    <w:rPr>
                      <w:bCs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1f296cfe821049b481bc58e1e739f5da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zh-CN"/>
                        </w:rPr>
                        <w:t>1.3</w:t>
                      </w:r>
                    </w:sdtContent>
                  </w:sdt>
                  <w:r>
                    <w:rPr>
                      <w:bCs/>
                      <w:szCs w:val="24"/>
                      <w:lang w:eastAsia="zh-CN"/>
                    </w:rPr>
                    <w:t>. 52.1. papunktį ir išdėstyti jį taip:</w:t>
                  </w:r>
                </w:p>
                <w:sdt>
                  <w:sdtPr>
                    <w:alias w:val="citata"/>
                    <w:tag w:val="part_a314e95a6b414188986f707592e40aef"/>
                    <w:lock w:val="sdtLocked"/>
                    <w:richText/>
                  </w:sdtPr>
                  <w:sdtContent>
                    <w:sdt>
                      <w:sdtPr>
                        <w:alias w:val="52.1 pp."/>
                        <w:tag w:val="part_fd1f137e98a14f61b476d54b6d6c23dd"/>
                        <w:lock w:val="sdtLocked"/>
                        <w:richText/>
                      </w:sdtPr>
                      <w:sdtContent>
                        <w:p>
                          <w:pPr>
                            <w:widowControl w:val="0"/>
                            <w:tabs>
                              <w:tab w:val="left" w:pos="0"/>
                            </w:tabs>
                            <w:suppressAutoHyphens/>
                            <w:ind w:firstLine="1440"/>
                            <w:jc w:val="both"/>
                            <w:rPr>
                              <w:bCs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zh-C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d1f137e98a14f61b476d54b6d6c23d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  <w:lang w:eastAsia="zh-CN"/>
                                </w:rPr>
                                <w:t>52.1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zh-CN"/>
                            </w:rPr>
                            <w:t>. vienkartinė pašalpa – vienkartinio pobūdžio išmoka, skiriama ne daugiau kaip vieną kartą per metus asmeniui, patekusiam į sunkią materialinę padėtį, siekiant suteikti jam paramą individualiu atveju, kai vidutinės pajamos vienam iš bendrai gyvenančių asmenų neviršija 3 VRP dydžių per mėnesį, vieno gyvenančio asmens – 3,5 VRP dydžių per mėnesį“;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7281ac8208184b62a5f077b48ddc1d07"/>
                <w:lock w:val="sdtLocked"/>
                <w:richText/>
              </w:sdtPr>
              <w:sdtContent>
                <w:p>
                  <w:pPr>
                    <w:widowControl w:val="0"/>
                    <w:tabs>
                      <w:tab w:val="left" w:pos="0"/>
                    </w:tabs>
                    <w:suppressAutoHyphens/>
                    <w:ind w:firstLine="1440"/>
                    <w:jc w:val="both"/>
                    <w:rPr>
                      <w:bCs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7281ac8208184b62a5f077b48ddc1d07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zh-CN"/>
                        </w:rPr>
                        <w:t>1.4</w:t>
                      </w:r>
                    </w:sdtContent>
                  </w:sdt>
                  <w:r>
                    <w:rPr>
                      <w:bCs/>
                      <w:szCs w:val="24"/>
                      <w:lang w:eastAsia="zh-CN"/>
                    </w:rPr>
                    <w:t>. 52.1.3.2. papunktį ir vietoj žodžių „pridedama po 1 BSI“ įrašyti „pridedama po 2 BSI“;</w:t>
                  </w:r>
                </w:p>
              </w:sdtContent>
            </w:sdt>
            <w:sdt>
              <w:sdtPr>
                <w:alias w:val="1.5 pp."/>
                <w:tag w:val="part_c75002527b3249ddbfc500f0e51cd665"/>
                <w:lock w:val="sdtLocked"/>
                <w:richText/>
              </w:sdtPr>
              <w:sdtContent>
                <w:p>
                  <w:pPr>
                    <w:widowControl w:val="0"/>
                    <w:tabs>
                      <w:tab w:val="left" w:pos="0"/>
                    </w:tabs>
                    <w:suppressAutoHyphens/>
                    <w:ind w:firstLine="1440"/>
                    <w:jc w:val="both"/>
                    <w:rPr>
                      <w:bCs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c75002527b3249ddbfc500f0e51cd665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zh-CN"/>
                        </w:rPr>
                        <w:t>1.5</w:t>
                      </w:r>
                    </w:sdtContent>
                  </w:sdt>
                  <w:r>
                    <w:rPr>
                      <w:bCs/>
                      <w:szCs w:val="24"/>
                      <w:lang w:eastAsia="zh-CN"/>
                    </w:rPr>
                    <w:t>. 52.1.3.3. papunktį ir vietoj žodžių „skiriama 1 BSI dydžio pašalpa“ įrašyti „skiriama 1,5 BSI dydžio pašalpa“;</w:t>
                  </w:r>
                </w:p>
              </w:sdtContent>
            </w:sdt>
            <w:sdt>
              <w:sdtPr>
                <w:alias w:val="1.6 pp."/>
                <w:tag w:val="part_1814add394ac49e7b192a730778518d9"/>
                <w:lock w:val="sdtLocked"/>
                <w:richText/>
              </w:sdtPr>
              <w:sdtContent>
                <w:p>
                  <w:pPr>
                    <w:widowControl w:val="0"/>
                    <w:tabs>
                      <w:tab w:val="left" w:pos="0"/>
                    </w:tabs>
                    <w:suppressAutoHyphens/>
                    <w:ind w:firstLine="1440"/>
                    <w:jc w:val="both"/>
                    <w:rPr>
                      <w:bCs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1814add394ac49e7b192a730778518d9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zh-CN"/>
                        </w:rPr>
                        <w:t>1.6</w:t>
                      </w:r>
                    </w:sdtContent>
                  </w:sdt>
                  <w:r>
                    <w:rPr>
                      <w:bCs/>
                      <w:szCs w:val="24"/>
                      <w:lang w:eastAsia="zh-CN"/>
                    </w:rPr>
                    <w:t>. 52.2.4. papunktį ir vietoj žodžių „neviršija 2,5 VRP dydžių per mėnesį“ įrašyti „neviršija 3,5 VRP dydžių per mėnesį“;</w:t>
                  </w:r>
                </w:p>
              </w:sdtContent>
            </w:sdt>
            <w:sdt>
              <w:sdtPr>
                <w:alias w:val="1.7 pp."/>
                <w:tag w:val="part_cef2fadfaf01422b8a13b05f48f1d76f"/>
                <w:lock w:val="sdtLocked"/>
                <w:richText/>
              </w:sdtPr>
              <w:sdtContent>
                <w:p>
                  <w:pPr>
                    <w:widowControl w:val="0"/>
                    <w:tabs>
                      <w:tab w:val="left" w:pos="0"/>
                    </w:tabs>
                    <w:suppressAutoHyphens/>
                    <w:ind w:firstLine="1440"/>
                    <w:jc w:val="both"/>
                    <w:rPr>
                      <w:bCs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cef2fadfaf01422b8a13b05f48f1d76f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zh-CN"/>
                        </w:rPr>
                        <w:t>1.7</w:t>
                      </w:r>
                    </w:sdtContent>
                  </w:sdt>
                  <w:r>
                    <w:rPr>
                      <w:bCs/>
                      <w:szCs w:val="24"/>
                      <w:lang w:eastAsia="zh-CN"/>
                    </w:rPr>
                    <w:t>. 52.3.2. papunktį ir vietoj žodžių „negali viršyti 10 BSI“ įrašyti „negali viršyti 12 BSI“;</w:t>
                  </w:r>
                </w:p>
              </w:sdtContent>
            </w:sdt>
            <w:sdt>
              <w:sdtPr>
                <w:alias w:val="1.8 pp."/>
                <w:tag w:val="part_d61887a0b22b4f8c8712892e2961e755"/>
                <w:lock w:val="sdtLocked"/>
                <w:richText/>
              </w:sdtPr>
              <w:sdtContent>
                <w:p>
                  <w:pPr>
                    <w:widowControl w:val="0"/>
                    <w:tabs>
                      <w:tab w:val="left" w:pos="0"/>
                    </w:tabs>
                    <w:suppressAutoHyphens/>
                    <w:ind w:firstLine="1440"/>
                    <w:jc w:val="both"/>
                    <w:rPr>
                      <w:bCs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d61887a0b22b4f8c8712892e2961e755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zh-CN"/>
                        </w:rPr>
                        <w:t>1.8</w:t>
                      </w:r>
                    </w:sdtContent>
                  </w:sdt>
                  <w:r>
                    <w:rPr>
                      <w:bCs/>
                      <w:szCs w:val="24"/>
                      <w:lang w:eastAsia="zh-CN"/>
                    </w:rPr>
                    <w:t>. 52.3.4. papunktį ir vietoj žodžių „neviršija 1 VRP dydžio per mėnesį“ įrašyti „neviršija 1,5 VRP dydžio per mėnesį“;</w:t>
                  </w:r>
                </w:p>
              </w:sdtContent>
            </w:sdt>
            <w:sdt>
              <w:sdtPr>
                <w:alias w:val="1.9 pp."/>
                <w:tag w:val="part_1787d1337f894237bcece76141c3c3d6"/>
                <w:lock w:val="sdtLocked"/>
                <w:richText/>
              </w:sdtPr>
              <w:sdtContent>
                <w:p>
                  <w:pPr>
                    <w:widowControl w:val="0"/>
                    <w:tabs>
                      <w:tab w:val="left" w:pos="0"/>
                    </w:tabs>
                    <w:suppressAutoHyphens/>
                    <w:ind w:firstLine="1440"/>
                    <w:jc w:val="both"/>
                    <w:rPr>
                      <w:bCs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1787d1337f894237bcece76141c3c3d6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zh-CN"/>
                        </w:rPr>
                        <w:t>1.9</w:t>
                      </w:r>
                    </w:sdtContent>
                  </w:sdt>
                  <w:r>
                    <w:rPr>
                      <w:bCs/>
                      <w:szCs w:val="24"/>
                      <w:lang w:eastAsia="zh-CN"/>
                    </w:rPr>
                    <w:t>. 52.4.2. papunktį ir vietoj žodžių „neviršija 2,5 VRP dydžių per mėnesį“ įrašyti „neviršija 3 VRP dydžių per mėnesį“.</w:t>
                  </w:r>
                </w:p>
              </w:sdtContent>
            </w:sdt>
          </w:sdtContent>
        </w:sdt>
        <w:sdt>
          <w:sdtPr>
            <w:alias w:val="2 p."/>
            <w:tag w:val="part_5bb614e96b4b43eb8af8860eb6a264fa"/>
            <w:lock w:val="sdtLocked"/>
            <w:richText/>
          </w:sdtPr>
          <w:sdtContent>
            <w:p>
              <w:pPr>
                <w:widowControl w:val="0"/>
                <w:tabs>
                  <w:tab w:val="left" w:pos="0"/>
                </w:tabs>
                <w:suppressAutoHyphens/>
                <w:ind w:firstLine="144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bb614e96b4b43eb8af8860eb6a264fa"/>
                  <w:lock w:val="sdtLocked"/>
                  <w:richText/>
                </w:sdtPr>
                <w:sdtContent>
                  <w:r>
                    <w:rPr>
                      <w:szCs w:val="24"/>
                      <w:lang w:eastAsia="zh-CN"/>
                    </w:rPr>
                    <w:t>2</w:t>
                  </w:r>
                </w:sdtContent>
              </w:sdt>
              <w:r>
                <w:rPr>
                  <w:szCs w:val="24"/>
                  <w:lang w:eastAsia="zh-CN"/>
                </w:rPr>
                <w:t>. Skelbti šį sprendimą Teisės aktų registre ir Vilniaus rajono savivaldybės tinklalapyje.</w:t>
              </w:r>
            </w:p>
          </w:sdtContent>
        </w:sdt>
        <w:sdt>
          <w:sdtPr>
            <w:alias w:val="signatura"/>
            <w:tag w:val="part_643614e9ca2347f8aabc29a9b58f6be0"/>
            <w:lock w:val="sdtLocked"/>
            <w:richText/>
          </w:sdtPr>
          <w:sdtContent>
            <w:p/>
            <w:p/>
            <w:p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merė</w:t>
                <w:tab/>
                <w:tab/>
                <w:tab/>
                <w:tab/>
                <w:tab/>
                <w:tab/>
                <w:tab/>
                <w:tab/>
                <w:tab/>
                <w:t>Marija Rekst</w:t>
              </w: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Vilniaus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b6d93d01f6e11ebb0038a8cd8ff585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T3-329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2020-10-30,
paskelbta TAR 2020-11-06, i. k. 2020-23253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Piniginės socialinės paramos nepasiturintiems Vilniaus rajono savivaldybės gyventojams teikimo tvarkos aprašo papildymo ir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pgSz w:w="11907" w:h="16840" w:code="9"/>
      <w:pgMar w:top="1134" w:right="567" w:bottom="1134" w:left="1701" w:header="567" w:footer="567" w:gutter="0"/>
      <w:cols w:space="1296"/>
      <w:titlePg/>
      <w:docGrid w:linePitch="272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Courier New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rPr>
        <w:sz w:val="20"/>
        <w:lang w:eastAsia="lt-LT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rPr>
        <w:sz w:val="6"/>
        <w:lang w:eastAsia="lt-LT"/>
      </w:rPr>
    </w:pPr>
    <w:r>
      <w:rPr>
        <w:sz w:val="6"/>
        <w:lang w:eastAsia="lt-LT"/>
      </w:rPr>
      <w:t>R</w:t>
    </w: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rPr>
        <w:sz w:val="20"/>
        <w:lang w:eastAsia="lt-LT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rPr>
        <w:sz w:val="6"/>
        <w:lang w:eastAsia="lt-LT"/>
      </w:rPr>
    </w:pPr>
    <w:r>
      <w:rPr>
        <w:sz w:val="6"/>
        <w:lang w:eastAsia="lt-LT"/>
      </w:rPr>
      <w:t>R</w:t>
    </w: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 w:eastAsia="lt-LT"/>
      </w:rPr>
    </w:pPr>
    <w:r>
      <w:rPr>
        <w:rFonts w:ascii="TimesLT" w:hAnsi="TimesLT"/>
        <w:lang w:val="en-US" w:eastAsia="lt-LT"/>
      </w:rPr>
      <w:fldChar w:fldCharType="begin"/>
    </w:r>
    <w:r>
      <w:rPr>
        <w:rFonts w:ascii="TimesLT" w:hAnsi="TimesLT"/>
        <w:lang w:val="en-US" w:eastAsia="lt-LT"/>
      </w:rPr>
      <w:instrText xml:space="preserve">PAGE  </w:instrText>
    </w:r>
    <w:r>
      <w:rPr>
        <w:rFonts w:ascii="TimesLT" w:hAnsi="TimesLT"/>
        <w:lang w:val="en-US" w:eastAsia="lt-LT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 w:eastAsia="lt-LT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 w:eastAsia="lt-LT"/>
      </w:rPr>
    </w:pPr>
    <w:r>
      <w:rPr>
        <w:rFonts w:ascii="TimesLT" w:hAnsi="TimesLT"/>
        <w:lang w:val="en-US" w:eastAsia="lt-LT"/>
      </w:rPr>
      <w:fldChar w:fldCharType="begin"/>
    </w:r>
    <w:r>
      <w:rPr>
        <w:rFonts w:ascii="TimesLT" w:hAnsi="TimesLT"/>
        <w:lang w:val="en-US" w:eastAsia="lt-LT"/>
      </w:rPr>
      <w:instrText xml:space="preserve">PAGE  </w:instrText>
    </w:r>
    <w:r>
      <w:rPr>
        <w:rFonts w:ascii="TimesLT" w:hAnsi="TimesLT"/>
        <w:lang w:val="en-US" w:eastAsia="lt-LT"/>
      </w:rPr>
      <w:fldChar w:fldCharType="separate"/>
    </w:r>
    <w:r>
      <w:rPr>
        <w:rFonts w:ascii="TimesLT" w:hAnsi="TimesLT"/>
        <w:lang w:val="en-US" w:eastAsia="lt-LT"/>
      </w:rPr>
      <w:t>2</w:t>
    </w:r>
    <w:r>
      <w:rPr>
        <w:rFonts w:ascii="TimesLT" w:hAnsi="TimesLT"/>
        <w:lang w:val="en-US" w:eastAsia="lt-LT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 w:eastAsia="lt-LT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TimesLT" w:hAnsi="TimesLT"/>
        <w:lang w:val="en-US" w:eastAsia="lt-LT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 w:eastAsia="lt-LT"/>
      </w:rPr>
    </w:pPr>
    <w:r>
      <w:rPr>
        <w:rFonts w:ascii="TimesLT" w:hAnsi="TimesLT"/>
        <w:lang w:val="en-US" w:eastAsia="lt-LT"/>
      </w:rPr>
      <w:fldChar w:fldCharType="begin"/>
    </w:r>
    <w:r>
      <w:rPr>
        <w:rFonts w:ascii="TimesLT" w:hAnsi="TimesLT"/>
        <w:lang w:val="en-US" w:eastAsia="lt-LT"/>
      </w:rPr>
      <w:instrText xml:space="preserve">PAGE  </w:instrText>
    </w:r>
    <w:r>
      <w:rPr>
        <w:rFonts w:ascii="TimesLT" w:hAnsi="TimesLT"/>
        <w:lang w:val="en-US" w:eastAsia="lt-LT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 w:eastAsia="lt-LT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 w:eastAsia="lt-LT"/>
      </w:rPr>
    </w:pPr>
    <w:r>
      <w:rPr>
        <w:rFonts w:ascii="TimesLT" w:hAnsi="TimesLT"/>
        <w:lang w:val="en-US" w:eastAsia="lt-LT"/>
      </w:rPr>
      <w:fldChar w:fldCharType="begin"/>
    </w:r>
    <w:r>
      <w:rPr>
        <w:rFonts w:ascii="TimesLT" w:hAnsi="TimesLT"/>
        <w:lang w:val="en-US" w:eastAsia="lt-LT"/>
      </w:rPr>
      <w:instrText xml:space="preserve">PAGE  </w:instrText>
    </w:r>
    <w:r>
      <w:rPr>
        <w:rFonts w:ascii="TimesLT" w:hAnsi="TimesLT"/>
        <w:lang w:val="en-US" w:eastAsia="lt-LT"/>
      </w:rPr>
      <w:fldChar w:fldCharType="separate"/>
    </w:r>
    <w:r>
      <w:rPr>
        <w:rFonts w:ascii="TimesLT" w:hAnsi="TimesLT"/>
        <w:lang w:val="en-US" w:eastAsia="lt-LT"/>
      </w:rPr>
      <w:t>2</w:t>
    </w:r>
    <w:r>
      <w:rPr>
        <w:rFonts w:ascii="TimesLT" w:hAnsi="TimesLT"/>
        <w:lang w:val="en-US" w:eastAsia="lt-LT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 w:eastAsia="lt-LT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TimesLT" w:hAnsi="TimesLT"/>
        <w:lang w:val="en-US" w:eastAsia="lt-LT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6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link w:val="PoratDiagrama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link w:val="PoratDiagrama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192390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03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styles" Target="styles.xml"/>
  <Relationship Id="rId11" Type="http://schemas.microsoft.com/office/2007/relationships/stylesWithEffects" Target="stylesWithEffects.xml"/>
  <Relationship Id="rId12" Type="http://schemas.openxmlformats.org/officeDocument/2006/relationships/theme" Target="theme/theme1.xml"/>
  <Relationship Id="rId13" Type="http://schemas.openxmlformats.org/officeDocument/2006/relationships/webSettings" Target="webSettings.xml"/>
  <Relationship Id="rId14" Type="http://schemas.openxmlformats.org/officeDocument/2006/relationships/image" Target="media/image2.png"/>
  <Relationship Id="rId15" Type="http://schemas.openxmlformats.org/officeDocument/2006/relationships/oleObject" Target="embeddings/oleObject2.bin"/>
  <Relationship Id="rId16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3.xml"/>
  <Relationship Id="rId4" Type="http://schemas.openxmlformats.org/officeDocument/2006/relationships/footer" Target="footer4.xml"/>
  <Relationship Id="rId5" Type="http://schemas.openxmlformats.org/officeDocument/2006/relationships/header" Target="header6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footnotes" Target="footnotes.xml"/>
  <Relationship Id="rId9" Type="http://schemas.openxmlformats.org/officeDocument/2006/relationships/settings" Target="settings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microsoft.com/office/2007/relationships/stylesWithEffects" Target="stylesWithEffects.xml"/>
  <Relationship Id="rId5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4C73A5C-E08A-489D-982D-EAB2545A78B9}"/>
      </w:docPartPr>
      <w:docPartBody>
        <w:p>
          <w:r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Courier New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3EF1"/>
    <w:rsid w:val="00383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83EF1"/>
    <w:rPr>
      <w:color w:val="808080"/>
    </w:rPr>
  </w:style>
</w:styles>
</file>

<file path=word/glossary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83EF1"/>
    <w:rPr>
      <w:color w:val="808080"/>
    </w:rPr>
  </w:style>
</w:styles>
</file>

<file path=word/glossary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2962c7d902c41398b9ff646f25f848a" PartId="c4bd2ef6108347b2a2a11c7bc267c16c">
    <Part Type="preambule" DocPartId="cee62b5d53224f84b23063098d5c4775" PartId="a667d617286043729b960bd1de2a1507"/>
    <Part Type="punktas" Nr="1" Abbr="1 p." DocPartId="052d0c6e953d4eb985095c273f918c21" PartId="95d8455715334bf6a423a7e6ad9fc1d4">
      <Part Type="papunktis" Nr="1.1" Abbr="1.1 pp." DocPartId="849faffba4ac44c99f9cfddb011b69c4" PartId="c1b2c348ec91449cbae545d81b05ada8"/>
      <Part Type="papunktis" Nr="1.2" Abbr="1.2 pp." DocPartId="9ca66e0e53f4447babb0b7668ccd8069" PartId="eb407d5ade894b2d9899ece1203ceee8"/>
      <Part Type="papunktis" Nr="1.3" Abbr="1.3 pp." DocPartId="747e75073494466ebc72875f02afd14c" PartId="1f296cfe821049b481bc58e1e739f5da">
        <Part Type="citata" DocPartId="bdc4ea24ad0e4c12b3154ddce1681659" PartId="a314e95a6b414188986f707592e40aef">
          <Part Type="papunktis" Nr="52.1" Abbr="52.1 pp." DocPartId="7092f7fa5e024650b08c94fce10ed6e8" PartId="fd1f137e98a14f61b476d54b6d6c23dd"/>
        </Part>
      </Part>
      <Part Type="papunktis" Nr="1.4" Abbr="1.4 pp." DocPartId="ad498f0229e342e6ab098b7eb03fc642" PartId="7281ac8208184b62a5f077b48ddc1d07"/>
      <Part Type="papunktis" Nr="1.5" Abbr="1.5 pp." DocPartId="1f97c424314241518ca20f2ae01bdf64" PartId="c75002527b3249ddbfc500f0e51cd665"/>
      <Part Type="papunktis" Nr="1.6" Abbr="1.6 pp." DocPartId="b9945a9bca3b4b52848278d19c71a8d3" PartId="1814add394ac49e7b192a730778518d9"/>
      <Part Type="papunktis" Nr="1.7" Abbr="1.7 pp." DocPartId="6623f9f69a7f4873bbc5c1dd6b9bdc71" PartId="cef2fadfaf01422b8a13b05f48f1d76f"/>
      <Part Type="papunktis" Nr="1.8" Abbr="1.8 pp." DocPartId="5c336bb4ab054357b091539f9aaf3031" PartId="d61887a0b22b4f8c8712892e2961e755"/>
      <Part Type="papunktis" Nr="1.9" Abbr="1.9 pp." DocPartId="37e33f89f79e486f83cb6a2cbb38d2f5" PartId="1787d1337f894237bcece76141c3c3d6"/>
    </Part>
    <Part Type="punktas" Nr="2" Abbr="2 p." DocPartId="d140f0d86c4d4ae89f4484972c0383f0" PartId="5bb614e96b4b43eb8af8860eb6a264fa"/>
    <Part Type="signatura" DocPartId="f75453ce837847d8a4f9bb43f91758e5" PartId="643614e9ca2347f8aabc29a9b58f6be0"/>
  </Part>
</Parts>
</file>

<file path=customXml/itemProps1.xml><?xml version="1.0" encoding="utf-8"?>
<ds:datastoreItem xmlns:ds="http://schemas.openxmlformats.org/officeDocument/2006/customXml" ds:itemID="{6AAAD9F8-6DA4-4158-8306-84FD3E926A6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2</TotalTime>
  <Pages>1</Pages>
  <Words>333</Words>
  <Characters>2196</Characters>
  <Application>Microsoft Office Word</Application>
  <DocSecurity>0</DocSecurity>
  <Lines>18</Lines>
  <Paragraphs>5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R000315</Company>
  <LinksUpToDate>false</LinksUpToDate>
  <CharactersWithSpaces>2524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2019-10-02T10:17:00Z</dcterms:created>
  <dc:creator>M666...</dc:creator>
  <lastModifiedBy>DRAZDAUSKIENĖ Nijolė</lastModifiedBy>
  <lastPrinted>2019-09-05T10:26:00Z</lastPrinted>
  <dcterms:modified xsi:type="dcterms:W3CDTF">2020-11-09T14:24:00Z</dcterms:modified>
  <revision>4</revision>
</coreProperties>
</file>