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76cea68cbf7b4bbb85652e9398e1e6f3"/>
        <w:lock w:val="sdtLocked"/>
        <w:richText/>
      </w:sdtPr>
      <w:sdtContent>
        <w:p>
          <w:pPr>
            <w:rPr>
              <w:rFonts w:ascii="Times New Roman" w:hAnsi="Times New Roman"/>
              <w:b/>
              <w:i/>
            </w:rPr>
          </w:pPr>
          <w:r>
            <w:rPr>
              <w:rFonts w:ascii="Times New Roman" w:hAnsi="Times New Roman"/>
              <w:b/>
              <w:i/>
            </w:rPr>
            <w:t>Nutarimas netenka galios 2021-07-01:</w:t>
          </w:r>
        </w:p>
        <w:p>
          <w:pPr>
            <w:jc w:val="both"/>
            <w:rPr>
              <w:rFonts w:ascii="Times New Roman" w:hAnsi="Times New Roman"/>
              <w:i/>
            </w:rPr>
          </w:pPr>
          <w:r>
            <w:rPr>
              <w:rFonts w:ascii="Times New Roman" w:hAnsi="Times New Roman"/>
              <w:sz w:val="20"/>
              <w:i/>
            </w:rPr>
            <w:t>
                    Lietuvos Respublikos Vyriausybė,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37917570d81311eb9f09e7df20500045">
            <w:r w:rsidRPr="00532B9F">
              <w:rPr>
                <w:rFonts w:ascii="Times New Roman" w:eastAsia="MS Mincho" w:hAnsi="Times New Roman"/>
                <w:sz w:val="20"/>
                <w:i/>
                <w:iCs/>
                <w:color w:val="0000FF" w:themeColor="hyperlink"/>
                <w:u w:val="single"/>
              </w:rPr>
              <w:t>499</w:t>
            </w:r>
          </w:fldSimple>
          <w:r>
            <w:rPr>
              <w:rFonts w:ascii="Times New Roman" w:eastAsia="MS Mincho" w:hAnsi="Times New Roman"/>
              <w:sz w:val="20"/>
              <w:iCs/>
              <w:i/>
            </w:rPr>
            <w:t>,
2021-06-28,
paskelbta TAR 2021-06-28, i. k. 2021-14448                </w:t>
          </w:r>
        </w:p>
        <w:p>
          <w:pPr>
            <w:jc w:val="both"/>
            <w:rPr>
              <w:rFonts w:ascii="Times New Roman" w:hAnsi="Times New Roman"/>
              <w:i/>
            </w:rPr>
          </w:pPr>
          <w:r>
            <w:rPr>
              <w:rFonts w:ascii="Times New Roman" w:hAnsi="Times New Roman"/>
              <w:sz w:val="20"/>
              <w:i/>
            </w:rPr>
            <w:t>Dėl Lietuvos Respublikos Vyriausybės 2020 m. lapkričio 4 d. nutarimo Nr. 1226 „Dėl karantino Lietuvos Respublikos teritorijoje paskelbimo“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2021-05-10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2021-04-30, i. k. 2021-09293</w:t>
          </w:r>
        </w:p>
        <w:p>
          <w:pPr>
            <w:jc w:val="both"/>
            <w:rPr>
              <w:rFonts w:ascii="Times New Roman" w:hAnsi="Times New Roman"/>
              <w:sz w:val="20"/>
            </w:rPr>
          </w:pPr>
        </w:p>
        <w:p>
          <w:pPr>
            <w:rPr>
              <w:b/>
              <w:szCs w:val="24"/>
              <w:lang w:eastAsia="lt-LT"/>
            </w:rPr>
          </w:pPr>
        </w:p>
        <w:p>
          <w:pPr>
            <w:jc w:val="center"/>
            <w:rPr>
              <w:sz w:val="10"/>
              <w:szCs w:val="10"/>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lang w:eastAsia="lt-LT"/>
            </w:rPr>
            <w:t>LIETUVOS RESPUBLIKOS VYRIAUSYBĖS 2020 M. LAPKRIČIO 4 D. NUTARIMO NR. 1226 „DĖL KARANTINO LIETUVOS RESPUBLIKOS TERITORIJOJE PASKELBIMO“ PAKEITIMO</w:t>
          </w:r>
        </w:p>
        <w:p>
          <w:pPr>
            <w:tabs>
              <w:tab w:val="center" w:pos="4153"/>
              <w:tab w:val="right" w:pos="8306"/>
            </w:tabs>
            <w:rPr>
              <w:lang w:eastAsia="lt-LT"/>
            </w:rPr>
          </w:pPr>
        </w:p>
        <w:p>
          <w:pPr>
            <w:ind w:firstLine="62"/>
            <w:jc w:val="center"/>
            <w:rPr>
              <w:lang w:eastAsia="lt-LT"/>
            </w:rPr>
          </w:pPr>
          <w:r>
            <w:rPr>
              <w:lang w:eastAsia="lt-LT"/>
            </w:rPr>
            <w:t>2021 m. balandžio 28 d. Nr. 300</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639a55a867d64cfb8c81209512103510"/>
            <w:lock w:val="sdtLocked"/>
            <w:richText/>
          </w:sdtPr>
          <w:sdtContent>
            <w:p>
              <w:pPr>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91f43a5fdeb647bb9e1bef7050e04557"/>
            <w:lock w:val="sdtLocked"/>
            <w:richText/>
          </w:sdtPr>
          <w:sdtContent>
            <w:p>
              <w:pPr>
                <w:shd w:val="clear" w:color="auto" w:fill="FFFFFF"/>
                <w:tabs>
                  <w:tab w:val="left" w:pos="1134"/>
                </w:tabs>
                <w:ind w:firstLine="720"/>
                <w:jc w:val="both"/>
                <w:rPr>
                  <w:szCs w:val="24"/>
                  <w:shd w:val="clear" w:color="auto" w:fill="FFFFFF"/>
                  <w:lang w:eastAsia="lt-LT"/>
                </w:rPr>
              </w:pPr>
              <w:sdt>
                <w:sdtPr>
                  <w:alias w:val="Numeris"/>
                  <w:tag w:val="nr_91f43a5fdeb647bb9e1bef7050e04557"/>
                  <w:lock w:val="sdtLocked"/>
                  <w:richText/>
                </w:sdtPr>
                <w:sdtContent>
                  <w:r>
                    <w:rPr>
                      <w:szCs w:val="24"/>
                      <w:shd w:val="clear" w:color="auto" w:fill="FFFFFF"/>
                      <w:lang w:eastAsia="lt-LT"/>
                    </w:rPr>
                    <w:t>1</w:t>
                  </w:r>
                </w:sdtContent>
              </w:sdt>
              <w:r>
                <w:rPr>
                  <w:szCs w:val="24"/>
                  <w:shd w:val="clear" w:color="auto" w:fill="FFFFFF"/>
                  <w:lang w:eastAsia="lt-LT"/>
                </w:rPr>
                <w:t>. Pakeisti Lietuvos Respublikos Vyriausybės 2020 m. lapkričio 4 d. nutarimą Nr. 1226 „Dėl karantino Lietuvos Respublikos teritorijoje paskelbimo“:</w:t>
              </w:r>
            </w:p>
            <w:sdt>
              <w:sdtPr>
                <w:alias w:val="1.1 pp."/>
                <w:tag w:val="part_d16b7adb33f745af8c18b858fcbda185"/>
                <w:lock w:val="sdtLocked"/>
                <w:richText/>
              </w:sdtPr>
              <w:sdtContent>
                <w:p>
                  <w:pPr>
                    <w:tabs>
                      <w:tab w:val="left" w:pos="1134"/>
                    </w:tabs>
                    <w:ind w:firstLine="720"/>
                    <w:jc w:val="both"/>
                    <w:rPr>
                      <w:szCs w:val="24"/>
                      <w:shd w:val="clear" w:color="auto" w:fill="FFFFFF"/>
                      <w:lang w:eastAsia="lt-LT"/>
                    </w:rPr>
                  </w:pPr>
                  <w:sdt>
                    <w:sdtPr>
                      <w:alias w:val="Numeris"/>
                      <w:tag w:val="nr_d16b7adb33f745af8c18b858fcbda185"/>
                      <w:lock w:val="sdtLocked"/>
                      <w:richText/>
                    </w:sdtPr>
                    <w:sdtContent>
                      <w:r>
                        <w:rPr>
                          <w:szCs w:val="24"/>
                          <w:shd w:val="clear" w:color="auto" w:fill="FFFFFF"/>
                          <w:lang w:eastAsia="lt-LT"/>
                        </w:rPr>
                        <w:t>1.1</w:t>
                      </w:r>
                    </w:sdtContent>
                  </w:sdt>
                  <w:r>
                    <w:rPr>
                      <w:szCs w:val="24"/>
                      <w:shd w:val="clear" w:color="auto" w:fill="FFFFFF"/>
                      <w:lang w:eastAsia="lt-LT"/>
                    </w:rPr>
                    <w:t>. Pakeisti 2.2.9.2 papunktį ir jį išdėstyti taip:</w:t>
                  </w:r>
                </w:p>
                <w:sdt>
                  <w:sdtPr>
                    <w:alias w:val="citata"/>
                    <w:tag w:val="part_8fb4e340cb2e4b189564fe2c73b44da1"/>
                    <w:lock w:val="sdtLocked"/>
                    <w:richText/>
                  </w:sdtPr>
                  <w:sdtContent>
                    <w:sdt>
                      <w:sdtPr>
                        <w:alias w:val="2.2.9.2 pp."/>
                        <w:tag w:val="part_de02aa1fce294cafbe10e40666b43504"/>
                        <w:lock w:val="sdtLocked"/>
                        <w:richText/>
                      </w:sdtPr>
                      <w:sdtContent>
                        <w:p>
                          <w:pPr>
                            <w:shd w:val="clear" w:color="auto" w:fill="FFFFFF"/>
                            <w:ind w:firstLine="720"/>
                            <w:jc w:val="both"/>
                            <w:rPr>
                              <w:szCs w:val="24"/>
                              <w:shd w:val="clear" w:color="auto" w:fill="FFFFFF"/>
                              <w:lang w:eastAsia="lt-LT"/>
                            </w:rPr>
                          </w:pPr>
                          <w:r>
                            <w:rPr>
                              <w:color w:val="000000"/>
                              <w:szCs w:val="24"/>
                              <w:shd w:val="clear" w:color="auto" w:fill="FFFFFF"/>
                              <w:lang w:eastAsia="lt-LT"/>
                            </w:rPr>
                            <w:t>„</w:t>
                          </w:r>
                          <w:sdt>
                            <w:sdtPr>
                              <w:alias w:val="Numeris"/>
                              <w:tag w:val="nr_de02aa1fce294cafbe10e40666b43504"/>
                              <w:lock w:val="sdtLocked"/>
                              <w:richText/>
                            </w:sdtPr>
                            <w:sdtContent>
                              <w:r>
                                <w:rPr>
                                  <w:color w:val="000000"/>
                                  <w:szCs w:val="24"/>
                                  <w:shd w:val="clear" w:color="auto" w:fill="FFFFFF"/>
                                  <w:lang w:eastAsia="lt-LT"/>
                                </w:rPr>
                                <w:t>2.2.9.2</w:t>
                              </w:r>
                            </w:sdtContent>
                          </w:sdt>
                          <w:r>
                            <w:rPr>
                              <w:color w:val="000000"/>
                              <w:szCs w:val="24"/>
                              <w:shd w:val="clear" w:color="auto" w:fill="FFFFFF"/>
                              <w:lang w:eastAsia="lt-LT"/>
                            </w:rPr>
                            <w:t>. ugdymas mokyklose pagal pagrindinio ugdymo ir vidurinio ugdymo programas (išskyrus šio nutarimo 2.2.9.2</w:t>
                          </w:r>
                          <w:r>
                            <w:rPr>
                              <w:color w:val="000000"/>
                              <w:szCs w:val="24"/>
                              <w:shd w:val="clear" w:color="auto" w:fill="FFFFFF"/>
                              <w:vertAlign w:val="superscript"/>
                              <w:lang w:eastAsia="lt-LT"/>
                            </w:rPr>
                            <w:t>3</w:t>
                          </w:r>
                          <w:r>
                            <w:rPr>
                              <w:color w:val="000000"/>
                              <w:szCs w:val="24"/>
                              <w:shd w:val="clear" w:color="auto" w:fill="FFFFFF"/>
                              <w:lang w:eastAsia="lt-LT"/>
                            </w:rPr>
                            <w:t xml:space="preserve"> papunktyje nurodytą atvejį, specialiosiose mokyklose ir bendrojo ugdymo mokyklų specialiosiose klasėse ugdomus mokinius pagal pradinio ir pagrindinio ugdymo, pradinio ir pagrindinio ugdymo individualizuotą, vidurinio ugdymo, socialinių įgūdžių ugdymo programas) vykdomas nuotoliniu būdu arba švietimo, mokslo ir sporto ministro nustatyta tvarka mišriu būdu periodiškai atliekant pagal pagrindinio ugdymo ir vidurinio ugdymo programą ugdomų mokinių ir įstaigose kontaktiniu būdu dirbančių darbuotojų profilaktinį tyrimą COVID-19 ligai (koronaviruso infekcijai) diagnozuoti arba savikontrolę</w:t>
                          </w:r>
                          <w:r>
                            <w:rPr>
                              <w:color w:val="000000"/>
                              <w:shd w:val="clear" w:color="auto" w:fill="FFFFFF"/>
                              <w:lang w:eastAsia="lt-LT"/>
                            </w:rPr>
                            <w:t xml:space="preserve"> </w:t>
                          </w:r>
                          <w:r>
                            <w:rPr>
                              <w:color w:val="000000"/>
                              <w:szCs w:val="24"/>
                              <w:shd w:val="clear" w:color="auto" w:fill="FFFFFF"/>
                              <w:lang w:eastAsia="lt-LT"/>
                            </w:rPr>
                            <w:t>galimai COVID-19 ligai (koronaviruso infekcijai) nustatyti ir užtikrinant valstybės lygio ekstremaliosios situacijos operacijų vadovo nustatytas asmenų srautų valdymo, saugaus atstumo laikymosi ir kitas būtinas visuomenės sveikatos saugos, higienos, asmenų aprūpinimo būtinosiomis asmeninėmis apsaugos priemonėmis sąlygas. Profilaktinis tyrimas COVID-19 ligai (koronaviruso infekcijai) diagnozuoti gali būti neatliekamas (arba savikontrolė</w:t>
                          </w:r>
                          <w:r>
                            <w:rPr>
                              <w:color w:val="000000"/>
                              <w:shd w:val="clear" w:color="auto" w:fill="FFFFFF"/>
                              <w:lang w:eastAsia="lt-LT"/>
                            </w:rPr>
                            <w:t xml:space="preserve"> </w:t>
                          </w:r>
                          <w:r>
                            <w:rPr>
                              <w:color w:val="000000"/>
                              <w:szCs w:val="24"/>
                              <w:shd w:val="clear" w:color="auto" w:fill="FFFFFF"/>
                              <w:lang w:eastAsia="lt-LT"/>
                            </w:rPr>
                            <w:t>galimai COVID-19 ligai (koronaviruso infekcijai) nustatyti neatliekama) pagal pagrindinio ugdymo ir vidurinio ugdymo programą ugdomiems mokiniams, kuriems ugdymas organizuojamas atvirose erdvėse;“.</w:t>
                          </w:r>
                        </w:p>
                      </w:sdtContent>
                    </w:sdt>
                  </w:sdtContent>
                </w:sdt>
              </w:sdtContent>
            </w:sdt>
            <w:sdt>
              <w:sdtPr>
                <w:alias w:val="1.2 pp."/>
                <w:tag w:val="part_a0c756cc58794caba0f414821f0ff15b"/>
                <w:lock w:val="sdtLocked"/>
                <w:richText/>
              </w:sdtPr>
              <w:sdtContent>
                <w:p>
                  <w:pPr>
                    <w:tabs>
                      <w:tab w:val="left" w:pos="1134"/>
                    </w:tabs>
                    <w:ind w:firstLine="720"/>
                    <w:jc w:val="both"/>
                    <w:rPr>
                      <w:szCs w:val="24"/>
                      <w:shd w:val="clear" w:color="auto" w:fill="FFFFFF"/>
                      <w:lang w:eastAsia="lt-LT"/>
                    </w:rPr>
                  </w:pPr>
                  <w:sdt>
                    <w:sdtPr>
                      <w:alias w:val="Numeris"/>
                      <w:tag w:val="nr_a0c756cc58794caba0f414821f0ff15b"/>
                      <w:lock w:val="sdtLocked"/>
                      <w:richText/>
                    </w:sdtPr>
                    <w:sdtContent>
                      <w:r>
                        <w:rPr>
                          <w:szCs w:val="24"/>
                          <w:shd w:val="clear" w:color="auto" w:fill="FFFFFF"/>
                          <w:lang w:eastAsia="lt-LT"/>
                        </w:rPr>
                        <w:t>1.2</w:t>
                      </w:r>
                    </w:sdtContent>
                  </w:sdt>
                  <w:r>
                    <w:rPr>
                      <w:szCs w:val="24"/>
                      <w:shd w:val="clear" w:color="auto" w:fill="FFFFFF"/>
                      <w:lang w:eastAsia="lt-LT"/>
                    </w:rPr>
                    <w:t>. Pakeisti 2.2.9.2</w:t>
                  </w:r>
                  <w:r>
                    <w:rPr>
                      <w:szCs w:val="24"/>
                      <w:shd w:val="clear" w:color="auto" w:fill="FFFFFF"/>
                      <w:vertAlign w:val="superscript"/>
                      <w:lang w:eastAsia="lt-LT"/>
                    </w:rPr>
                    <w:t>1</w:t>
                  </w:r>
                  <w:r>
                    <w:rPr>
                      <w:szCs w:val="24"/>
                      <w:shd w:val="clear" w:color="auto" w:fill="FFFFFF"/>
                      <w:lang w:eastAsia="lt-LT"/>
                    </w:rPr>
                    <w:t xml:space="preserve"> papunktį ir jį išdėstyti taip:</w:t>
                  </w:r>
                </w:p>
                <w:sdt>
                  <w:sdtPr>
                    <w:alias w:val="citata"/>
                    <w:tag w:val="part_60cef2dcd0f249f0a694584dd0ff474b"/>
                    <w:lock w:val="sdtLocked"/>
                    <w:richText/>
                  </w:sdtPr>
                  <w:sdtContent>
                    <w:sdt>
                      <w:sdtPr>
                        <w:alias w:val="2.2.9.2-1 pp."/>
                        <w:tag w:val="part_358307ef2696428cb7b4d79950524668"/>
                        <w:lock w:val="sdtLocked"/>
                        <w:richText/>
                      </w:sdtPr>
                      <w:sdtContent>
                        <w:p>
                          <w:pPr>
                            <w:tabs>
                              <w:tab w:val="left" w:pos="1134"/>
                            </w:tabs>
                            <w:ind w:firstLine="720"/>
                            <w:jc w:val="both"/>
                            <w:rPr>
                              <w:szCs w:val="24"/>
                              <w:shd w:val="clear" w:color="auto" w:fill="FFFFFF"/>
                              <w:lang w:eastAsia="lt-LT"/>
                            </w:rPr>
                          </w:pPr>
                          <w:r>
                            <w:rPr>
                              <w:szCs w:val="24"/>
                              <w:shd w:val="clear" w:color="auto" w:fill="FFFFFF"/>
                              <w:lang w:eastAsia="lt-LT"/>
                            </w:rPr>
                            <w:t>„</w:t>
                          </w:r>
                          <w:sdt>
                            <w:sdtPr>
                              <w:alias w:val="Numeris"/>
                              <w:tag w:val="nr_358307ef2696428cb7b4d79950524668"/>
                              <w:lock w:val="sdtLocked"/>
                              <w:richText/>
                            </w:sdtPr>
                            <w:sdtContent>
                              <w:r>
                                <w:rPr>
                                  <w:szCs w:val="24"/>
                                  <w:shd w:val="clear" w:color="auto" w:fill="FFFFFF"/>
                                  <w:lang w:eastAsia="lt-LT"/>
                                </w:rPr>
                                <w:t>2.2.9.2</w:t>
                              </w:r>
                              <w:r>
                                <w:rPr>
                                  <w:szCs w:val="24"/>
                                  <w:shd w:val="clear" w:color="auto" w:fill="FFFFFF"/>
                                  <w:vertAlign w:val="superscript"/>
                                  <w:lang w:eastAsia="lt-LT"/>
                                </w:rPr>
                                <w:t>1</w:t>
                              </w:r>
                            </w:sdtContent>
                          </w:sdt>
                          <w:r>
                            <w:rPr>
                              <w:szCs w:val="24"/>
                              <w:shd w:val="clear" w:color="auto" w:fill="FFFFFF"/>
                              <w:lang w:eastAsia="lt-LT"/>
                            </w:rPr>
                            <w:t>. šio nutarimo 2</w:t>
                          </w:r>
                          <w:r>
                            <w:rPr>
                              <w:szCs w:val="24"/>
                              <w:shd w:val="clear" w:color="auto" w:fill="FFFFFF"/>
                              <w:vertAlign w:val="superscript"/>
                              <w:lang w:eastAsia="lt-LT"/>
                            </w:rPr>
                            <w:t>1</w:t>
                          </w:r>
                          <w:r>
                            <w:rPr>
                              <w:szCs w:val="24"/>
                              <w:shd w:val="clear" w:color="auto" w:fill="FFFFFF"/>
                              <w:lang w:eastAsia="lt-LT"/>
                            </w:rPr>
                            <w:t xml:space="preserve"> punkte nenurodytų savivaldybių teritorijose esančiose ugdymo įstaigose ugdymas pagal pradinio ugdymo programą vykdomas nuotoliniu būdu arba šių savivaldybių administracijų pasirinktose ugdymo įstaigose vykdomas mišriu būdu, periodiškai jose atliekant pagal pradinio ugdymo programą ugdomų mokinių ir įstaigose kontaktiniu būdu dirbančių darbuotojų profilaktinį tyrimą COVID-19 ligai (koronaviruso infekcijai) diagnozuoti arba savikontrolę</w:t>
                          </w:r>
                          <w:r>
                            <w:rPr>
                              <w:color w:val="000000"/>
                              <w:shd w:val="clear" w:color="auto" w:fill="FFFFFF"/>
                              <w:lang w:eastAsia="lt-LT"/>
                            </w:rPr>
                            <w:t xml:space="preserve"> </w:t>
                          </w:r>
                          <w:r>
                            <w:rPr>
                              <w:szCs w:val="24"/>
                              <w:shd w:val="clear" w:color="auto" w:fill="FFFFFF"/>
                              <w:lang w:eastAsia="lt-LT"/>
                            </w:rPr>
                            <w:t xml:space="preserve">galimai COVID-19 ligai (koronaviruso infekcijai) nustatyti ir užtikrinant valstybės lygio ekstremaliosios situacijos operacijų vadovo nustatytas asmenų srautų valdymo, saugaus atstumo laikymosi ir kitas būtinas visuomenės sveikatos saugos, higienos, asmenų aprūpinimo būtinosiomis asmeninėmis apsaugos priemonėmis sąlygas. </w:t>
                          </w:r>
                          <w:r>
                            <w:rPr>
                              <w:color w:val="000000"/>
                              <w:szCs w:val="24"/>
                              <w:shd w:val="clear" w:color="auto" w:fill="FFFFFF"/>
                              <w:lang w:eastAsia="lt-LT"/>
                            </w:rPr>
                            <w:t>Profilaktinis tyrimas COVID-19 ligai (koronaviruso infekcijai) diagnozuoti gali būti neatliekamas (arba savikontrolė</w:t>
                          </w:r>
                          <w:r>
                            <w:rPr>
                              <w:color w:val="000000"/>
                              <w:shd w:val="clear" w:color="auto" w:fill="FFFFFF"/>
                              <w:lang w:eastAsia="lt-LT"/>
                            </w:rPr>
                            <w:t xml:space="preserve"> </w:t>
                          </w:r>
                          <w:r>
                            <w:rPr>
                              <w:color w:val="000000"/>
                              <w:szCs w:val="24"/>
                              <w:shd w:val="clear" w:color="auto" w:fill="FFFFFF"/>
                              <w:lang w:eastAsia="lt-LT"/>
                            </w:rPr>
                            <w:t>galimai COVID-19 ligai (koronaviruso infekcijai) nustatyti neatliekama)</w:t>
                          </w:r>
                          <w:r>
                            <w:rPr>
                              <w:szCs w:val="24"/>
                              <w:shd w:val="clear" w:color="auto" w:fill="FFFFFF"/>
                              <w:lang w:eastAsia="lt-LT"/>
                            </w:rPr>
                            <w:t xml:space="preserve"> pagal pradinio ugdymo programą ugdomiems mokiniams, kuriems ugdymas organizuojamas atvirose erdvėse;“.</w:t>
                          </w:r>
                        </w:p>
                      </w:sdtContent>
                    </w:sdt>
                  </w:sdtContent>
                </w:sdt>
              </w:sdtContent>
            </w:sdt>
            <w:sdt>
              <w:sdtPr>
                <w:alias w:val="1.3 pp."/>
                <w:tag w:val="part_362f4f015e3e4a9c95e97459861c5d9c"/>
                <w:lock w:val="sdtLocked"/>
                <w:richText/>
              </w:sdtPr>
              <w:sdtContent>
                <w:p>
                  <w:pPr>
                    <w:tabs>
                      <w:tab w:val="left" w:pos="1134"/>
                    </w:tabs>
                    <w:ind w:firstLine="720"/>
                    <w:jc w:val="both"/>
                    <w:rPr>
                      <w:szCs w:val="24"/>
                      <w:shd w:val="clear" w:color="auto" w:fill="FFFFFF"/>
                      <w:lang w:eastAsia="lt-LT"/>
                    </w:rPr>
                  </w:pPr>
                  <w:sdt>
                    <w:sdtPr>
                      <w:alias w:val="Numeris"/>
                      <w:tag w:val="nr_362f4f015e3e4a9c95e97459861c5d9c"/>
                      <w:lock w:val="sdtLocked"/>
                      <w:richText/>
                    </w:sdtPr>
                    <w:sdtContent>
                      <w:r>
                        <w:rPr>
                          <w:szCs w:val="24"/>
                          <w:shd w:val="clear" w:color="auto" w:fill="FFFFFF"/>
                          <w:lang w:eastAsia="lt-LT"/>
                        </w:rPr>
                        <w:t>1.3</w:t>
                      </w:r>
                    </w:sdtContent>
                  </w:sdt>
                  <w:r>
                    <w:rPr>
                      <w:szCs w:val="24"/>
                      <w:shd w:val="clear" w:color="auto" w:fill="FFFFFF"/>
                      <w:lang w:eastAsia="lt-LT"/>
                    </w:rPr>
                    <w:t>. Papildyti 2.2.9.2</w:t>
                  </w:r>
                  <w:r>
                    <w:rPr>
                      <w:szCs w:val="24"/>
                      <w:shd w:val="clear" w:color="auto" w:fill="FFFFFF"/>
                      <w:vertAlign w:val="superscript"/>
                      <w:lang w:eastAsia="lt-LT"/>
                    </w:rPr>
                    <w:t>6</w:t>
                  </w:r>
                  <w:r>
                    <w:rPr>
                      <w:szCs w:val="24"/>
                      <w:shd w:val="clear" w:color="auto" w:fill="FFFFFF"/>
                      <w:lang w:eastAsia="lt-LT"/>
                    </w:rPr>
                    <w:t xml:space="preserve"> papunkčiu:</w:t>
                  </w:r>
                </w:p>
                <w:sdt>
                  <w:sdtPr>
                    <w:alias w:val="citata"/>
                    <w:tag w:val="part_23e7a8ff02984510b37342b21897e48f"/>
                    <w:lock w:val="sdtLocked"/>
                    <w:richText/>
                  </w:sdtPr>
                  <w:sdtContent>
                    <w:sdt>
                      <w:sdtPr>
                        <w:alias w:val="2.2.9.2-6 pp."/>
                        <w:tag w:val="part_4e556b659ba44b32a634c0b02fa7ec3c"/>
                        <w:lock w:val="sdtLocked"/>
                        <w:richText/>
                      </w:sdtPr>
                      <w:sdtContent>
                        <w:p>
                          <w:pPr>
                            <w:tabs>
                              <w:tab w:val="left" w:pos="1134"/>
                            </w:tabs>
                            <w:ind w:firstLine="720"/>
                            <w:jc w:val="both"/>
                            <w:rPr>
                              <w:szCs w:val="24"/>
                              <w:lang w:eastAsia="lt-LT"/>
                            </w:rPr>
                          </w:pPr>
                          <w:r>
                            <w:rPr>
                              <w:szCs w:val="24"/>
                              <w:shd w:val="clear" w:color="auto" w:fill="FFFFFF"/>
                              <w:lang w:eastAsia="lt-LT"/>
                            </w:rPr>
                            <w:t>„</w:t>
                          </w:r>
                          <w:sdt>
                            <w:sdtPr>
                              <w:alias w:val="Numeris"/>
                              <w:tag w:val="nr_4e556b659ba44b32a634c0b02fa7ec3c"/>
                              <w:lock w:val="sdtLocked"/>
                              <w:richText/>
                            </w:sdtPr>
                            <w:sdtContent>
                              <w:r>
                                <w:rPr>
                                  <w:szCs w:val="24"/>
                                  <w:shd w:val="clear" w:color="auto" w:fill="FFFFFF"/>
                                  <w:lang w:eastAsia="lt-LT"/>
                                </w:rPr>
                                <w:t>2.2.9.2</w:t>
                              </w:r>
                              <w:r>
                                <w:rPr>
                                  <w:szCs w:val="24"/>
                                  <w:shd w:val="clear" w:color="auto" w:fill="FFFFFF"/>
                                  <w:vertAlign w:val="superscript"/>
                                  <w:lang w:eastAsia="lt-LT"/>
                                </w:rPr>
                                <w:t>6</w:t>
                              </w:r>
                            </w:sdtContent>
                          </w:sdt>
                          <w:r>
                            <w:rPr>
                              <w:szCs w:val="24"/>
                              <w:shd w:val="clear" w:color="auto" w:fill="FFFFFF"/>
                              <w:lang w:eastAsia="lt-LT"/>
                            </w:rPr>
                            <w:t>. egzaminai mokiniams, kurie baigia ugdymo programą pagal užsienio valstybių ir tarptautinių organizacijų švietimo programas, ir stojamieji egzaminai (ar kiti atrankos būdai) į bendrojo ugdymo programas vykdančias mokyklas vykdomi patalpose ne daugiau kaip 10 mokinių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Content>
                </w:sdt>
              </w:sdtContent>
            </w:sdt>
            <w:sdt>
              <w:sdtPr>
                <w:alias w:val="1.4 pp."/>
                <w:tag w:val="part_d207742ab36240d08450a5dcd055d9d0"/>
                <w:lock w:val="sdtLocked"/>
                <w:richText/>
              </w:sdtPr>
              <w:sdtContent>
                <w:p>
                  <w:pPr>
                    <w:ind w:firstLine="720"/>
                    <w:jc w:val="both"/>
                    <w:rPr>
                      <w:color w:val="000000"/>
                      <w:szCs w:val="24"/>
                      <w:lang w:eastAsia="lt-LT"/>
                    </w:rPr>
                  </w:pPr>
                  <w:sdt>
                    <w:sdtPr>
                      <w:alias w:val="Numeris"/>
                      <w:tag w:val="nr_d207742ab36240d08450a5dcd055d9d0"/>
                      <w:lock w:val="sdtLocked"/>
                      <w:richText/>
                    </w:sdtPr>
                    <w:sdtContent>
                      <w:r>
                        <w:rPr>
                          <w:color w:val="000000"/>
                          <w:szCs w:val="24"/>
                          <w:lang w:eastAsia="lt-LT"/>
                        </w:rPr>
                        <w:t>1.4</w:t>
                      </w:r>
                    </w:sdtContent>
                  </w:sdt>
                  <w:r>
                    <w:rPr>
                      <w:color w:val="000000"/>
                      <w:szCs w:val="24"/>
                      <w:lang w:eastAsia="lt-LT"/>
                    </w:rPr>
                    <w:t>. Pakeisti 2</w:t>
                  </w:r>
                  <w:r>
                    <w:rPr>
                      <w:color w:val="000000"/>
                      <w:szCs w:val="24"/>
                      <w:vertAlign w:val="superscript"/>
                      <w:lang w:eastAsia="lt-LT"/>
                    </w:rPr>
                    <w:t>1</w:t>
                  </w:r>
                  <w:r>
                    <w:rPr>
                      <w:color w:val="000000"/>
                      <w:szCs w:val="24"/>
                      <w:lang w:eastAsia="lt-LT"/>
                    </w:rPr>
                    <w:t> punktą ir jį išdėstyti taip:</w:t>
                  </w:r>
                </w:p>
                <w:p>
                  <w:pPr>
                    <w:ind w:firstLine="720"/>
                    <w:jc w:val="both"/>
                    <w:rPr>
                      <w:szCs w:val="24"/>
                      <w:shd w:val="clear" w:color="auto" w:fill="FFFFFF"/>
                      <w:lang w:eastAsia="lt-LT"/>
                    </w:rPr>
                  </w:pPr>
                  <w:r>
                    <w:rPr>
                      <w:color w:val="000000"/>
                      <w:szCs w:val="24"/>
                      <w:lang w:eastAsia="lt-LT"/>
                    </w:rPr>
                    <w:t>„2</w:t>
                  </w:r>
                  <w:r>
                    <w:rPr>
                      <w:color w:val="000000"/>
                      <w:szCs w:val="24"/>
                      <w:vertAlign w:val="superscript"/>
                      <w:lang w:eastAsia="lt-LT"/>
                    </w:rPr>
                    <w:t>1</w:t>
                  </w:r>
                  <w:r>
                    <w:rPr>
                      <w:color w:val="000000"/>
                      <w:szCs w:val="24"/>
                      <w:lang w:eastAsia="lt-LT"/>
                    </w:rPr>
                    <w:t>. Birštono, Biržų rajono, Joniškio rajono, Jurbarko rajono, Klaipėdos miesto, Klaipėdos rajono, Neringos, Pagėgių, Pakruojo rajono, Pasvalio rajono, Plungės rajono, Rietavo, Rokiškio rajono, Skuodo rajono, Šiaulių rajono, Šakių rajono</w:t>
                  </w:r>
                  <w:r>
                    <w:rPr>
                      <w:b/>
                      <w:bCs/>
                      <w:color w:val="000000"/>
                      <w:szCs w:val="24"/>
                      <w:lang w:eastAsia="lt-LT"/>
                    </w:rPr>
                    <w:t xml:space="preserve">, </w:t>
                  </w:r>
                  <w:r>
                    <w:rPr>
                      <w:color w:val="000000"/>
                      <w:szCs w:val="24"/>
                      <w:lang w:eastAsia="lt-LT"/>
                    </w:rPr>
                    <w:t>Šilalės rajono, Šilutės rajono, Tauragės rajono, Telšių rajono savivaldybėse šiuo nutarimu gali būti nustatomos švelnesnės karantino režimo priemonės negu visoje šalyje.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36ecb0ae8d11eba871a26c1fc3fbc1">
                    <w:r w:rsidRPr="00532B9F">
                      <w:rPr>
                        <w:rFonts w:ascii="Times New Roman" w:eastAsia="MS Mincho" w:hAnsi="Times New Roman"/>
                        <w:sz w:val="20"/>
                        <w:i/>
                        <w:iCs/>
                        <w:color w:val="0000FF" w:themeColor="hyperlink"/>
                        <w:u w:val="single"/>
                      </w:rPr>
                      <w:t>306</w:t>
                    </w:r>
                  </w:fldSimple>
                  <w:r>
                    <w:rPr>
                      <w:rFonts w:ascii="Times New Roman" w:eastAsia="MS Mincho" w:hAnsi="Times New Roman"/>
                      <w:sz w:val="20"/>
                      <w:i/>
                      <w:iCs/>
                    </w:rPr>
                    <w:t>,
2021-05-05,
paskelbta TAR 2021-05-06, i. k. 2021-10090            </w:t>
                  </w:r>
                </w:p>
                <w:p/>
              </w:sdtContent>
            </w:sdt>
          </w:sdtContent>
        </w:sdt>
        <w:sdt>
          <w:sdtPr>
            <w:alias w:val="2 p."/>
            <w:tag w:val="part_80a6cdc4f4f34421be754acf310afd8a"/>
            <w:lock w:val="sdtLocked"/>
            <w:richText/>
          </w:sdtPr>
          <w:sdtContent>
            <w:p>
              <w:pPr>
                <w:tabs>
                  <w:tab w:val="left" w:pos="1134"/>
                </w:tabs>
                <w:ind w:firstLine="720"/>
                <w:jc w:val="both"/>
                <w:rPr>
                  <w:lang w:eastAsia="lt-LT"/>
                </w:rPr>
              </w:pPr>
              <w:sdt>
                <w:sdtPr>
                  <w:alias w:val="Numeris"/>
                  <w:tag w:val="nr_80a6cdc4f4f34421be754acf310afd8a"/>
                  <w:lock w:val="sdtLocked"/>
                  <w:richText/>
                </w:sdtPr>
                <w:sdtContent>
                  <w:r>
                    <w:rPr>
                      <w:color w:val="000000"/>
                      <w:szCs w:val="24"/>
                      <w:shd w:val="clear" w:color="auto" w:fill="FFFFFF"/>
                      <w:lang w:eastAsia="lt-LT"/>
                    </w:rPr>
                    <w:t>2</w:t>
                  </w:r>
                </w:sdtContent>
              </w:sdt>
              <w:r>
                <w:rPr>
                  <w:color w:val="000000"/>
                  <w:szCs w:val="24"/>
                  <w:shd w:val="clear" w:color="auto" w:fill="FFFFFF"/>
                  <w:lang w:eastAsia="lt-LT"/>
                </w:rPr>
                <w:t>. Šis nutarimas įsigalioja 2021 m. gegužės 10 d.</w:t>
              </w:r>
            </w:p>
          </w:sdtContent>
        </w:sdt>
        <w:sdt>
          <w:sdtPr>
            <w:alias w:val="signatura"/>
            <w:tag w:val="part_879bdf0dc0a847acb61e6784e73ee8c1"/>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Sveikatos apsaugos ministras</w:t>
                <w:tab/>
                <w:t>Arūnas Dulkys</w:t>
              </w:r>
            </w:p>
            <w:p>
              <w:pPr>
                <w:tabs>
                  <w:tab w:val="center" w:pos="-7800"/>
                  <w:tab w:val="left" w:pos="6237"/>
                  <w:tab w:val="right" w:pos="8306"/>
                </w:tabs>
                <w:rPr>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c36ecb0ae8d11eba871a26c1fc3fbc1">
            <w:r w:rsidRPr="00532B9F">
              <w:rPr>
                <w:rFonts w:ascii="Times New Roman" w:eastAsia="MS Mincho" w:hAnsi="Times New Roman"/>
                <w:sz w:val="20"/>
                <w:iCs/>
                <w:color w:val="0000FF" w:themeColor="hyperlink"/>
                <w:u w:val="single"/>
              </w:rPr>
              <w:t>306</w:t>
            </w:r>
          </w:fldSimple>
          <w:r>
            <w:rPr>
              <w:rFonts w:ascii="Times New Roman" w:eastAsia="MS Mincho" w:hAnsi="Times New Roman"/>
              <w:sz w:val="20"/>
              <w:iCs/>
            </w:rPr>
            <w:t>,
2021-05-05,
paskelbta TAR 2021-05-06, i. k. 2021-10090                </w:t>
          </w:r>
        </w:p>
        <w:p>
          <w:pPr>
            <w:jc w:val="both"/>
            <w:rPr>
              <w:rFonts w:ascii="Times New Roman" w:hAnsi="Times New Roman"/>
            </w:rPr>
          </w:pPr>
          <w:r>
            <w:rPr>
              <w:rFonts w:ascii="Times New Roman" w:hAnsi="Times New Roman"/>
              <w:sz w:val="20"/>
            </w:rPr>
            <w:t>Dėl Lietuvos Respublikos Vyriausybės 2021 m. balandžio 28 d. nutarimo Nr. 300 „Dėl Lietuvos Respublikos Vyriausybės 2020 m. lapkričio 4 d. nutarimo Nr. 1226 „Dėl karantino Lietuvos Respublikos teritorijoje paskelbimo“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481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114e44782be43058c8da9d2c0fb7852" PartId="76cea68cbf7b4bbb85652e9398e1e6f3">
    <Part Type="preambule" DocPartId="edfad0a42d1840f3aab4cfe61a6d0fc3" PartId="639a55a867d64cfb8c81209512103510"/>
    <Part Type="punktas" Nr="1" Abbr="1 p." DocPartId="d29540bfbab34fd98c627227a109ea0f" PartId="91f43a5fdeb647bb9e1bef7050e04557">
      <Part Type="papunktis" Nr="1.1" Abbr="1.1 pp." DocPartId="e9fabd2d44944f859822f381fed694ac" PartId="d16b7adb33f745af8c18b858fcbda185">
        <Part Type="citata" DocPartId="b591bd04f0a64353852008edbe027107" PartId="8fb4e340cb2e4b189564fe2c73b44da1">
          <Part Type="papunktis" Nr="2.2.9.2" Abbr="2.2.9.2 pp." DocPartId="f8794b057c94480cb796309d3575d023" PartId="de02aa1fce294cafbe10e40666b43504"/>
        </Part>
      </Part>
      <Part Type="papunktis" Nr="1.2" Abbr="1.2 pp." DocPartId="849352149486468d8e6d992dc8864fb3" PartId="a0c756cc58794caba0f414821f0ff15b">
        <Part Type="citata" DocPartId="647e2dfa7d2c439ebe68882f4eae2eb7" PartId="60cef2dcd0f249f0a694584dd0ff474b">
          <Part Type="papunktis" Nr="2.2.9.2-1" Abbr="2.2.9.2-1 pp." DocPartId="6b0b9678410a444db52c45cb424b1a72" PartId="358307ef2696428cb7b4d79950524668"/>
        </Part>
      </Part>
      <Part Type="papunktis" Nr="1.3" Abbr="1.3 pp." DocPartId="ab98aec9efd44a1f96ffe913eee4b7cc" PartId="362f4f015e3e4a9c95e97459861c5d9c">
        <Part Type="citata" DocPartId="68849ef2ff444d059eb27c96f4bc4f04" PartId="23e7a8ff02984510b37342b21897e48f">
          <Part Type="papunktis" Nr="2.2.9.2-6" Abbr="2.2.9.2-6 pp." DocPartId="267844d4215042559efb816d6554aaa6" PartId="4e556b659ba44b32a634c0b02fa7ec3c"/>
        </Part>
      </Part>
      <Part Type="papunktis" Nr="1.4" Abbr="1.4 pp." DocPartId="b1546c39bcff45df9d047ddda483e113" PartId="d207742ab36240d08450a5dcd055d9d0"/>
    </Part>
    <Part Type="punktas" Nr="2" Abbr="2 p." DocPartId="92c8bcf4d30f4dd9a3ccdd61b7e75ba8" PartId="80a6cdc4f4f34421be754acf310afd8a"/>
    <Part Type="signatura" DocPartId="48ec395ab6664865be4d556bc5dfb72e" PartId="879bdf0dc0a847acb61e6784e73ee8c1"/>
  </Part>
</Parts>
</file>

<file path=customXml/itemProps1.xml><?xml version="1.0" encoding="utf-8"?>
<ds:datastoreItem xmlns:ds="http://schemas.openxmlformats.org/officeDocument/2006/customXml" ds:itemID="{C712FAD7-FD9D-4EB8-A88D-04CA30E3159D}">
  <ds:schemaRefs>
    <ds:schemaRef ds:uri="http://lrs.lt/TAIS/DocParts"/>
  </ds:schemaRefs>
</ds:datastoreItem>
</file>

<file path=docProps/app.xml><?xml version="1.0" encoding="utf-8"?>
<Properties xmlns="http://schemas.openxmlformats.org/officeDocument/2006/extended-properties">
  <Template>Normal.dotm</Template>
  <TotalTime>1</TotalTime>
  <Pages>2</Pages>
  <Words>536</Words>
  <Characters>4076</Characters>
  <Application>Microsoft Office Word</Application>
  <DocSecurity>0</DocSecurity>
  <Lines>33</Lines>
  <Paragraphs>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4603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2021-04-30T10:29:00Z</dcterms:created>
  <dc:creator>lrvk</dc:creator>
  <lastModifiedBy>BODIN Aušra</lastModifiedBy>
  <lastPrinted>2019-09-30T12:12:00Z</lastPrinted>
  <dcterms:modified xsi:type="dcterms:W3CDTF">2021-05-07T06:08:00Z</dcterms:modified>
  <revision>5</revision>
</coreProperties>
</file>