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2026-05-16 iki 2026-05-20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79143946e37d4e57a8723f46dc59cfa8"/>
                            <w:lock w:val="sdtLocked"/>
                            <w:richText/>
                          </w:sdtPr>
                          <w:sdtContent>
                            <w:p>
                              <w:pPr>
                                <w:widowControl w:val="0"/>
                                <w:spacing w:line="360" w:lineRule="auto"/>
                                <w:ind w:firstLine="720"/>
                                <w:jc w:val="both"/>
                              </w:pPr>
                              <w:sdt>
                                <w:sdtPr>
                                  <w:alias w:val="Numeris"/>
                                  <w:tag w:val="nr_79143946e37d4e57a8723f46dc59cfa8"/>
                                  <w:lock w:val="sdtLocked"/>
                                  <w:richText/>
                                </w:sdtPr>
                                <w:sdtContent>
                                  <w:r>
                                    <w:rPr>
                                      <w:szCs w:val="24"/>
                                    </w:rPr>
                                    <w:t>6</w:t>
                                  </w:r>
                                </w:sdtContent>
                              </w:sdt>
                              <w:r>
                                <w:rPr>
                                  <w:szCs w:val="24"/>
                                </w:rPr>
                                <w:t>)</w:t>
                              </w:r>
                              <w:r>
                                <w:rPr>
                                  <w:b/>
                                  <w:bCs/>
                                  <w:szCs w:val="24"/>
                                </w:rPr>
                                <w:t xml:space="preserve"> </w:t>
                              </w:r>
                              <w:r>
                                <w:rPr>
                                  <w:szCs w:val="24"/>
                                </w:rPr>
                                <w:t>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7 p."/>
                            <w:tag w:val="part_f8af2058b6a041688221ee4a5ef371b9"/>
                            <w:lock w:val="sdtLocked"/>
                            <w:richText/>
                          </w:sdtPr>
                          <w:sdtContent>
                            <w:p>
                              <w:pPr>
                                <w:widowControl w:val="0"/>
                                <w:spacing w:line="360" w:lineRule="auto"/>
                                <w:ind w:firstLine="720"/>
                                <w:jc w:val="both"/>
                                <w:rPr>
                                  <w:szCs w:val="24"/>
                                  <w:lang w:eastAsia="lt-LT"/>
                                </w:rPr>
                              </w:pPr>
                              <w:sdt>
                                <w:sdtPr>
                                  <w:alias w:val="Numeris"/>
                                  <w:tag w:val="nr_f8af2058b6a041688221ee4a5ef371b9"/>
                                  <w:lock w:val="sdtLocked"/>
                                  <w:richText/>
                                </w:sdtPr>
                                <w:sdtContent>
                                  <w:r>
                                    <w:rPr>
                                      <w:szCs w:val="24"/>
                                      <w:lang w:eastAsia="lt-LT"/>
                                    </w:rPr>
                                    <w:t>7</w:t>
                                  </w:r>
                                </w:sdtContent>
                              </w:sdt>
                              <w:r>
                                <w:rPr>
                                  <w:szCs w:val="24"/>
                                  <w:lang w:eastAsia="lt-LT"/>
                                </w:rPr>
                                <w:t>)</w:t>
                              </w:r>
                              <w:r>
                                <w:rPr>
                                  <w:bCs/>
                                  <w:szCs w:val="24"/>
                                </w:rPr>
                                <w:t xml:space="preserve"> šios dalies 3 ar 4 punkte nurodytus dokumentus, jeigu buvo nustatyta papildoma kvota </w:t>
                              </w:r>
                              <w:r>
                                <w:rPr>
                                  <w:szCs w:val="24"/>
                                </w:rPr>
                                <w:t>pagal įstatymo „Dėl užsieniečių teisinės padėties“ 57</w:t>
                              </w:r>
                              <w:r>
                                <w:rPr>
                                  <w:szCs w:val="24"/>
                                  <w:vertAlign w:val="superscript"/>
                                </w:rPr>
                                <w:t>1</w:t>
                              </w:r>
                              <w:r>
                                <w:rPr>
                                  <w:szCs w:val="24"/>
                                </w:rPr>
                                <w:t xml:space="preserve"> straipsnio 3</w:t>
                              </w:r>
                              <w:r>
                                <w:rPr>
                                  <w:szCs w:val="24"/>
                                  <w:vertAlign w:val="superscript"/>
                                </w:rPr>
                                <w:t>1</w:t>
                              </w:r>
                              <w:r>
                                <w:rPr>
                                  <w:szCs w:val="24"/>
                                </w:rPr>
                                <w:t xml:space="preserve"> dalį,</w:t>
                              </w:r>
                              <w:r>
                                <w:rPr>
                                  <w:bCs/>
                                  <w:szCs w:val="24"/>
                                </w:rPr>
                                <w:t xml:space="preserve">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842a1370ca864b90b0496891eb592c5c"/>
                        <w:lock w:val="sdtLocked"/>
                        <w:richText/>
                      </w:sdtPr>
                      <w:sdtContent>
                        <w:p>
                          <w:pPr>
                            <w:widowControl w:val="0"/>
                            <w:spacing w:line="360" w:lineRule="auto"/>
                            <w:ind w:firstLine="720"/>
                            <w:jc w:val="both"/>
                            <w:rPr>
                              <w:szCs w:val="24"/>
                              <w:lang w:eastAsia="lt-LT"/>
                            </w:rPr>
                          </w:pPr>
                          <w:sdt>
                            <w:sdtPr>
                              <w:alias w:val="Numeris"/>
                              <w:tag w:val="nr_842a1370ca864b90b0496891eb592c5c"/>
                              <w:lock w:val="sdtLocked"/>
                              <w:richText/>
                            </w:sdtPr>
                            <w:sdtContent>
                              <w:r>
                                <w:rPr>
                                  <w:szCs w:val="24"/>
                                  <w:lang w:eastAsia="lt-LT"/>
                                </w:rPr>
                                <w:t>1</w:t>
                              </w:r>
                            </w:sdtContent>
                          </w:sdt>
                          <w:r>
                            <w:rPr>
                              <w:szCs w:val="24"/>
                              <w:lang w:eastAsia="lt-LT"/>
                            </w:rPr>
                            <w:t>) nepateikia dokumentų, patvirtinančių trečiosios šalies piliečio turimą kvalifikaciją, susijusią su atliktinu darbu,</w:t>
                          </w:r>
                          <w:r>
                            <w:rPr>
                              <w:rFonts w:eastAsia="Calibri"/>
                              <w:bCs/>
                              <w:szCs w:val="24"/>
                            </w:rPr>
                            <w:t xml:space="preserve"> ir jo turimą ne mažesnę negu vienų</w:t>
                          </w:r>
                          <w:r>
                            <w:rPr>
                              <w:rFonts w:eastAsia="Calibri"/>
                              <w:b/>
                              <w:szCs w:val="24"/>
                            </w:rPr>
                            <w:t xml:space="preserve"> </w:t>
                          </w:r>
                          <w:r>
                            <w:rPr>
                              <w:szCs w:val="24"/>
                              <w:lang w:eastAsia="lt-LT"/>
                            </w:rPr>
                            <w:t xml:space="preserve">metų darbo patirtį per pastaruosius 3 metus, </w:t>
                          </w:r>
                          <w:r>
                            <w:rPr>
                              <w:szCs w:val="24"/>
                            </w:rPr>
                            <w:t>susijusią su atliktinu darbu</w:t>
                          </w:r>
                          <w:r>
                            <w:rPr>
                              <w:bCs/>
                              <w:szCs w:val="24"/>
                            </w:rPr>
                            <w:t>,</w:t>
                          </w:r>
                          <w:r>
                            <w:rPr>
                              <w:szCs w:val="24"/>
                            </w:rPr>
                            <w:t xml:space="preserve"> </w:t>
                          </w:r>
                          <w:r>
                            <w:rPr>
                              <w:szCs w:val="24"/>
                              <w:lang w:eastAsia="lt-LT"/>
                            </w:rPr>
                            <w:t>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nepateikė informacijos apie trečiosios šalies piliečio turimą kvalifikaciją,</w:t>
                          </w:r>
                          <w:r>
                            <w:rPr>
                              <w:szCs w:val="24"/>
                            </w:rPr>
                            <w:t xml:space="preserve"> susijusią su atliktinu darbu</w:t>
                          </w:r>
                          <w:r>
                            <w:rPr>
                              <w:bCs/>
                              <w:szCs w:val="24"/>
                            </w:rPr>
                            <w:t>,</w:t>
                          </w:r>
                          <w:r>
                            <w:rPr>
                              <w:szCs w:val="24"/>
                            </w:rPr>
                            <w:t xml:space="preserve"> ir jo turimą ne mažesnę negu vienų metų darbo patirtį per pastaruosius 3 metus, susijusią su atliktinu darbu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4ab09d9e3f2c421ea13962802530e150"/>
                        <w:lock w:val="sdtLocked"/>
                        <w:richText/>
                      </w:sdtPr>
                      <w:sdtContent>
                        <w:p>
                          <w:pPr>
                            <w:widowControl w:val="0"/>
                            <w:spacing w:line="360" w:lineRule="auto"/>
                            <w:ind w:firstLine="720"/>
                            <w:jc w:val="both"/>
                          </w:pPr>
                          <w:sdt>
                            <w:sdtPr>
                              <w:alias w:val="Numeris"/>
                              <w:tag w:val="nr_4ab09d9e3f2c421ea13962802530e150"/>
                              <w:lock w:val="sdtLocked"/>
                              <w:richText/>
                            </w:sdtPr>
                            <w:sdtContent>
                              <w:r>
                                <w:rPr>
                                  <w:rFonts w:eastAsia="Calibri"/>
                                  <w:szCs w:val="24"/>
                                  <w:lang w:eastAsia="lt-LT"/>
                                </w:rPr>
                                <w:t>5</w:t>
                              </w:r>
                            </w:sdtContent>
                          </w:sdt>
                          <w:r>
                            <w:rPr>
                              <w:rFonts w:eastAsia="Calibri"/>
                              <w:szCs w:val="24"/>
                              <w:lang w:eastAsia="lt-LT"/>
                            </w:rPr>
                            <w:t>)</w:t>
                          </w:r>
                          <w:r>
                            <w:rPr>
                              <w:rFonts w:eastAsia="Calibri"/>
                              <w:bCs/>
                              <w:szCs w:val="24"/>
                              <w:lang w:eastAsia="lt-LT"/>
                            </w:rPr>
                            <w:t xml:space="preserve"> </w:t>
                          </w:r>
                          <w:r>
                            <w:rPr>
                              <w:rFonts w:eastAsia="Calibri"/>
                              <w:szCs w:val="24"/>
                              <w:lang w:eastAsia="lt-LT"/>
                            </w:rPr>
                            <w:t>nemoka įstatymo „Dėl užsieniečių teisinės padėties“ 44 straipsnio 1 dalies 2 punkte, 2</w:t>
                          </w:r>
                          <w:r>
                            <w:rPr>
                              <w:rFonts w:eastAsia="Calibri"/>
                              <w:szCs w:val="24"/>
                              <w:vertAlign w:val="superscript"/>
                              <w:lang w:eastAsia="lt-LT"/>
                            </w:rPr>
                            <w:t>2</w:t>
                          </w:r>
                          <w:r>
                            <w:rPr>
                              <w:rFonts w:eastAsia="Calibri"/>
                              <w:szCs w:val="24"/>
                              <w:lang w:eastAsia="lt-LT"/>
                            </w:rPr>
                            <w:t> dalyje, 44</w:t>
                          </w:r>
                          <w:r>
                            <w:rPr>
                              <w:rFonts w:eastAsia="Calibri"/>
                              <w:szCs w:val="24"/>
                              <w:vertAlign w:val="superscript"/>
                              <w:lang w:eastAsia="lt-LT"/>
                            </w:rPr>
                            <w:t>1</w:t>
                          </w:r>
                          <w:r>
                            <w:rPr>
                              <w:rFonts w:eastAsia="Calibri"/>
                              <w:szCs w:val="24"/>
                              <w:lang w:eastAsia="lt-LT"/>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fd21328686b845bc94715feceb308a9b"/>
                    <w:lock w:val="sdtLocked"/>
                    <w:richText/>
                  </w:sdtPr>
                  <w:sdtContent>
                    <w:p>
                      <w:pPr>
                        <w:spacing w:line="360" w:lineRule="auto"/>
                        <w:ind w:firstLine="720"/>
                        <w:jc w:val="both"/>
                        <w:rPr>
                          <w:szCs w:val="24"/>
                          <w:lang w:eastAsia="lt-LT"/>
                        </w:rPr>
                      </w:pPr>
                      <w:sdt>
                        <w:sdtPr>
                          <w:alias w:val="Numeris"/>
                          <w:tag w:val="nr_fd21328686b845bc94715feceb308a9b"/>
                          <w:lock w:val="sdtLocked"/>
                          <w:richText/>
                        </w:sdtPr>
                        <w:sdtContent>
                          <w:r>
                            <w:rPr>
                              <w:szCs w:val="24"/>
                              <w:lang w:eastAsia="lt-LT"/>
                            </w:rPr>
                            <w:t>6</w:t>
                          </w:r>
                        </w:sdtContent>
                      </w:sdt>
                      <w:r>
                        <w:rPr>
                          <w:szCs w:val="24"/>
                          <w:lang w:eastAsia="lt-LT"/>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iki nutarimo dėl baudos skyrimo priėmimo dienos. Po šio nutarimo priėmimo dienos paskirtos baudos mokėjimo išdėstymo klausimai sprendžiami Mokesčių administravimo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4e2292502b11f180c9c618618421ed">
                        <w:r w:rsidRPr="00532B9F">
                          <w:rPr>
                            <w:rFonts w:ascii="Times New Roman" w:eastAsia="MS Mincho" w:hAnsi="Times New Roman"/>
                            <w:sz w:val="20"/>
                            <w:i/>
                            <w:iCs/>
                            <w:color w:val="0000FF" w:themeColor="hyperlink"/>
                            <w:u w:val="single"/>
                          </w:rPr>
                          <w:t>XV-891</w:t>
                        </w:r>
                      </w:fldSimple>
                      <w:r>
                        <w:rPr>
                          <w:rFonts w:ascii="Times New Roman" w:eastAsia="MS Mincho" w:hAnsi="Times New Roman"/>
                          <w:sz w:val="20"/>
                          <w:i/>
                          <w:iCs/>
                        </w:rPr>
                        <w:t>,
2026-05-12,
paskelbta TAR 2026-05-15, i. k. 2026-08221            </w:t>
                      </w:r>
                    </w:p>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54b9769f3044ac19d97a75016f98d46"/>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54b9769f3044ac19d97a75016f98d46"/>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4e2292502b11f180c9c618618421ed">
            <w:r w:rsidRPr="00532B9F">
              <w:rPr>
                <w:rFonts w:ascii="Times New Roman" w:eastAsia="MS Mincho" w:hAnsi="Times New Roman"/>
                <w:sz w:val="20"/>
                <w:iCs/>
                <w:color w:val="0000FF" w:themeColor="hyperlink"/>
                <w:u w:val="single"/>
              </w:rPr>
              <w:t>XV-891</w:t>
            </w:r>
          </w:fldSimple>
          <w:r>
            <w:rPr>
              <w:rFonts w:ascii="Times New Roman" w:eastAsia="MS Mincho" w:hAnsi="Times New Roman"/>
              <w:sz w:val="20"/>
              <w:iCs/>
            </w:rPr>
            <w:t>,
2026-05-12,
paskelbta TAR 2026-05-15, i. k. 2026-08221                </w:t>
          </w:r>
        </w:p>
        <w:p>
          <w:pPr>
            <w:jc w:val="both"/>
            <w:rPr>
              <w:rFonts w:ascii="Times New Roman" w:hAnsi="Times New Roman"/>
            </w:rPr>
          </w:pPr>
          <w:r>
            <w:rPr>
              <w:rFonts w:ascii="Times New Roman" w:hAnsi="Times New Roman"/>
              <w:sz w:val="20"/>
            </w:rPr>
            <w:t>Lietuvos Respublikos užimtumo įstatymo Nr. XII-2470 60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EB3B74"/>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51.xml"/>
  <Relationship Id="rId11" Type="http://schemas.openxmlformats.org/officeDocument/2006/relationships/header" Target="header152.xml"/>
  <Relationship Id="rId12" Type="http://schemas.openxmlformats.org/officeDocument/2006/relationships/footer" Target="footer151.xml"/>
  <Relationship Id="rId13" Type="http://schemas.openxmlformats.org/officeDocument/2006/relationships/footer" Target="footer152.xml"/>
  <Relationship Id="rId14" Type="http://schemas.openxmlformats.org/officeDocument/2006/relationships/header" Target="header153.xml"/>
  <Relationship Id="rId15" Type="http://schemas.openxmlformats.org/officeDocument/2006/relationships/footer" Target="footer153.xml"/>
  <Relationship Id="rId16"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79143946e37d4e57a8723f46dc59cfa8"/>
            <Part Type="strPunktas" Nr="7" Abbr="7 p." DocPartId="b6c4be1fc3d5483f976d4c3e090e54bc" PartId="f8af2058b6a041688221ee4a5ef371b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842a1370ca864b90b0496891eb592c5c"/>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4ab09d9e3f2c421ea13962802530e150"/>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fd21328686b845bc94715feceb308a9b"/>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54b9769f3044ac19d97a75016f98d46">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customXml/itemProps2.xml><?xml version="1.0" encoding="utf-8"?>
<ds:datastoreItem xmlns:ds="http://schemas.openxmlformats.org/officeDocument/2006/customXml" ds:itemID="{63FDFDA8-49DB-4C9C-A2B2-C9801BFF132D}">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198</TotalTime>
  <Pages>78</Pages>
  <Words>131366</Words>
  <Characters>74880</Characters>
  <Application>Microsoft Office Word</Application>
  <DocSecurity>0</DocSecurity>
  <Lines>624</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205835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DINDIENĖ Laura</lastModifiedBy>
  <lastPrinted>2004-12-10T05:45:00Z</lastPrinted>
  <dcterms:modified xsi:type="dcterms:W3CDTF">2026-05-18T08:09:00Z</dcterms:modified>
  <revision>100</revision>
</coreProperties>
</file>