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2025-05-31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16a4297a866d45f68781880bae78e700"/>
                        <w:lock w:val="sdtLocked"/>
                        <w:richText/>
                      </w:sdtPr>
                      <w:sdtContent>
                        <w:p>
                          <w:pPr>
                            <w:spacing w:line="360" w:lineRule="auto"/>
                            <w:ind w:firstLine="720"/>
                            <w:jc w:val="both"/>
                            <w:rPr>
                              <w:szCs w:val="24"/>
                              <w:lang w:eastAsia="lt-LT"/>
                            </w:rPr>
                          </w:pPr>
                          <w:sdt>
                            <w:sdtPr>
                              <w:alias w:val="Numeris"/>
                              <w:tag w:val="nr_16a4297a866d45f68781880bae78e700"/>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aukšto meistriškumo sporto varžyboms ir dalyvavimo aukšto meistriškumo sporto varžybose veikla, išskyrus sporto veiklą pagal darbo sutartį dėl aukšto meistriškumo sporto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08fd79d7811f40b0b6c726cc6e035394"/>
                        <w:lock w:val="sdtLocked"/>
                        <w:richText/>
                      </w:sdtPr>
                      <w:sdtContent>
                        <w:p>
                          <w:pPr>
                            <w:spacing w:line="360" w:lineRule="auto"/>
                            <w:ind w:firstLine="720"/>
                            <w:jc w:val="both"/>
                            <w:rPr>
                              <w:szCs w:val="24"/>
                              <w:lang w:eastAsia="lt-LT"/>
                            </w:rPr>
                          </w:pPr>
                          <w:sdt>
                            <w:sdtPr>
                              <w:alias w:val="Numeris"/>
                              <w:tag w:val="nr_08fd79d7811f40b0b6c726cc6e035394"/>
                              <w:lock w:val="sdtLocked"/>
                              <w:richText/>
                            </w:sdtPr>
                            <w:sdtContent>
                              <w:r>
                                <w:rPr>
                                  <w:szCs w:val="24"/>
                                  <w:lang w:eastAsia="lt-LT"/>
                                </w:rPr>
                                <w:t>5</w:t>
                              </w:r>
                            </w:sdtContent>
                          </w:sdt>
                          <w:r>
                            <w:rPr>
                              <w:szCs w:val="24"/>
                              <w:lang w:eastAsia="lt-LT"/>
                            </w:rPr>
                            <w:t>) savarankiška aukšto meistriškumo sporto trenerio veikla, kai aukšto meistriškumo sporto treneris nėra sudaręs darbo sutarties dėl aukšto meistriškumo sporto trenerio darbo su organizacija, kuri vykdo aukšto meistriškumo sporto pratybas;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8fcf303aa511efbdaea558de59136c">
                            <w:r w:rsidRPr="00532B9F">
                              <w:rPr>
                                <w:rFonts w:ascii="Times New Roman" w:eastAsia="MS Mincho" w:hAnsi="Times New Roman"/>
                                <w:sz w:val="20"/>
                                <w:i/>
                                <w:iCs/>
                                <w:color w:val="0000FF" w:themeColor="hyperlink"/>
                                <w:u w:val="single"/>
                              </w:rPr>
                              <w:t>XIV-2867</w:t>
                            </w:r>
                          </w:fldSimple>
                          <w:r>
                            <w:rPr>
                              <w:rFonts w:ascii="Times New Roman" w:eastAsia="MS Mincho" w:hAnsi="Times New Roman"/>
                              <w:sz w:val="20"/>
                              <w:i/>
                              <w:iCs/>
                            </w:rPr>
                            <w:t>,
2024-06-27,
paskelbta TAR 2024-07-05, i. k. 2024-12653            </w:t>
                          </w:r>
                        </w:p>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dbec429b37614a6eb7d8a53c9e018e45"/>
                            <w:lock w:val="sdtLocked"/>
                            <w:richText/>
                          </w:sdtPr>
                          <w:sdtContent>
                            <w:p>
                              <w:pPr>
                                <w:widowControl w:val="0"/>
                                <w:spacing w:line="360" w:lineRule="auto"/>
                                <w:ind w:firstLine="720"/>
                                <w:jc w:val="both"/>
                                <w:rPr>
                                  <w:color w:val="000000"/>
                                  <w:szCs w:val="24"/>
                                  <w:lang w:eastAsia="lt-LT"/>
                                </w:rPr>
                              </w:pPr>
                              <w:sdt>
                                <w:sdtPr>
                                  <w:alias w:val="Numeris"/>
                                  <w:tag w:val="nr_dbec429b37614a6eb7d8a53c9e018e45"/>
                                  <w:lock w:val="sdtLocked"/>
                                  <w:richText/>
                                </w:sdtPr>
                                <w:sdtContent>
                                  <w:r>
                                    <w:rPr>
                                      <w:szCs w:val="24"/>
                                    </w:rPr>
                                    <w:t>8</w:t>
                                  </w:r>
                                </w:sdtContent>
                              </w:sdt>
                              <w:r>
                                <w:rPr>
                                  <w:szCs w:val="24"/>
                                </w:rPr>
                                <w:t>) išduoda leidimus dirbti Lietuvos Respublikoje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17dd14d789814aa2b4b4468a55454bdb"/>
                            <w:lock w:val="sdtLocked"/>
                            <w:richText/>
                          </w:sdtPr>
                          <w:sdtContent>
                            <w:p>
                              <w:pPr>
                                <w:widowControl w:val="0"/>
                                <w:spacing w:line="360" w:lineRule="auto"/>
                                <w:ind w:firstLine="720"/>
                                <w:jc w:val="both"/>
                              </w:pPr>
                              <w:sdt>
                                <w:sdtPr>
                                  <w:alias w:val="Numeris"/>
                                  <w:tag w:val="nr_17dd14d789814aa2b4b4468a55454bdb"/>
                                  <w:lock w:val="sdtLocked"/>
                                  <w:richText/>
                                </w:sdtPr>
                                <w:sdtContent>
                                  <w:r>
                                    <w:rPr>
                                      <w:rFonts w:eastAsia="Calibri"/>
                                      <w:szCs w:val="24"/>
                                      <w:lang w:eastAsia="lt-LT"/>
                                    </w:rPr>
                                    <w:t>4</w:t>
                                  </w:r>
                                </w:sdtContent>
                              </w:sdt>
                              <w:r>
                                <w:rPr>
                                  <w:rFonts w:eastAsia="Calibri"/>
                                  <w:szCs w:val="24"/>
                                  <w:lang w:eastAsia="lt-LT"/>
                                </w:rPr>
                                <w:t xml:space="preserve">) </w:t>
                              </w:r>
                              <w:r>
                                <w:rPr>
                                  <w:szCs w:val="24"/>
                                  <w:lang w:eastAsia="lt-LT"/>
                                </w:rPr>
                                <w:t xml:space="preserve">darbdavio įsipareigojimą įdarbinti trečiosios šalies pilietį pagal darbo sutartį ne trumpesniam negu 6 mėnesių laikotarpiui ir nustatyti visą darbo laiko normą, kai vertinama trečiosios šalies piliečio kvalifikacija ir darbo patirtis,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 p."/>
                            <w:tag w:val="part_fe58c424c6a64f32b58d3c05013a8b08"/>
                            <w:lock w:val="sdtLocked"/>
                            <w:richText/>
                          </w:sdtPr>
                          <w:sdtContent>
                            <w:p>
                              <w:pPr>
                                <w:widowControl w:val="0"/>
                                <w:spacing w:line="360" w:lineRule="auto"/>
                                <w:ind w:firstLine="720"/>
                                <w:jc w:val="both"/>
                              </w:pPr>
                              <w:sdt>
                                <w:sdtPr>
                                  <w:alias w:val="Numeris"/>
                                  <w:tag w:val="nr_fe58c424c6a64f32b58d3c05013a8b08"/>
                                  <w:lock w:val="sdtLocked"/>
                                  <w:richText/>
                                </w:sdtPr>
                                <w:sdtContent>
                                  <w:r>
                                    <w:rPr>
                                      <w:szCs w:val="24"/>
                                      <w:lang w:eastAsia="lt-LT"/>
                                    </w:rPr>
                                    <w:t>5</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1,2 paskutinio paskelbto kalendorinių metų vidutinio mėnesinio BDU dydžio, kai yra išnaudota kvota, nustatyta pagal įstatymo „Dėl užsieniečių teisinės padėties“ 57</w:t>
                              </w:r>
                              <w:r>
                                <w:rPr>
                                  <w:szCs w:val="24"/>
                                  <w:vertAlign w:val="superscript"/>
                                  <w:lang w:eastAsia="lt-LT"/>
                                </w:rPr>
                                <w:t>1</w:t>
                              </w:r>
                              <w:r>
                                <w:rPr>
                                  <w:szCs w:val="24"/>
                                  <w:lang w:eastAsia="lt-LT"/>
                                </w:rPr>
                                <w:t> straipsnį, arba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1 str. 5 d. 6 p."/>
                            <w:tag w:val="part_1445e7c0a4614bf596420b514d730573"/>
                            <w:lock w:val="sdtLocked"/>
                            <w:richText/>
                          </w:sdtPr>
                          <w:sdtContent>
                            <w:p>
                              <w:pPr>
                                <w:widowControl w:val="0"/>
                                <w:spacing w:line="360" w:lineRule="auto"/>
                                <w:ind w:firstLine="720"/>
                                <w:jc w:val="both"/>
                                <w:rPr>
                                  <w:szCs w:val="24"/>
                                  <w:lang w:eastAsia="lt-LT"/>
                                </w:rPr>
                              </w:pPr>
                              <w:sdt>
                                <w:sdtPr>
                                  <w:alias w:val="Numeris"/>
                                  <w:tag w:val="nr_1445e7c0a4614bf596420b514d730573"/>
                                  <w:lock w:val="sdtLocked"/>
                                  <w:richText/>
                                </w:sdtPr>
                                <w:sdtContent>
                                  <w:r>
                                    <w:rPr>
                                      <w:szCs w:val="24"/>
                                    </w:rPr>
                                    <w:t>6</w:t>
                                  </w:r>
                                </w:sdtContent>
                              </w:sdt>
                              <w:r>
                                <w:rPr>
                                  <w:szCs w:val="24"/>
                                </w:rPr>
                                <w:t>) darbdavio įsipareigojimą įdarbinti trečiosios šalies pilietį pagal profesiją, kuri yra įtraukta į Aukštą pridėtinę vertę kuriančių profesijų, kurių darbuotojų trūksta Lietuvos Respublikoje, sąrašą, patvirtintą ekonomikos ir inovacijų ministro pagal šio įstatymo 48</w:t>
                              </w:r>
                              <w:r>
                                <w:rPr>
                                  <w:szCs w:val="24"/>
                                  <w:vertAlign w:val="superscript"/>
                                </w:rPr>
                                <w:t>1</w:t>
                              </w:r>
                              <w:r>
                                <w:rPr>
                                  <w:szCs w:val="24"/>
                                </w:rPr>
                                <w:t xml:space="preserve"> straipsnio 7 dalį, pagal darbo sutartį ne trumpesniam negu 6 mėnesių laikotarpiui, nustatyti visą darbo laiko normą ir mokėti mėnesinį darbo užmokestį, ne mažesnį negu vieno paskutinio paskelbto kalendorinių metų vidutinio mėnesinio BDU dydžio, kai yra išnaudota kvota, nustatyta pagal įstatymo „Dėl užsieniečių teisinės padėties“ 57</w:t>
                              </w:r>
                              <w:r>
                                <w:rPr>
                                  <w:szCs w:val="24"/>
                                  <w:vertAlign w:val="superscript"/>
                                </w:rPr>
                                <w:t>1</w:t>
                              </w:r>
                              <w:r>
                                <w:rPr>
                                  <w:szCs w:val="24"/>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b1a76bc056934309bd67d4fab784233b"/>
                        <w:lock w:val="sdtLocked"/>
                        <w:richText/>
                      </w:sdtPr>
                      <w:sdtContent>
                        <w:p>
                          <w:pPr>
                            <w:spacing w:line="360" w:lineRule="auto"/>
                            <w:ind w:firstLine="720"/>
                            <w:jc w:val="both"/>
                            <w:rPr>
                              <w:szCs w:val="24"/>
                            </w:rPr>
                          </w:pPr>
                          <w:sdt>
                            <w:sdtPr>
                              <w:alias w:val="Numeris"/>
                              <w:tag w:val="nr_b1a76bc056934309bd67d4fab784233b"/>
                              <w:lock w:val="sdtLocked"/>
                              <w:richText/>
                            </w:sdtPr>
                            <w:sdtContent>
                              <w:r>
                                <w:rPr>
                                  <w:rFonts w:eastAsia="Calibri"/>
                                  <w:color w:val="000000"/>
                                  <w:szCs w:val="24"/>
                                  <w:lang w:eastAsia="lt-LT"/>
                                </w:rPr>
                                <w:t>1</w:t>
                              </w:r>
                            </w:sdtContent>
                          </w:sdt>
                          <w:r>
                            <w:rPr>
                              <w:rFonts w:eastAsia="Calibri"/>
                              <w:color w:val="000000"/>
                              <w:szCs w:val="24"/>
                              <w:lang w:eastAsia="lt-LT"/>
                            </w:rPr>
                            <w:t>) darbdavys nesudaro darbo sutarties raštu ir (arba) nepraneša Valstybinio socialinio draudimo fondo valdybos teritorinei įstaigai mažiausiai prieš vieną darbo dieną iki darbo pradžios apie darbuotojo priėmimą į darbą</w:t>
                          </w:r>
                          <w:r>
                            <w:t xml:space="preserve"> ar mažiausiai prieš vieną darbo valandą iki darbo pradžios apie juridinio asmens vienasmenio valdymo organo priėmimą į darbą</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20b48091f211efa605b9842742bf37">
                            <w:r w:rsidRPr="00532B9F">
                              <w:rPr>
                                <w:rFonts w:ascii="Times New Roman" w:eastAsia="MS Mincho" w:hAnsi="Times New Roman"/>
                                <w:sz w:val="20"/>
                                <w:i/>
                                <w:iCs/>
                                <w:color w:val="0000FF" w:themeColor="hyperlink"/>
                                <w:u w:val="single"/>
                              </w:rPr>
                              <w:t>XIV-3036</w:t>
                            </w:r>
                          </w:fldSimple>
                          <w:r>
                            <w:rPr>
                              <w:rFonts w:ascii="Times New Roman" w:eastAsia="MS Mincho" w:hAnsi="Times New Roman"/>
                              <w:sz w:val="20"/>
                              <w:i/>
                              <w:iCs/>
                            </w:rPr>
                            <w:t>,
2024-10-17,
paskelbta TAR 2024-10-24, i. k. 2024-18433            </w:t>
                          </w:r>
                        </w:p>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842a1370ca864b90b0496891eb592c5c"/>
                        <w:lock w:val="sdtLocked"/>
                        <w:richText/>
                      </w:sdtPr>
                      <w:sdtContent>
                        <w:p>
                          <w:pPr>
                            <w:widowControl w:val="0"/>
                            <w:spacing w:line="360" w:lineRule="auto"/>
                            <w:ind w:firstLine="720"/>
                            <w:jc w:val="both"/>
                            <w:rPr>
                              <w:szCs w:val="24"/>
                              <w:lang w:eastAsia="lt-LT"/>
                            </w:rPr>
                          </w:pPr>
                          <w:sdt>
                            <w:sdtPr>
                              <w:alias w:val="Numeris"/>
                              <w:tag w:val="nr_842a1370ca864b90b0496891eb592c5c"/>
                              <w:lock w:val="sdtLocked"/>
                              <w:richText/>
                            </w:sdtPr>
                            <w:sdtContent>
                              <w:r>
                                <w:rPr>
                                  <w:szCs w:val="24"/>
                                  <w:lang w:eastAsia="lt-LT"/>
                                </w:rPr>
                                <w:t>1</w:t>
                              </w:r>
                            </w:sdtContent>
                          </w:sdt>
                          <w:r>
                            <w:rPr>
                              <w:szCs w:val="24"/>
                              <w:lang w:eastAsia="lt-LT"/>
                            </w:rPr>
                            <w:t>) nepateikia dokumentų, patvirtinančių trečiosios šalies piliečio turimą kvalifikaciją, susijusią su atliktinu darbu,</w:t>
                          </w:r>
                          <w:r>
                            <w:rPr>
                              <w:rFonts w:eastAsia="Calibri"/>
                              <w:bCs/>
                              <w:szCs w:val="24"/>
                            </w:rPr>
                            <w:t xml:space="preserve"> ir jo turimą ne mažesnę negu vienų</w:t>
                          </w:r>
                          <w:r>
                            <w:rPr>
                              <w:rFonts w:eastAsia="Calibri"/>
                              <w:b/>
                              <w:szCs w:val="24"/>
                            </w:rPr>
                            <w:t xml:space="preserve"> </w:t>
                          </w:r>
                          <w:r>
                            <w:rPr>
                              <w:szCs w:val="24"/>
                              <w:lang w:eastAsia="lt-LT"/>
                            </w:rPr>
                            <w:t xml:space="preserve">metų darbo patirtį per pastaruosius 3 metus, </w:t>
                          </w:r>
                          <w:r>
                            <w:rPr>
                              <w:szCs w:val="24"/>
                            </w:rPr>
                            <w:t>susijusią su atliktinu darbu</w:t>
                          </w:r>
                          <w:r>
                            <w:rPr>
                              <w:bCs/>
                              <w:szCs w:val="24"/>
                            </w:rPr>
                            <w:t>,</w:t>
                          </w:r>
                          <w:r>
                            <w:rPr>
                              <w:szCs w:val="24"/>
                            </w:rPr>
                            <w:t xml:space="preserve"> </w:t>
                          </w:r>
                          <w:r>
                            <w:rPr>
                              <w:szCs w:val="24"/>
                              <w:lang w:eastAsia="lt-LT"/>
                            </w:rPr>
                            <w:t>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nepateikė informacijos apie trečiosios šalies piliečio turimą kvalifikaciją,</w:t>
                          </w:r>
                          <w:r>
                            <w:rPr>
                              <w:szCs w:val="24"/>
                            </w:rPr>
                            <w:t xml:space="preserve"> susijusią su atliktinu darbu</w:t>
                          </w:r>
                          <w:r>
                            <w:rPr>
                              <w:bCs/>
                              <w:szCs w:val="24"/>
                            </w:rPr>
                            <w:t>,</w:t>
                          </w:r>
                          <w:r>
                            <w:rPr>
                              <w:szCs w:val="24"/>
                            </w:rPr>
                            <w:t xml:space="preserve"> ir jo turimą ne mažesnę negu vienų metų darbo patirtį per pastaruosius 3 metus, susijusią su atliktinu darbu</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4ab09d9e3f2c421ea13962802530e150"/>
                        <w:lock w:val="sdtLocked"/>
                        <w:richText/>
                      </w:sdtPr>
                      <w:sdtContent>
                        <w:p>
                          <w:pPr>
                            <w:widowControl w:val="0"/>
                            <w:spacing w:line="360" w:lineRule="auto"/>
                            <w:ind w:firstLine="720"/>
                            <w:jc w:val="both"/>
                          </w:pPr>
                          <w:sdt>
                            <w:sdtPr>
                              <w:alias w:val="Numeris"/>
                              <w:tag w:val="nr_4ab09d9e3f2c421ea13962802530e150"/>
                              <w:lock w:val="sdtLocked"/>
                              <w:richText/>
                            </w:sdtPr>
                            <w:sdtContent>
                              <w:r>
                                <w:rPr>
                                  <w:rFonts w:eastAsia="Calibri"/>
                                  <w:szCs w:val="24"/>
                                  <w:lang w:eastAsia="lt-LT"/>
                                </w:rPr>
                                <w:t>5</w:t>
                              </w:r>
                            </w:sdtContent>
                          </w:sdt>
                          <w:r>
                            <w:rPr>
                              <w:rFonts w:eastAsia="Calibri"/>
                              <w:szCs w:val="24"/>
                              <w:lang w:eastAsia="lt-LT"/>
                            </w:rPr>
                            <w:t>)</w:t>
                          </w:r>
                          <w:r>
                            <w:rPr>
                              <w:rFonts w:eastAsia="Calibri"/>
                              <w:bCs/>
                              <w:szCs w:val="24"/>
                              <w:lang w:eastAsia="lt-LT"/>
                            </w:rPr>
                            <w:t xml:space="preserve"> </w:t>
                          </w:r>
                          <w:r>
                            <w:rPr>
                              <w:rFonts w:eastAsia="Calibri"/>
                              <w:szCs w:val="24"/>
                              <w:lang w:eastAsia="lt-LT"/>
                            </w:rPr>
                            <w:t>nemoka įstatymo „Dėl užsieniečių teisinės padėties“ 44 straipsnio 1 dalies 2 punkte, 2</w:t>
                          </w:r>
                          <w:r>
                            <w:rPr>
                              <w:rFonts w:eastAsia="Calibri"/>
                              <w:szCs w:val="24"/>
                              <w:vertAlign w:val="superscript"/>
                              <w:lang w:eastAsia="lt-LT"/>
                            </w:rPr>
                            <w:t>2</w:t>
                          </w:r>
                          <w:r>
                            <w:rPr>
                              <w:rFonts w:eastAsia="Calibri"/>
                              <w:szCs w:val="24"/>
                              <w:lang w:eastAsia="lt-LT"/>
                            </w:rPr>
                            <w:t> dalyje, 44</w:t>
                          </w:r>
                          <w:r>
                            <w:rPr>
                              <w:rFonts w:eastAsia="Calibri"/>
                              <w:szCs w:val="24"/>
                              <w:vertAlign w:val="superscript"/>
                              <w:lang w:eastAsia="lt-LT"/>
                            </w:rPr>
                            <w:t>1</w:t>
                          </w:r>
                          <w:r>
                            <w:rPr>
                              <w:rFonts w:eastAsia="Calibri"/>
                              <w:szCs w:val="24"/>
                              <w:lang w:eastAsia="lt-LT"/>
                            </w:rPr>
                            <w:t xml:space="preserve"> straipsnio 1 dalies 1 punkte ar 62 straipsnio 5 dalyje nurodyto dydžio darbo užmokesčio.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97db5bebb083403e88d49b62142e6207"/>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97db5bebb083403e88d49b62142e6207"/>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35e523bc611f0b070ee7f1ceefc75">
            <w:r w:rsidRPr="00532B9F">
              <w:rPr>
                <w:rFonts w:ascii="Times New Roman" w:eastAsia="MS Mincho" w:hAnsi="Times New Roman"/>
                <w:sz w:val="20"/>
                <w:iCs/>
                <w:color w:val="0000FF" w:themeColor="hyperlink"/>
                <w:u w:val="single"/>
              </w:rPr>
              <w:t>XV-219</w:t>
            </w:r>
          </w:fldSimple>
          <w:r>
            <w:rPr>
              <w:rFonts w:ascii="Times New Roman" w:eastAsia="MS Mincho" w:hAnsi="Times New Roman"/>
              <w:sz w:val="20"/>
              <w:iCs/>
            </w:rPr>
            <w:t>,
2025-05-22,
paskelbta TAR 2025-05-28, i. k. 2025-09419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įstatymo Nr. XIV-1106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8.xml"/>
  <Relationship Id="rId11" Type="http://schemas.openxmlformats.org/officeDocument/2006/relationships/header" Target="header149.xml"/>
  <Relationship Id="rId12" Type="http://schemas.openxmlformats.org/officeDocument/2006/relationships/footer" Target="footer148.xml"/>
  <Relationship Id="rId13" Type="http://schemas.openxmlformats.org/officeDocument/2006/relationships/footer" Target="footer149.xml"/>
  <Relationship Id="rId14" Type="http://schemas.openxmlformats.org/officeDocument/2006/relationships/header" Target="header150.xml"/>
  <Relationship Id="rId15" Type="http://schemas.openxmlformats.org/officeDocument/2006/relationships/footer" Target="footer150.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16a4297a866d45f68781880bae78e700"/>
          <Part Type="strPunktas" Nr="4" Abbr="6 str. 1 d. 4 p." DocPartId="db0376b4b748425584bf5ea8e17d8982" PartId="4b7efb364484427da1ae2170364abb8b"/>
          <Part Type="strPunktas" Nr="5" Abbr="6 str. 1 d. 5 p." DocPartId="f2981b0411e44fae996e6343982558f9" PartId="08fd79d7811f40b0b6c726cc6e035394"/>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dbec429b37614a6eb7d8a53c9e018e45"/>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17dd14d789814aa2b4b4468a55454bdb"/>
            <Part Type="strPunktas" Nr="5" Abbr="5 p." DocPartId="4c926a80a6f847b08abbcbc2585fe86a" PartId="fe58c424c6a64f32b58d3c05013a8b08"/>
            <Part Type="strPunktas" Nr="6" Abbr="30-1 str. 5 d. 6 p." DocPartId="84964b3b63a647c0b9ae137142bc4e36" PartId="1445e7c0a4614bf596420b514d730573"/>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b1a76bc056934309bd67d4fab784233b"/>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842a1370ca864b90b0496891eb592c5c"/>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4ab09d9e3f2c421ea13962802530e150"/>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97db5bebb083403e88d49b62142e6207">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85CEBD-E7DF-452F-93EE-285EB9EFC863}">
  <ds:schemaRefs>
    <ds:schemaRef ds:uri="http://lrs.lt/TAIS/DocParts"/>
  </ds:schemaRefs>
</ds:datastoreItem>
</file>

<file path=customXml/itemProps3.xml><?xml version="1.0" encoding="utf-8"?>
<ds:datastoreItem xmlns:ds="http://schemas.openxmlformats.org/officeDocument/2006/customXml" ds:itemID="{2E0BF4E6-0F13-41F3-B807-7D43071C7A3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196</TotalTime>
  <Pages>78</Pages>
  <Words>25405</Words>
  <Characters>178799</Characters>
  <Application>Microsoft Office Word</Application>
  <DocSecurity>0</DocSecurity>
  <Lines>1489</Lines>
  <Paragraphs>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203797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2025-05-29T07:56:00Z</dcterms:modified>
  <revision>97</revision>
</coreProperties>
</file>