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Prašymai dėl atvykimo išmokos iš užsienio pritrauktiems darbuotojams ir dėl išmokos darbdaviui, pritraukusiam darbuotoją iš užsienio, pateikti iki 2026 m. birželio 30 d., baigiami nagrinėti ir sprendimai dėl šių išmokų skyrimo ir mokėjimo priimami vadovaujantis iki 2026 m. birželio 30 d. galiojusiomis Lietuvos Respublikos užimtumo įstatymo ir jo įgyvendinamųjų teisės aktų nuostatomis.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d50632698511f1b53dfa020e517810">
            <w:r w:rsidRPr="00532B9F">
              <w:rPr>
                <w:rFonts w:ascii="Times New Roman" w:eastAsia="MS Mincho" w:hAnsi="Times New Roman"/>
                <w:sz w:val="20"/>
                <w:i/>
                <w:iCs/>
                <w:color w:val="0000FF" w:themeColor="hyperlink"/>
                <w:u w:val="single"/>
              </w:rPr>
              <w:t>XV-1012</w:t>
            </w:r>
          </w:fldSimple>
          <w:r>
            <w:rPr>
              <w:rFonts w:ascii="Times New Roman" w:eastAsia="MS Mincho" w:hAnsi="Times New Roman"/>
              <w:sz w:val="20"/>
              <w:i/>
              <w:iCs/>
            </w:rPr>
            <w:t>,
2026-06-11,
paskelbta TAR 2026-06-16, i. k. 2026-10395        </w:t>
          </w:r>
        </w:p>
        <w:p>
          <w:pPr>
            <w:pStyle w:val="PlainText"/>
            <w:rPr>
              <w:rFonts w:ascii="Times New Roman" w:eastAsia="MS Mincho" w:hAnsi="Times New Roman"/>
              <w:sz w:val="20"/>
              <w:i/>
              <w:iCs/>
            </w:rPr>
          </w:pPr>
          <w:r>
            <w:rPr>
              <w:rFonts w:ascii="Times New Roman" w:eastAsia="MS Mincho" w:hAnsi="Times New Roman"/>
              <w:sz w:val="20"/>
              <w:i/>
              <w:iCs/>
            </w:rPr>
            <w:t>Lietuvos Respublikos užimtumo įstatymo Nr. XII-2470 48-1 ir 48-2 straipsnių pakeitimo įstatymas</w:t>
          </w:r>
        </w:p>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72a67f0c59744634946f332408e661c2"/>
                        <w:lock w:val="sdtLocked"/>
                        <w:richText/>
                      </w:sdtPr>
                      <w:sdtContent>
                        <w:p>
                          <w:pPr>
                            <w:spacing w:line="360" w:lineRule="auto"/>
                            <w:ind w:firstLine="720"/>
                            <w:jc w:val="both"/>
                            <w:rPr>
                              <w:szCs w:val="24"/>
                              <w:lang w:eastAsia="lt-LT"/>
                            </w:rPr>
                          </w:pPr>
                          <w:sdt>
                            <w:sdtPr>
                              <w:alias w:val="Numeris"/>
                              <w:tag w:val="nr_72a67f0c59744634946f332408e661c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trečiųjų šalių piliečiams, kurie turi teisę likti Lietuvos Respublikos teritorijoje Lietuvos Respublikos įstatymo „Dėl užsieniečių teisinės padėties“ 22</w:t>
                          </w:r>
                          <w:r>
                            <w:rPr>
                              <w:bCs/>
                              <w:vertAlign w:val="superscript"/>
                            </w:rPr>
                            <w:t>1</w:t>
                          </w:r>
                          <w:r>
                            <w:rPr>
                              <w:bCs/>
                            </w:rPr>
                            <w:t xml:space="preserve"> straipsnio 1 dalies 5 punkte nurodytu atveju,</w:t>
                          </w:r>
                          <w:r>
                            <w:rPr>
                              <w:b/>
                              <w:bCs/>
                            </w:rPr>
                            <w:t xml:space="preserve"> </w:t>
                          </w:r>
                          <w:r>
                            <w:rPr>
                              <w:bCs/>
                            </w:rPr>
                            <w:t xml:space="preserve">asmenims, kuriems suteiktas perkeliamojo asmens statusas, ir asmenims, turintiems teisę gauti laikinąją apsaugą, iki sprendimo dėl laikinosios apsaugos suteikimo (nesuteikimo) priėmimo, tačiau ne ilgiau kaip laikinosios apsaugos laikotarpiu;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2d77869b38c646ad8a266c49d93218fe"/>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2b92049a411efbdaea558de59136c">
                            <w:r w:rsidRPr="00532B9F">
                              <w:rPr>
                                <w:rFonts w:ascii="Times New Roman" w:eastAsia="MS Mincho" w:hAnsi="Times New Roman"/>
                                <w:sz w:val="20"/>
                                <w:i/>
                                <w:iCs/>
                                <w:color w:val="0000FF" w:themeColor="hyperlink"/>
                                <w:u w:val="single"/>
                              </w:rPr>
                              <w:t>XIV-2901</w:t>
                            </w:r>
                          </w:fldSimple>
                          <w:r>
                            <w:rPr>
                              <w:rFonts w:ascii="Times New Roman" w:eastAsia="MS Mincho" w:hAnsi="Times New Roman"/>
                              <w:sz w:val="20"/>
                              <w:i/>
                              <w:iCs/>
                            </w:rPr>
                            <w:t>,
2024-07-11,
paskelbta TAR 2024-07-24, i. k. 2024-13509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16a4297a866d45f68781880bae78e700"/>
                        <w:lock w:val="sdtLocked"/>
                        <w:richText/>
                      </w:sdtPr>
                      <w:sdtContent>
                        <w:p>
                          <w:pPr>
                            <w:spacing w:line="360" w:lineRule="auto"/>
                            <w:ind w:firstLine="720"/>
                            <w:jc w:val="both"/>
                            <w:rPr>
                              <w:szCs w:val="24"/>
                              <w:lang w:eastAsia="lt-LT"/>
                            </w:rPr>
                          </w:pPr>
                          <w:sdt>
                            <w:sdtPr>
                              <w:alias w:val="Numeris"/>
                              <w:tag w:val="nr_16a4297a866d45f68781880bae78e700"/>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aukšto meistriškumo sporto varžyboms ir dalyvavimo aukšto meistriškumo sporto varžybose veikla, išskyrus sporto veiklą pagal darbo sutartį dėl aukšto meistriškumo sporto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08fd79d7811f40b0b6c726cc6e035394"/>
                        <w:lock w:val="sdtLocked"/>
                        <w:richText/>
                      </w:sdtPr>
                      <w:sdtContent>
                        <w:p>
                          <w:pPr>
                            <w:spacing w:line="360" w:lineRule="auto"/>
                            <w:ind w:firstLine="720"/>
                            <w:jc w:val="both"/>
                            <w:rPr>
                              <w:szCs w:val="24"/>
                              <w:lang w:eastAsia="lt-LT"/>
                            </w:rPr>
                          </w:pPr>
                          <w:sdt>
                            <w:sdtPr>
                              <w:alias w:val="Numeris"/>
                              <w:tag w:val="nr_08fd79d7811f40b0b6c726cc6e035394"/>
                              <w:lock w:val="sdtLocked"/>
                              <w:richText/>
                            </w:sdtPr>
                            <w:sdtContent>
                              <w:r>
                                <w:rPr>
                                  <w:szCs w:val="24"/>
                                  <w:lang w:eastAsia="lt-LT"/>
                                </w:rPr>
                                <w:t>5</w:t>
                              </w:r>
                            </w:sdtContent>
                          </w:sdt>
                          <w:r>
                            <w:rPr>
                              <w:szCs w:val="24"/>
                              <w:lang w:eastAsia="lt-LT"/>
                            </w:rPr>
                            <w:t>) savarankiška aukšto meistriškumo sporto trenerio veikla, kai aukšto meistriškumo sporto treneris nėra sudaręs darbo sutarties dėl aukšto meistriškumo sporto trenerio darbo su organizacija, kuri vykdo aukšto meistriškumo sporto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2 str."/>
                    <w:tag w:val="part_610f76ea58064645a02712f4bf9804d5"/>
                    <w:lock w:val="sdtLocked"/>
                    <w:richText/>
                  </w:sdtPr>
                  <w:sdtContent>
                    <w:p>
                      <w:pPr>
                        <w:widowControl w:val="0"/>
                        <w:spacing w:line="360" w:lineRule="auto"/>
                        <w:ind w:left="2410" w:hanging="1690"/>
                        <w:jc w:val="both"/>
                        <w:rPr>
                          <w:b/>
                          <w:szCs w:val="24"/>
                          <w:lang w:eastAsia="lt-LT"/>
                        </w:rPr>
                      </w:pPr>
                      <w:sdt>
                        <w:sdtPr>
                          <w:alias w:val="Numeris"/>
                          <w:tag w:val="nr_610f76ea58064645a02712f4bf9804d5"/>
                          <w:lock w:val="sdtLocked"/>
                          <w:richText/>
                        </w:sdtPr>
                        <w:sdtContent>
                          <w:r>
                            <w:rPr>
                              <w:b/>
                              <w:szCs w:val="24"/>
                              <w:lang w:eastAsia="lt-LT"/>
                            </w:rPr>
                            <w:t>12</w:t>
                          </w:r>
                          <w:r>
                            <w:rPr>
                              <w:b/>
                              <w:szCs w:val="24"/>
                              <w:vertAlign w:val="superscript"/>
                              <w:lang w:eastAsia="lt-LT"/>
                            </w:rPr>
                            <w:t>2</w:t>
                          </w:r>
                        </w:sdtContent>
                      </w:sdt>
                      <w:r>
                        <w:rPr>
                          <w:b/>
                          <w:szCs w:val="24"/>
                          <w:lang w:eastAsia="lt-LT"/>
                        </w:rPr>
                        <w:t xml:space="preserve"> straipsnis. </w:t>
                      </w:r>
                      <w:sdt>
                        <w:sdtPr>
                          <w:alias w:val="Pavadinimas"/>
                          <w:tag w:val="title_610f76ea58064645a02712f4bf9804d5"/>
                          <w:lock w:val="sdtLocked"/>
                          <w:richText/>
                        </w:sdtPr>
                        <w:sdtContent>
                          <w:r>
                            <w:rPr>
                              <w:b/>
                              <w:szCs w:val="24"/>
                              <w:lang w:eastAsia="lt-LT"/>
                            </w:rPr>
                            <w:t>Duomenų teikimas į Antstolių informacinę sistemą ir jų gavimas iš šios sistemos</w:t>
                          </w:r>
                        </w:sdtContent>
                      </w:sdt>
                    </w:p>
                    <w:sdt>
                      <w:sdtPr>
                        <w:alias w:val="12-2 str. 1 d."/>
                        <w:tag w:val="part_9271ab8964b2412aa76aa97a19168019"/>
                        <w:lock w:val="sdtLocked"/>
                        <w:richText/>
                      </w:sdtPr>
                      <w:sdtContent>
                        <w:p>
                          <w:pPr>
                            <w:widowControl w:val="0"/>
                            <w:spacing w:line="360" w:lineRule="auto"/>
                            <w:ind w:firstLine="720"/>
                            <w:jc w:val="both"/>
                            <w:rPr>
                              <w:szCs w:val="24"/>
                              <w:lang w:eastAsia="lt-LT"/>
                            </w:rPr>
                          </w:pPr>
                          <w:sdt>
                            <w:sdtPr>
                              <w:alias w:val="Numeris"/>
                              <w:tag w:val="nr_9271ab8964b2412aa76aa97a19168019"/>
                              <w:lock w:val="sdtLocked"/>
                              <w:richText/>
                            </w:sdtPr>
                            <w:sdtContent>
                              <w:r>
                                <w:rPr>
                                  <w:szCs w:val="24"/>
                                  <w:lang w:eastAsia="lt-LT"/>
                                </w:rPr>
                                <w:t>1</w:t>
                              </w:r>
                            </w:sdtContent>
                          </w:sdt>
                          <w:r>
                            <w:rPr>
                              <w:szCs w:val="24"/>
                              <w:lang w:eastAsia="lt-LT"/>
                            </w:rPr>
                            <w:t>. Užimtumo tarnyboje registruotam asmeniui, kuris paskutinius 6 mėnesius nedirbo pagal darbo sutartį arba darbo santykiams prilygintų teisinių santykių pagrindu, pradėjus dirbti pagal darbo sutartį arba darbo santykiams prilygintų teisinių santykių pagrindu, Užimtumo tarnyba Antstolių informacinėje sistemoje patikrina, ar asmens įsidarbinimo dieną antstoliai vykdė vykdomąsias bylas, kuriose šis asmuo yra skolininkas. Užimtumo tarnyba, nustačiusi, kad vykdomosios bylos buvo vykdomos, į Antstolių informacinę sistemą pateikia duomenis apie šio asmens įsidarbinimą.</w:t>
                          </w:r>
                        </w:p>
                      </w:sdtContent>
                    </w:sdt>
                    <w:sdt>
                      <w:sdtPr>
                        <w:alias w:val="12-2 str. 2 d."/>
                        <w:tag w:val="part_258d6a722ddf411e99a1f9646f5e8d02"/>
                        <w:lock w:val="sdtLocked"/>
                        <w:richText/>
                      </w:sdtPr>
                      <w:sdtContent>
                        <w:p>
                          <w:pPr>
                            <w:widowControl w:val="0"/>
                            <w:spacing w:line="360" w:lineRule="auto"/>
                            <w:ind w:firstLine="720"/>
                            <w:jc w:val="both"/>
                            <w:rPr>
                              <w:szCs w:val="24"/>
                              <w:lang w:eastAsia="lt-LT"/>
                            </w:rPr>
                          </w:pPr>
                          <w:sdt>
                            <w:sdtPr>
                              <w:alias w:val="Numeris"/>
                              <w:tag w:val="nr_258d6a722ddf411e99a1f9646f5e8d02"/>
                              <w:lock w:val="sdtLocked"/>
                              <w:richText/>
                            </w:sdtPr>
                            <w:sdtContent>
                              <w:r>
                                <w:rPr>
                                  <w:szCs w:val="24"/>
                                  <w:lang w:eastAsia="lt-LT"/>
                                </w:rPr>
                                <w:t>2</w:t>
                              </w:r>
                            </w:sdtContent>
                          </w:sdt>
                          <w:r>
                            <w:rPr>
                              <w:szCs w:val="24"/>
                              <w:lang w:eastAsia="lt-LT"/>
                            </w:rPr>
                            <w:t>. Šio straipsnio 1 dalyje nurodytu atveju asmens rašytiniu prašymu Užimtumo tarnyba pateikia jam Antstolių informacinės sistemos duomenis apie jo atžvilgiu vykdomas vykdomąsias bylas.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6 str. 3 d. 8 p."/>
                            <w:tag w:val="part_dbec429b37614a6eb7d8a53c9e018e45"/>
                            <w:lock w:val="sdtLocked"/>
                            <w:richText/>
                          </w:sdtPr>
                          <w:sdtContent>
                            <w:p>
                              <w:pPr>
                                <w:widowControl w:val="0"/>
                                <w:spacing w:line="360" w:lineRule="auto"/>
                                <w:ind w:firstLine="720"/>
                                <w:jc w:val="both"/>
                                <w:rPr>
                                  <w:color w:val="000000"/>
                                  <w:szCs w:val="24"/>
                                  <w:lang w:eastAsia="lt-LT"/>
                                </w:rPr>
                              </w:pPr>
                              <w:sdt>
                                <w:sdtPr>
                                  <w:alias w:val="Numeris"/>
                                  <w:tag w:val="nr_dbec429b37614a6eb7d8a53c9e018e45"/>
                                  <w:lock w:val="sdtLocked"/>
                                  <w:richText/>
                                </w:sdtPr>
                                <w:sdtContent>
                                  <w:r>
                                    <w:rPr>
                                      <w:szCs w:val="24"/>
                                    </w:rPr>
                                    <w:t>8</w:t>
                                  </w:r>
                                </w:sdtContent>
                              </w:sdt>
                              <w:r>
                                <w:rPr>
                                  <w:szCs w:val="24"/>
                                </w:rPr>
                                <w:t>) išduoda leidimus dirbti Lietuvos Respublikoje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d3970337b11efbdaea558de59136c">
                                <w:r w:rsidRPr="00532B9F">
                                  <w:rPr>
                                    <w:rFonts w:ascii="Times New Roman" w:eastAsia="MS Mincho" w:hAnsi="Times New Roman"/>
                                    <w:sz w:val="20"/>
                                    <w:i/>
                                    <w:iCs/>
                                    <w:color w:val="0000FF" w:themeColor="hyperlink"/>
                                    <w:u w:val="single"/>
                                  </w:rPr>
                                  <w:t>XIV-2741</w:t>
                                </w:r>
                              </w:fldSimple>
                              <w:r>
                                <w:rPr>
                                  <w:rFonts w:ascii="Times New Roman" w:eastAsia="MS Mincho" w:hAnsi="Times New Roman"/>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4 str. 4 d. 10 p."/>
                            <w:tag w:val="part_614af0f67c474244859670637545c6fa"/>
                            <w:lock w:val="sdtLocked"/>
                            <w:richText/>
                          </w:sdtPr>
                          <w:sdtContent>
                            <w:p>
                              <w:pPr>
                                <w:spacing w:line="360" w:lineRule="auto"/>
                                <w:ind w:firstLine="720"/>
                                <w:jc w:val="both"/>
                                <w:rPr>
                                  <w:szCs w:val="24"/>
                                  <w:lang w:eastAsia="lt-LT"/>
                                </w:rPr>
                              </w:pPr>
                              <w:sdt>
                                <w:sdtPr>
                                  <w:alias w:val="Numeris"/>
                                  <w:tag w:val="nr_614af0f67c474244859670637545c6fa"/>
                                  <w:lock w:val="sdtLocked"/>
                                  <w:richText/>
                                </w:sdtPr>
                                <w:sdtContent>
                                  <w:r>
                                    <w:rPr>
                                      <w:szCs w:val="24"/>
                                      <w:lang w:eastAsia="lt-LT"/>
                                    </w:rPr>
                                    <w:t>10</w:t>
                                  </w:r>
                                </w:sdtContent>
                              </w:sdt>
                              <w:r>
                                <w:rPr>
                                  <w:szCs w:val="24"/>
                                  <w:lang w:eastAsia="lt-LT"/>
                                </w:rPr>
                                <w:t>) pasibaigia bedarbio leidimo gyventi</w:t>
                              </w:r>
                              <w:r>
                                <w:rPr>
                                  <w:b/>
                                  <w:bCs/>
                                  <w:szCs w:val="24"/>
                                  <w:lang w:eastAsia="lt-LT"/>
                                </w:rPr>
                                <w:t xml:space="preserve"> </w:t>
                              </w:r>
                              <w:r>
                                <w:rPr>
                                  <w:szCs w:val="24"/>
                                  <w:lang w:eastAsia="lt-LT"/>
                                </w:rPr>
                                <w:t xml:space="preserve">Lietuvos Respublikoje galiojimas, </w:t>
                              </w:r>
                              <w:r>
                                <w:rPr>
                                  <w:bCs/>
                                  <w:szCs w:val="24"/>
                                  <w:lang w:eastAsia="lt-LT"/>
                                </w:rPr>
                                <w:t>išskyrus Lietuvos Respublikos įstatymo „Dėl užsieniečių teisinės padėties“ 22</w:t>
                              </w:r>
                              <w:r>
                                <w:rPr>
                                  <w:bCs/>
                                  <w:szCs w:val="24"/>
                                  <w:vertAlign w:val="superscript"/>
                                  <w:lang w:eastAsia="lt-LT"/>
                                </w:rPr>
                                <w:t>1</w:t>
                              </w:r>
                              <w:r>
                                <w:rPr>
                                  <w:bCs/>
                                  <w:szCs w:val="24"/>
                                  <w:lang w:eastAsia="lt-LT"/>
                                </w:rPr>
                                <w:t> straipsnio 1 dalies 5 punkte nurodytus atvejus, kai bedarbis įgyja teisę likti Lietuvos Respublikos teritorijoje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17dd14d789814aa2b4b4468a55454bdb"/>
                            <w:lock w:val="sdtLocked"/>
                            <w:richText/>
                          </w:sdtPr>
                          <w:sdtContent>
                            <w:p>
                              <w:pPr>
                                <w:widowControl w:val="0"/>
                                <w:spacing w:line="360" w:lineRule="auto"/>
                                <w:ind w:firstLine="720"/>
                                <w:jc w:val="both"/>
                              </w:pPr>
                              <w:sdt>
                                <w:sdtPr>
                                  <w:alias w:val="Numeris"/>
                                  <w:tag w:val="nr_17dd14d789814aa2b4b4468a55454bdb"/>
                                  <w:lock w:val="sdtLocked"/>
                                  <w:richText/>
                                </w:sdtPr>
                                <w:sdtContent>
                                  <w:r>
                                    <w:rPr>
                                      <w:rFonts w:eastAsia="Calibri"/>
                                      <w:szCs w:val="24"/>
                                      <w:lang w:eastAsia="lt-LT"/>
                                    </w:rPr>
                                    <w:t>4</w:t>
                                  </w:r>
                                </w:sdtContent>
                              </w:sdt>
                              <w:r>
                                <w:rPr>
                                  <w:rFonts w:eastAsia="Calibri"/>
                                  <w:szCs w:val="24"/>
                                  <w:lang w:eastAsia="lt-LT"/>
                                </w:rPr>
                                <w:t xml:space="preserve">) </w:t>
                              </w:r>
                              <w:r>
                                <w:rPr>
                                  <w:szCs w:val="24"/>
                                  <w:lang w:eastAsia="lt-LT"/>
                                </w:rPr>
                                <w:t xml:space="preserve">darbdavio įsipareigojimą įdarbinti trečiosios šalies pilietį pagal darbo sutartį ne trumpesniam negu 6 mėnesių laikotarpiui ir nustatyti visą darbo laiko normą, kai vertinama trečiosios šalies piliečio kvalifikacija ir darbo patirtis,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 p."/>
                            <w:tag w:val="part_fe58c424c6a64f32b58d3c05013a8b08"/>
                            <w:lock w:val="sdtLocked"/>
                            <w:richText/>
                          </w:sdtPr>
                          <w:sdtContent>
                            <w:p>
                              <w:pPr>
                                <w:widowControl w:val="0"/>
                                <w:spacing w:line="360" w:lineRule="auto"/>
                                <w:ind w:firstLine="720"/>
                                <w:jc w:val="both"/>
                              </w:pPr>
                              <w:sdt>
                                <w:sdtPr>
                                  <w:alias w:val="Numeris"/>
                                  <w:tag w:val="nr_fe58c424c6a64f32b58d3c05013a8b08"/>
                                  <w:lock w:val="sdtLocked"/>
                                  <w:richText/>
                                </w:sdtPr>
                                <w:sdtContent>
                                  <w:r>
                                    <w:rPr>
                                      <w:szCs w:val="24"/>
                                      <w:lang w:eastAsia="lt-LT"/>
                                    </w:rPr>
                                    <w:t>5</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1,2 paskutinio paskelbto kalendorinių metų vidutinio mėnesinio BDU dydžio, kai yra išnaudota kvota, nustatyta pagal įstatymo „Dėl užsieniečių teisinės padėties“ 57</w:t>
                              </w:r>
                              <w:r>
                                <w:rPr>
                                  <w:szCs w:val="24"/>
                                  <w:vertAlign w:val="superscript"/>
                                  <w:lang w:eastAsia="lt-LT"/>
                                </w:rPr>
                                <w:t>1</w:t>
                              </w:r>
                              <w:r>
                                <w:rPr>
                                  <w:szCs w:val="24"/>
                                  <w:lang w:eastAsia="lt-LT"/>
                                </w:rPr>
                                <w:t> straipsnį, arba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1 str. 5 d. 6 p."/>
                            <w:tag w:val="part_79143946e37d4e57a8723f46dc59cfa8"/>
                            <w:lock w:val="sdtLocked"/>
                            <w:richText/>
                          </w:sdtPr>
                          <w:sdtContent>
                            <w:p>
                              <w:pPr>
                                <w:widowControl w:val="0"/>
                                <w:spacing w:line="360" w:lineRule="auto"/>
                                <w:ind w:firstLine="720"/>
                                <w:jc w:val="both"/>
                              </w:pPr>
                              <w:sdt>
                                <w:sdtPr>
                                  <w:alias w:val="Numeris"/>
                                  <w:tag w:val="nr_79143946e37d4e57a8723f46dc59cfa8"/>
                                  <w:lock w:val="sdtLocked"/>
                                  <w:richText/>
                                </w:sdtPr>
                                <w:sdtContent>
                                  <w:r>
                                    <w:rPr>
                                      <w:szCs w:val="24"/>
                                    </w:rPr>
                                    <w:t>6</w:t>
                                  </w:r>
                                </w:sdtContent>
                              </w:sdt>
                              <w:r>
                                <w:rPr>
                                  <w:szCs w:val="24"/>
                                </w:rPr>
                                <w:t>)</w:t>
                              </w:r>
                              <w:r>
                                <w:rPr>
                                  <w:b/>
                                  <w:bCs/>
                                  <w:szCs w:val="24"/>
                                </w:rPr>
                                <w:t xml:space="preserve"> </w:t>
                              </w:r>
                              <w:r>
                                <w:rPr>
                                  <w:szCs w:val="24"/>
                                </w:rPr>
                                <w:t>darbdavio įsipareigojimą įdarbinti trečiosios šalies pilietį pagal profesiją, kuri yra įtraukta į Aukštą pridėtinę vertę kuriančių profesijų, kurių darbuotojų trūksta Lietuvos Respublikoje, sąrašą, patvirtintą ekonomikos ir inovacijų ministro pagal šio įstatymo 48</w:t>
                              </w:r>
                              <w:r>
                                <w:rPr>
                                  <w:szCs w:val="24"/>
                                  <w:vertAlign w:val="superscript"/>
                                </w:rPr>
                                <w:t>1</w:t>
                              </w:r>
                              <w:r>
                                <w:rPr>
                                  <w:szCs w:val="24"/>
                                </w:rPr>
                                <w:t xml:space="preserve"> straipsnio 7 dalį, pagal darbo sutartį ne trumpesniam negu 6 mėnesių laikotarpiui, nustatyti visą darbo laiko normą ir mokėti mėnesinį darbo užmokestį, ne mažesnį negu vieno paskutinio paskelbto kalendorinių metų vidutinio mėnesinio BDU dydžio, kai yra išnaudota kvota, nustatyta pagal įstatymo „Dėl užsieniečių teisinės padėties“ 57</w:t>
                              </w:r>
                              <w:r>
                                <w:rPr>
                                  <w:szCs w:val="24"/>
                                  <w:vertAlign w:val="superscript"/>
                                </w:rPr>
                                <w:t>1</w:t>
                              </w:r>
                              <w:r>
                                <w:rPr>
                                  <w:szCs w:val="24"/>
                                </w:rPr>
                                <w:t xml:space="preserve"> straipsnį,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7 p."/>
                            <w:tag w:val="part_f8af2058b6a041688221ee4a5ef371b9"/>
                            <w:lock w:val="sdtLocked"/>
                            <w:richText/>
                          </w:sdtPr>
                          <w:sdtContent>
                            <w:p>
                              <w:pPr>
                                <w:widowControl w:val="0"/>
                                <w:spacing w:line="360" w:lineRule="auto"/>
                                <w:ind w:firstLine="720"/>
                                <w:jc w:val="both"/>
                                <w:rPr>
                                  <w:szCs w:val="24"/>
                                  <w:lang w:eastAsia="lt-LT"/>
                                </w:rPr>
                              </w:pPr>
                              <w:sdt>
                                <w:sdtPr>
                                  <w:alias w:val="Numeris"/>
                                  <w:tag w:val="nr_f8af2058b6a041688221ee4a5ef371b9"/>
                                  <w:lock w:val="sdtLocked"/>
                                  <w:richText/>
                                </w:sdtPr>
                                <w:sdtContent>
                                  <w:r>
                                    <w:rPr>
                                      <w:szCs w:val="24"/>
                                      <w:lang w:eastAsia="lt-LT"/>
                                    </w:rPr>
                                    <w:t>7</w:t>
                                  </w:r>
                                </w:sdtContent>
                              </w:sdt>
                              <w:r>
                                <w:rPr>
                                  <w:szCs w:val="24"/>
                                  <w:lang w:eastAsia="lt-LT"/>
                                </w:rPr>
                                <w:t>)</w:t>
                              </w:r>
                              <w:r>
                                <w:rPr>
                                  <w:bCs/>
                                  <w:szCs w:val="24"/>
                                </w:rPr>
                                <w:t xml:space="preserve"> šios dalies 3 ar 4 punkte nurodytus dokumentus, jeigu buvo nustatyta papildoma kvota </w:t>
                              </w:r>
                              <w:r>
                                <w:rPr>
                                  <w:szCs w:val="24"/>
                                </w:rPr>
                                <w:t>pagal įstatymo „Dėl užsieniečių teisinės padėties“ 57</w:t>
                              </w:r>
                              <w:r>
                                <w:rPr>
                                  <w:szCs w:val="24"/>
                                  <w:vertAlign w:val="superscript"/>
                                </w:rPr>
                                <w:t>1</w:t>
                              </w:r>
                              <w:r>
                                <w:rPr>
                                  <w:szCs w:val="24"/>
                                </w:rPr>
                                <w:t xml:space="preserve"> straipsnio 3</w:t>
                              </w:r>
                              <w:r>
                                <w:rPr>
                                  <w:szCs w:val="24"/>
                                  <w:vertAlign w:val="superscript"/>
                                </w:rPr>
                                <w:t>1</w:t>
                              </w:r>
                              <w:r>
                                <w:rPr>
                                  <w:szCs w:val="24"/>
                                </w:rPr>
                                <w:t xml:space="preserve"> dalį,</w:t>
                              </w:r>
                              <w:r>
                                <w:rPr>
                                  <w:bCs/>
                                  <w:szCs w:val="24"/>
                                </w:rPr>
                                <w:t xml:space="preserve">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Content>
                    </w:sdt>
                    <w:sdt>
                      <w:sdtPr>
                        <w:alias w:val="30-1 str. 6 d."/>
                        <w:tag w:val="part_b6f2d7f254e8430aa1f4a867ddd4b28f"/>
                        <w:lock w:val="sdtLocked"/>
                        <w:richText/>
                      </w:sdtPr>
                      <w:sdtContent>
                        <w:p>
                          <w:pPr>
                            <w:spacing w:line="360" w:lineRule="auto"/>
                            <w:ind w:firstLine="720"/>
                            <w:jc w:val="both"/>
                            <w:rPr>
                              <w:szCs w:val="24"/>
                              <w:lang w:eastAsia="lt-LT"/>
                            </w:rPr>
                          </w:pPr>
                          <w:sdt>
                            <w:sdtPr>
                              <w:alias w:val="Numeris"/>
                              <w:tag w:val="nr_b6f2d7f254e8430aa1f4a867ddd4b28f"/>
                              <w:lock w:val="sdtLocked"/>
                              <w:richText/>
                            </w:sdtPr>
                            <w:sdtContent>
                              <w:r>
                                <w:rPr>
                                  <w:bCs/>
                                  <w:color w:val="000000"/>
                                </w:rPr>
                                <w:t>6</w:t>
                              </w:r>
                            </w:sdtContent>
                          </w:sdt>
                          <w:r>
                            <w:rPr>
                              <w:bCs/>
                              <w:color w:val="000000"/>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bCs/>
                              <w:color w:val="000000"/>
                              <w:vertAlign w:val="superscript"/>
                            </w:rPr>
                            <w:t>1</w:t>
                          </w:r>
                          <w:r>
                            <w:rPr>
                              <w:bCs/>
                              <w:color w:val="000000"/>
                            </w:rPr>
                            <w:t xml:space="preserve"> straipsnyje nustatyta tvarka ar stambaus projekto investicijų sutartis Investicijų įstatymo </w:t>
                          </w:r>
                          <w:r>
                            <w:rPr>
                              <w:color w:val="000000"/>
                              <w:szCs w:val="24"/>
                            </w:rPr>
                            <w:t>15</w:t>
                          </w:r>
                          <w:r>
                            <w:rPr>
                              <w:color w:val="000000"/>
                              <w:szCs w:val="24"/>
                              <w:vertAlign w:val="superscript"/>
                            </w:rPr>
                            <w:t>7</w:t>
                          </w:r>
                          <w:r>
                            <w:rPr>
                              <w:color w:val="000000"/>
                              <w:szCs w:val="24"/>
                            </w:rPr>
                            <w:t xml:space="preserve"> </w:t>
                          </w:r>
                          <w:r>
                            <w:rPr>
                              <w:bCs/>
                              <w:color w:val="000000"/>
                            </w:rPr>
                            <w:t>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19de2a8b811ef90b5ee8931e5ce5e">
                            <w:r w:rsidRPr="00532B9F">
                              <w:rPr>
                                <w:rFonts w:ascii="Times New Roman" w:eastAsia="MS Mincho" w:hAnsi="Times New Roman"/>
                                <w:sz w:val="20"/>
                                <w:i/>
                                <w:iCs/>
                                <w:color w:val="0000FF" w:themeColor="hyperlink"/>
                                <w:u w:val="single"/>
                              </w:rPr>
                              <w:t>XIV-3158</w:t>
                            </w:r>
                          </w:fldSimple>
                          <w:r>
                            <w:rPr>
                              <w:rFonts w:ascii="Times New Roman" w:eastAsia="MS Mincho" w:hAnsi="Times New Roman"/>
                              <w:sz w:val="20"/>
                              <w:i/>
                              <w:iCs/>
                            </w:rPr>
                            <w:t>,
2024-11-12,
paskelbta TAR 2024-11-22, i. k. 2024-20393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0b35b4faebf640c6934dc90f258e8029"/>
                        <w:lock w:val="sdtLocked"/>
                        <w:richText/>
                      </w:sdtPr>
                      <w:sdtContent>
                        <w:p>
                          <w:pPr>
                            <w:widowControl w:val="0"/>
                            <w:spacing w:line="380" w:lineRule="atLeast"/>
                            <w:ind w:firstLine="720"/>
                            <w:jc w:val="both"/>
                            <w:rPr>
                              <w:bCs/>
                              <w:szCs w:val="24"/>
                              <w:lang w:eastAsia="lt-LT"/>
                            </w:rPr>
                          </w:pPr>
                          <w:sdt>
                            <w:sdtPr>
                              <w:alias w:val="Numeris"/>
                              <w:tag w:val="nr_0b35b4faebf640c6934dc90f258e8029"/>
                              <w:lock w:val="sdtLocked"/>
                              <w:richText/>
                            </w:sdtPr>
                            <w:sdtContent>
                              <w:r>
                                <w:rPr>
                                  <w:szCs w:val="24"/>
                                </w:rPr>
                                <w:t>4</w:t>
                              </w:r>
                            </w:sdtContent>
                          </w:sdt>
                          <w:r>
                            <w:rPr>
                              <w:szCs w:val="24"/>
                            </w:rPr>
                            <w:t xml:space="preserve">. Atvykimo išmoką iš užsienio pritrauktiems darbuotojams skiria ir moka Užimtumo tarnyba, neviršydama šioms išmokoms skirtų atitinkamų metų valstybės biudžeto asignavimų. Užimtumo tarnyba kiekvienam ketvirčiui skirtą lėšų sumą atvykimo išmokai iš užsienio pritrauktiems darbuotojams mokėti skelbia Užimtumo tarnybos interneto svetainėje. Asmuo dėl atvykimo išmokos iš užsienio pritrauktiems darbuotojams skyrimo kreipiasi į Užimtumo tarnybą ne anksčiau kaip po 6 mėnesių ir ne vėliau kaip per 2 metus nuo savo darbo Lietuvoje pagal neterminuotą darbo sutartį pradžios.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d50632698511f1b53dfa020e517810">
                            <w:r w:rsidRPr="00532B9F">
                              <w:rPr>
                                <w:rFonts w:ascii="Times New Roman" w:eastAsia="MS Mincho" w:hAnsi="Times New Roman"/>
                                <w:sz w:val="20"/>
                                <w:i/>
                                <w:iCs/>
                                <w:color w:val="0000FF" w:themeColor="hyperlink"/>
                                <w:u w:val="single"/>
                              </w:rPr>
                              <w:t>XV-1012</w:t>
                            </w:r>
                          </w:fldSimple>
                          <w:r>
                            <w:rPr>
                              <w:rFonts w:ascii="Times New Roman" w:eastAsia="MS Mincho" w:hAnsi="Times New Roman"/>
                              <w:sz w:val="20"/>
                              <w:i/>
                              <w:iCs/>
                            </w:rPr>
                            <w:t>,
2026-06-11,
paskelbta TAR 2026-06-16, i. k. 2026-10395            </w:t>
                          </w:r>
                        </w:p>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cc198cc8d8fb4ed3b3ccbc84bf444348"/>
                        <w:lock w:val="sdtLocked"/>
                        <w:richText/>
                      </w:sdtPr>
                      <w:sdtContent>
                        <w:p>
                          <w:pPr>
                            <w:widowControl w:val="0"/>
                            <w:spacing w:line="380" w:lineRule="atLeast"/>
                            <w:ind w:firstLine="720"/>
                            <w:jc w:val="both"/>
                            <w:rPr>
                              <w:bCs/>
                              <w:szCs w:val="24"/>
                              <w:lang w:eastAsia="lt-LT"/>
                            </w:rPr>
                          </w:pPr>
                          <w:sdt>
                            <w:sdtPr>
                              <w:alias w:val="Numeris"/>
                              <w:tag w:val="nr_cc198cc8d8fb4ed3b3ccbc84bf444348"/>
                              <w:lock w:val="sdtLocked"/>
                              <w:richText/>
                            </w:sdtPr>
                            <w:sdtContent>
                              <w:r>
                                <w:t>6</w:t>
                              </w:r>
                            </w:sdtContent>
                          </w:sdt>
                          <w:r>
                            <w:t xml:space="preserve">. Prašymai skirti atvykimo išmoką iš užsienio pritrauktiems darbuotojams teikiami kiekvieno ketvirčio pirmą ir antrą mėnesį. Asmens atitiktis šio straipsnio 1 arba 2 dalyje nustatytoms sąlygoms įvertinama ir sprendimas skirti atvykimo išmoką iš užsienio pritrauktiems darbuotojams dėl asmenų, atitinkančių šio straipsnio 1 arba 2 dalyje nustatytas sąlygas, arba sprendimas šios išmokos neskirti priimamas per 10 darbo dienų nuo ketvirčio trečio mėnesio pradžios. Paskirtos atvykimo išmokos iš užsienio pritrauktiems darbuotojams išmokamos iki kiekvieno ketvirčio pabaigos. Tuo atveju, kai nepakanka ketvirčiui skirtų lėšų atvykimo išmokoms iš užsienio pritrauktiems darbuotojams, kurie atitinka šio straipsnio 1 arba 2 dalyje nustatytas sąlygas, išmokėti, prioritetas išmokėti šias išmokas teikiamas tiems asmenims, kuriems greičiausiai sueina šio straipsnio 4 arba 5 dalyje nurodytas 2 metų kreipimosi dėl šios išmokos skyrimo terminas. Paskirtų ir pagal prioritetą neišmokėtų atvykimo išmokų iš užsienio pritrauktiems darbuotojams mokėjimas atidedamas kitam ketvirčiui, o ketvirtą ketvirtį – kitam ateinančių metų ketvirčiui </w:t>
                          </w:r>
                          <w:r>
                            <w:rPr>
                              <w:szCs w:val="24"/>
                            </w:rPr>
                            <w:t>ir šios išmokos išmokamos šioje dalyje nustatyta tvarka pagal nurodytą prioritetą</w:t>
                          </w:r>
                          <w:r>
                            <w:t>. Kreipimosi dėl atvykimo išmokos iš užsienio pritrauktiems darbuotojams, šios išmokos skyrimo ir mokėjimo tvarką nustato Užimtumo tarnybos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d50632698511f1b53dfa020e517810">
                            <w:r w:rsidRPr="00532B9F">
                              <w:rPr>
                                <w:rFonts w:ascii="Times New Roman" w:eastAsia="MS Mincho" w:hAnsi="Times New Roman"/>
                                <w:sz w:val="20"/>
                                <w:i/>
                                <w:iCs/>
                                <w:color w:val="0000FF" w:themeColor="hyperlink"/>
                                <w:u w:val="single"/>
                              </w:rPr>
                              <w:t>XV-1012</w:t>
                            </w:r>
                          </w:fldSimple>
                          <w:r>
                            <w:rPr>
                              <w:rFonts w:ascii="Times New Roman" w:eastAsia="MS Mincho" w:hAnsi="Times New Roman"/>
                              <w:sz w:val="20"/>
                              <w:i/>
                              <w:iCs/>
                            </w:rPr>
                            <w:t>,
2026-06-11,
paskelbta TAR 2026-06-16, i. k. 2026-10395            </w:t>
                          </w:r>
                        </w:p>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dbdc3b4cd5934de38ab227b70e0e6066"/>
                        <w:lock w:val="sdtLocked"/>
                        <w:richText/>
                      </w:sdtPr>
                      <w:sdtContent>
                        <w:p>
                          <w:pPr>
                            <w:widowControl w:val="0"/>
                            <w:spacing w:line="380" w:lineRule="atLeast"/>
                            <w:ind w:firstLine="720"/>
                            <w:jc w:val="both"/>
                            <w:rPr>
                              <w:szCs w:val="24"/>
                            </w:rPr>
                          </w:pPr>
                          <w:sdt>
                            <w:sdtPr>
                              <w:alias w:val="Numeris"/>
                              <w:tag w:val="nr_dbdc3b4cd5934de38ab227b70e0e6066"/>
                              <w:lock w:val="sdtLocked"/>
                              <w:richText/>
                            </w:sdtPr>
                            <w:sdtContent>
                              <w:r>
                                <w:rPr>
                                  <w:szCs w:val="24"/>
                                </w:rPr>
                                <w:t>3</w:t>
                              </w:r>
                            </w:sdtContent>
                          </w:sdt>
                          <w:r>
                            <w:rPr>
                              <w:szCs w:val="24"/>
                            </w:rPr>
                            <w:t>. Išmoką darbdaviui, pritraukusiam darbuotoją iš užsienio, skiria ir moka Užimtumo tarnyba, neviršydama šioms išmokoms skirtų atitinkamų metų valstybės biudžeto asignavimų. Užimtumo tarnyba kiekvienam ketvirčiui skirtą lėšų sumą išmokai darbdaviui, pritraukusiam darbuotoją iš užsienio, mokėti skelbia Užimtumo tarnybos interneto svetainėje. Darbdavys dėl išmokos darbdaviui, pritraukusiam darbuotoją iš užsienio, skyrimo kreipiasi į Užimtumo tarnybą ne anksčiau kaip po 12 mėnesių ir ne vėliau kaip per 2 metus nuo darbuotojo darbo Lietuvoje pagal neterminuotą darbo sutartį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d50632698511f1b53dfa020e517810">
                            <w:r w:rsidRPr="00532B9F">
                              <w:rPr>
                                <w:rFonts w:ascii="Times New Roman" w:eastAsia="MS Mincho" w:hAnsi="Times New Roman"/>
                                <w:sz w:val="20"/>
                                <w:i/>
                                <w:iCs/>
                                <w:color w:val="0000FF" w:themeColor="hyperlink"/>
                                <w:u w:val="single"/>
                              </w:rPr>
                              <w:t>XV-1012</w:t>
                            </w:r>
                          </w:fldSimple>
                          <w:r>
                            <w:rPr>
                              <w:rFonts w:ascii="Times New Roman" w:eastAsia="MS Mincho" w:hAnsi="Times New Roman"/>
                              <w:sz w:val="20"/>
                              <w:i/>
                              <w:iCs/>
                            </w:rPr>
                            <w:t>,
2026-06-11,
paskelbta TAR 2026-06-16, i. k. 2026-10395            </w:t>
                          </w:r>
                        </w:p>
                        <w:p/>
                      </w:sdtContent>
                    </w:sdt>
                    <w:sdt>
                      <w:sdtPr>
                        <w:alias w:val="48-2 str. 4 d."/>
                        <w:tag w:val="part_f14e54e6f6804ed19c2a55a38399b904"/>
                        <w:lock w:val="sdtLocked"/>
                        <w:richText/>
                      </w:sdtPr>
                      <w:sdtContent>
                        <w:p>
                          <w:pPr>
                            <w:widowControl w:val="0"/>
                            <w:spacing w:line="380" w:lineRule="atLeast"/>
                            <w:ind w:firstLine="720"/>
                            <w:jc w:val="both"/>
                            <w:rPr>
                              <w:szCs w:val="24"/>
                              <w:lang w:eastAsia="lt-LT"/>
                            </w:rPr>
                          </w:pPr>
                          <w:sdt>
                            <w:sdtPr>
                              <w:alias w:val="Numeris"/>
                              <w:tag w:val="nr_f14e54e6f6804ed19c2a55a38399b904"/>
                              <w:lock w:val="sdtLocked"/>
                              <w:richText/>
                            </w:sdtPr>
                            <w:sdtContent>
                              <w:r>
                                <w:rPr>
                                  <w:szCs w:val="24"/>
                                </w:rPr>
                                <w:t>4</w:t>
                              </w:r>
                            </w:sdtContent>
                          </w:sdt>
                          <w:r>
                            <w:rPr>
                              <w:szCs w:val="24"/>
                            </w:rPr>
                            <w:t>. Prašymai skirti išmoką darbdaviui, pritraukusiam darbuotoją iš užsienio, priimami kiekvieno ketvirčio pirmą ir antrą mėnesį. Darbdavio atitiktis šio straipsnio 1 dalyje nustatytoms sąlygoms įvertinama ir sprendimas skirti išmoką šio straipsnio 1 dalyje nustatytas sąlygas atitinkančiam darbdaviui, pritraukusiam darbuotoją iš užsienio, arba sprendimas šios išmokos neskirti priimamas per 10 darbo dienų nuo ketvirčio trečio mėnesio pradžios. Paskirtos išmokos darbdaviams, pritraukusiems darbuotoją iš užsienio, išmokamos iki kiekvieno ketvirčio pabaigos. Tuo atveju, kai nepakanka ketvirčiui skirtų lėšų išmokai šio straipsnio 1 dalyje nustatytas sąlygas atitinkantiems darbdaviams, pritraukusiems darbuotoją iš užsienio, išmokėti, prioritetas išmokėti šias išmokas teikiamas tiems darbdaviams, kuriems greičiausiai sueina šio straipsnio 3 dalyje nurodytas 2 metų kreipimosi dėl šios išmokos skyrimo terminas. Paskirtų ir pagal prioritetą neišmokėtų išmokų darbdaviams, pritraukusiems darbuotoją iš užsienio, mokėjimas atidedamas kitam ketvirčiui, o ketvirtą ketvirtį – kitam ateinančių metų ketvirčiui ir šios išmokos išmokamos šioje dalyje nustatyta tvarka pagal nurodytą prioritetą.</w:t>
                          </w:r>
                          <w:r>
                            <w:rPr>
                              <w:b/>
                              <w:bCs/>
                              <w:szCs w:val="24"/>
                            </w:rPr>
                            <w:t xml:space="preserve"> </w:t>
                          </w:r>
                          <w:r>
                            <w:rPr>
                              <w:szCs w:val="24"/>
                            </w:rPr>
                            <w:t>Kreipimosi dėl išmokos darbdaviui, pritraukusiam darbuotoją iš užsienio, šios išmokos skyrimo ir mokėjimo tvarką nustato Užimtumo tarnybos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d50632698511f1b53dfa020e517810">
                            <w:r w:rsidRPr="00532B9F">
                              <w:rPr>
                                <w:rFonts w:ascii="Times New Roman" w:eastAsia="MS Mincho" w:hAnsi="Times New Roman"/>
                                <w:sz w:val="20"/>
                                <w:i/>
                                <w:iCs/>
                                <w:color w:val="0000FF" w:themeColor="hyperlink"/>
                                <w:u w:val="single"/>
                              </w:rPr>
                              <w:t>XV-1012</w:t>
                            </w:r>
                          </w:fldSimple>
                          <w:r>
                            <w:rPr>
                              <w:rFonts w:ascii="Times New Roman" w:eastAsia="MS Mincho" w:hAnsi="Times New Roman"/>
                              <w:sz w:val="20"/>
                              <w:i/>
                              <w:iCs/>
                            </w:rPr>
                            <w:t>,
2026-06-11,
paskelbta TAR 2026-06-16, i. k. 2026-10395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b1a76bc056934309bd67d4fab784233b"/>
                        <w:lock w:val="sdtLocked"/>
                        <w:richText/>
                      </w:sdtPr>
                      <w:sdtContent>
                        <w:p>
                          <w:pPr>
                            <w:spacing w:line="360" w:lineRule="auto"/>
                            <w:ind w:firstLine="720"/>
                            <w:jc w:val="both"/>
                            <w:rPr>
                              <w:szCs w:val="24"/>
                            </w:rPr>
                          </w:pPr>
                          <w:sdt>
                            <w:sdtPr>
                              <w:alias w:val="Numeris"/>
                              <w:tag w:val="nr_b1a76bc056934309bd67d4fab784233b"/>
                              <w:lock w:val="sdtLocked"/>
                              <w:richText/>
                            </w:sdtPr>
                            <w:sdtContent>
                              <w:r>
                                <w:rPr>
                                  <w:rFonts w:eastAsia="Calibri"/>
                                  <w:color w:val="000000"/>
                                  <w:szCs w:val="24"/>
                                  <w:lang w:eastAsia="lt-LT"/>
                                </w:rPr>
                                <w:t>1</w:t>
                              </w:r>
                            </w:sdtContent>
                          </w:sdt>
                          <w:r>
                            <w:rPr>
                              <w:rFonts w:eastAsia="Calibri"/>
                              <w:color w:val="000000"/>
                              <w:szCs w:val="24"/>
                              <w:lang w:eastAsia="lt-LT"/>
                            </w:rPr>
                            <w:t>) darbdavys nesudaro darbo sutarties raštu ir (arba) nepraneša Valstybinio socialinio draudimo fondo valdybos teritorinei įstaigai mažiausiai prieš vieną darbo dieną iki darbo pradžios apie darbuotojo priėmimą į darbą</w:t>
                          </w:r>
                          <w:r>
                            <w:t xml:space="preserve"> ar mažiausiai prieš vieną darbo valandą iki darbo pradžios apie juridinio asmens vienasmenio valdymo organo priėmimą į darbą</w:t>
                          </w:r>
                          <w:r>
                            <w:rPr>
                              <w:rFonts w:eastAsia="Calibri"/>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20b48091f211efa605b9842742bf37">
                            <w:r w:rsidRPr="00532B9F">
                              <w:rPr>
                                <w:rFonts w:ascii="Times New Roman" w:eastAsia="MS Mincho" w:hAnsi="Times New Roman"/>
                                <w:sz w:val="20"/>
                                <w:i/>
                                <w:iCs/>
                                <w:color w:val="0000FF" w:themeColor="hyperlink"/>
                                <w:u w:val="single"/>
                              </w:rPr>
                              <w:t>XIV-3036</w:t>
                            </w:r>
                          </w:fldSimple>
                          <w:r>
                            <w:rPr>
                              <w:rFonts w:ascii="Times New Roman" w:eastAsia="MS Mincho" w:hAnsi="Times New Roman"/>
                              <w:sz w:val="20"/>
                              <w:i/>
                              <w:iCs/>
                            </w:rPr>
                            <w:t>,
2024-10-17,
paskelbta TAR 2024-10-24, i. k. 2024-18433            </w:t>
                          </w:r>
                        </w:p>
                        <w:p/>
                      </w:sdtContent>
                    </w:sdt>
                    <w:sdt>
                      <w:sdtPr>
                        <w:alias w:val="56 str. 1 d. 2 p."/>
                        <w:tag w:val="part_15ca611eebb84c99a163e04daf95d974"/>
                        <w:lock w:val="sdtLocked"/>
                        <w:richText/>
                      </w:sdtPr>
                      <w:sdtContent>
                        <w:p>
                          <w:pPr>
                            <w:spacing w:line="360" w:lineRule="auto"/>
                            <w:ind w:firstLine="720"/>
                            <w:jc w:val="both"/>
                            <w:rPr>
                              <w:szCs w:val="24"/>
                            </w:rPr>
                          </w:pPr>
                          <w:sdt>
                            <w:sdtPr>
                              <w:alias w:val="Numeris"/>
                              <w:tag w:val="nr_15ca611eebb84c99a163e04daf95d974"/>
                              <w:lock w:val="sdtLocked"/>
                              <w:richText/>
                            </w:sdtPr>
                            <w:sdtContent>
                              <w:r>
                                <w:t>2</w:t>
                              </w:r>
                            </w:sdtContent>
                          </w:sdt>
                          <w:r>
                            <w:t>) dirba trečiosios šalies pilietis, kuris neturi teisės likti Lietuvos Respublikos teritorijoje,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vertAlign w:val="superscript"/>
                            </w:rPr>
                            <w:t>1</w:t>
                          </w:r>
                          <w:r>
                            <w:t xml:space="preserve"> straipsnio 8 dalyje, pagrindžiančių dokumentų (toliau – skaidriai dirbančio asmens identifikavimo kode užšifruojamus duomenis pagrindžiantys dokumentai) tais atvejais, kai skaidriai dirbančio asmens identifikavimo kodas negali būti suformuojamas, arba nustatomos šios dalies 1 punkte nurodytos aplinkybės.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Content>
                </w:sdt>
                <w:sdt>
                  <w:sdtPr>
                    <w:alias w:val="56 str. 2 d."/>
                    <w:tag w:val="part_7e487fcbc90d426a98b31f2535922dfa"/>
                    <w:lock w:val="sdtLocked"/>
                    <w:richText/>
                  </w:sdtPr>
                  <w:sdtContent>
                    <w:p>
                      <w:pPr>
                        <w:spacing w:line="360" w:lineRule="auto"/>
                        <w:ind w:firstLine="720"/>
                        <w:jc w:val="both"/>
                        <w:rPr>
                          <w:szCs w:val="24"/>
                          <w:lang w:eastAsia="lt-LT"/>
                        </w:rPr>
                      </w:pPr>
                      <w:sdt>
                        <w:sdtPr>
                          <w:alias w:val="Numeris"/>
                          <w:tag w:val="nr_7e487fcbc90d426a98b31f2535922dfa"/>
                          <w:lock w:val="sdtLocked"/>
                          <w:richText/>
                        </w:sdtPr>
                        <w:sdtContent>
                          <w:r>
                            <w:t>2</w:t>
                          </w:r>
                        </w:sdtContent>
                      </w:sdt>
                      <w:r>
                        <w:t xml:space="preserve">. Darbdavys nelaikomas pažeidusiu šio straipsnio 1 dalies 2 punktą, kai dirba trečiosios šalies pilietis, kuris neturi teisės likti Lietuvos Respublikos teritorijoje, būti ar gyventi ir (arba) dirbti Lietuvos Respublikoje, jeigu įdarbindamas trečiosios šalies pilietį ir visu jo darbo Lietuvos Respublikoje laikotarpiu saugo jo teisę likti Lietuvos Respublikos teritorijoje, būti ar gyventi ir (arba) dirbti Lietuvos Respublikoje patvirtinančių dokumentų kopijas ir pateikia jas Migracijos departamentui prie Lietuvos Respublikos vidaus reikalų ministerijos (toliau – Migracijos departamentas) ar šio įstatymo 55 straipsnyje nurodytai institucijai jų reikalavimu.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6 str. 3 d."/>
                    <w:tag w:val="part_efeb29ad9fd64972b44564bd78eb5c4c"/>
                    <w:lock w:val="sdtLocked"/>
                    <w:richText/>
                  </w:sdtPr>
                  <w:sdtContent>
                    <w:p>
                      <w:pPr>
                        <w:spacing w:line="360" w:lineRule="auto"/>
                        <w:ind w:firstLine="720"/>
                        <w:jc w:val="both"/>
                        <w:rPr>
                          <w:szCs w:val="24"/>
                          <w:lang w:eastAsia="lt-LT"/>
                        </w:rPr>
                      </w:pPr>
                      <w:sdt>
                        <w:sdtPr>
                          <w:alias w:val="Numeris"/>
                          <w:tag w:val="nr_efeb29ad9fd64972b44564bd78eb5c4c"/>
                          <w:lock w:val="sdtLocked"/>
                          <w:richText/>
                        </w:sdtPr>
                        <w:sdtContent>
                          <w:r>
                            <w:t>3</w:t>
                          </w:r>
                        </w:sdtContent>
                      </w:sdt>
                      <w:r>
                        <w:t>. Šio straipsnio 2 dalies nuostatos netaikomos, jeigu darbdavys žinojo, kad dokumentas, suteikiantis teisę</w:t>
                      </w:r>
                      <w:r>
                        <w:rPr>
                          <w:rFonts w:eastAsia="Calibri"/>
                          <w:b/>
                          <w:bCs/>
                          <w:szCs w:val="24"/>
                        </w:rPr>
                        <w:t xml:space="preserve"> </w:t>
                      </w:r>
                      <w:r>
                        <w:t xml:space="preserve">likti Lietuvos Respublikos teritorijoje, būti ar gyventi Lietuvos Respublikoje, ir (arba) leidimas dirbti Lietuvos Respublikoje buvo suklastoti.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371c46fe1bf34e74982f737113b2e97a"/>
                    <w:lock w:val="sdtLocked"/>
                    <w:richText/>
                  </w:sdtPr>
                  <w:sdtContent>
                    <w:p>
                      <w:pPr>
                        <w:spacing w:line="360" w:lineRule="auto"/>
                        <w:ind w:firstLine="720"/>
                        <w:jc w:val="both"/>
                        <w:rPr>
                          <w:szCs w:val="24"/>
                          <w:lang w:eastAsia="lt-LT"/>
                        </w:rPr>
                      </w:pPr>
                      <w:sdt>
                        <w:sdtPr>
                          <w:alias w:val="Numeris"/>
                          <w:tag w:val="nr_371c46fe1bf34e74982f737113b2e97a"/>
                          <w:lock w:val="sdtLocked"/>
                          <w:richText/>
                        </w:sdtPr>
                        <w:sdtContent>
                          <w:r>
                            <w:t>6</w:t>
                          </w:r>
                        </w:sdtContent>
                      </w:sdt>
                      <w:r>
                        <w:t xml:space="preserve">. Darbdavys, jeigu jis yra subrangovas, arba įmonė, atsiuntusi trečiosios šalies pilietį laikinai dirbti, (toliau – siunčiančioji užsienio įmonė), ne vėliau kaip prieš 1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 </w:t>
                      </w:r>
                      <w:r>
                        <w:rPr>
                          <w:rFonts w:eastAsia="Aptos"/>
                          <w:kern w:val="2"/>
                          <w:szCs w:val="24"/>
                        </w:rPr>
                        <w:t xml:space="preserve">Jeigu trečiosios šalies pilietis komandiruojamas laikinai dirbti į Lietuvos Respubliką iš įmonės, kuri nėra Europos Sąjungos ar Europos laisvosios prekybos asociacijos valstybėje narėje įsteigta įmonė, </w:t>
                      </w:r>
                      <w:r>
                        <w:t xml:space="preserve">priimančioji Lietuvos įmonė </w:t>
                      </w:r>
                      <w:r>
                        <w:rPr>
                          <w:rFonts w:eastAsia="Aptos"/>
                          <w:kern w:val="2"/>
                          <w:szCs w:val="24"/>
                        </w:rPr>
                        <w:t>privalo tarpininkauti išduodant komandiruojamam trečiosios šalies piliečiui nacionalinę vizą ir leidimą dirbti. Rangovas arba priimančioji Lietuvos įmonė, negavusi šiame straipsnyje nurodytų dokumentų, neturi teisės leisti trečiosios šalies piliečiui pradėti dirbti Lietuvos Respublikoje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fce0fe8d853643fab295e001e9f31e53"/>
                        <w:lock w:val="sdtLocked"/>
                        <w:richText/>
                      </w:sdtPr>
                      <w:sdtContent>
                        <w:p>
                          <w:pPr>
                            <w:widowControl w:val="0"/>
                            <w:spacing w:line="360" w:lineRule="auto"/>
                            <w:ind w:firstLine="709"/>
                            <w:jc w:val="both"/>
                            <w:rPr>
                              <w:szCs w:val="24"/>
                              <w:lang w:eastAsia="lt-LT"/>
                            </w:rPr>
                          </w:pPr>
                          <w:sdt>
                            <w:sdtPr>
                              <w:alias w:val="Numeris"/>
                              <w:tag w:val="nr_fce0fe8d853643fab295e001e9f31e53"/>
                              <w:lock w:val="sdtLocked"/>
                              <w:richText/>
                            </w:sdtPr>
                            <w:sdtContent>
                              <w:r>
                                <w:rPr>
                                  <w:szCs w:val="24"/>
                                </w:rPr>
                                <w:t>1</w:t>
                              </w:r>
                            </w:sdtContent>
                          </w:sdt>
                          <w:r>
                            <w:rPr>
                              <w:szCs w:val="24"/>
                            </w:rPr>
                            <w:t>) nepateikia dokumentų, patvirtinančių trečiosios šalies piliečio turimą kvalifikaciją, susijusią su atliktinu darbu, arba trečiosios šalies piliečio turimą ne mažesnę negu 1</w:t>
                          </w:r>
                          <w:r>
                            <w:rPr>
                              <w:b/>
                              <w:bCs/>
                              <w:szCs w:val="24"/>
                            </w:rPr>
                            <w:t xml:space="preserve"> </w:t>
                          </w:r>
                          <w:r>
                            <w:rPr>
                              <w:szCs w:val="24"/>
                            </w:rPr>
                            <w:t>metų darbo patirtį per pastaruosius 3 metus, susijusią su atliktinu darbu, kai vertinama trečiosios šalies piliečio kvalifikacija ir darbo patirtis ir darbdavys Lietuvos Respublikos įstatymo „Dėl užsieniečių teisinės padėties“ nustatyta tvarka Migracijos departamentui, nagrinėjančiam trečiosios šalies piliečio prašymą išduoti leidimą laikinai gyventi Lietuvos Respublikoje, teikė informaciją apie trečiosios šalies piliečio turimą kvalifikaciją, susijusią su atliktinu darbu, arba trečiosios šalies piliečio</w:t>
                          </w:r>
                          <w:r>
                            <w:rPr>
                              <w:b/>
                              <w:bCs/>
                              <w:szCs w:val="24"/>
                            </w:rPr>
                            <w:t xml:space="preserve"> </w:t>
                          </w:r>
                          <w:r>
                            <w:rPr>
                              <w:szCs w:val="24"/>
                            </w:rPr>
                            <w:t>turimą ne mažesnę negu 1 metų darbo patirtį per pastaruosius 3 metus, susijusią su atliktinu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7 str. 1 d. 2 p."/>
                        <w:tag w:val="part_5a4b3bef738f4ee58f0c8a784e7778e3"/>
                        <w:lock w:val="sdtLocked"/>
                        <w:richText/>
                      </w:sdtPr>
                      <w:sdtContent>
                        <w:p>
                          <w:pPr>
                            <w:widowControl w:val="0"/>
                            <w:spacing w:line="360" w:lineRule="auto"/>
                            <w:ind w:firstLine="709"/>
                            <w:jc w:val="both"/>
                            <w:rPr>
                              <w:szCs w:val="24"/>
                            </w:rPr>
                          </w:pPr>
                          <w:sdt>
                            <w:sdtPr>
                              <w:alias w:val="Numeris"/>
                              <w:tag w:val="nr_5a4b3bef738f4ee58f0c8a784e7778e3"/>
                              <w:lock w:val="sdtLocked"/>
                              <w:richText/>
                            </w:sdtPr>
                            <w:sdtContent>
                              <w:r>
                                <w:rPr>
                                  <w:szCs w:val="24"/>
                                </w:rPr>
                                <w:t>2</w:t>
                              </w:r>
                            </w:sdtContent>
                          </w:sdt>
                          <w:r>
                            <w:rPr>
                              <w:szCs w:val="24"/>
                            </w:rPr>
                            <w:t xml:space="preserve">) trečiosios šalies piliečio darbo Lietuvos Respublikoje laikotarpiu nesaugo jo teisę </w:t>
                          </w:r>
                          <w:r>
                            <w:rPr>
                              <w:rFonts w:eastAsia="Calibri"/>
                              <w:szCs w:val="24"/>
                            </w:rPr>
                            <w:t>likti Lietuvos Respublikos teritorijoje,</w:t>
                          </w:r>
                          <w:r>
                            <w:rPr>
                              <w:szCs w:val="24"/>
                            </w:rPr>
                            <w:t xml:space="preserve"> būti ar gyventi ir (arba) dirbti Lietuvos Respublikoje suteikiančių dokumentų kopijų ir (ar) nepateikia jų Migracijos departamentui ar šio įstatymo 55 straipsnyje nurodytoms institucijoms jų reikalavimu;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656301e961bc4acb828452be44872cba"/>
                        <w:lock w:val="sdtLocked"/>
                        <w:richText/>
                      </w:sdtPr>
                      <w:sdtContent>
                        <w:p>
                          <w:pPr>
                            <w:widowControl w:val="0"/>
                            <w:spacing w:line="360" w:lineRule="auto"/>
                            <w:ind w:firstLine="709"/>
                            <w:jc w:val="both"/>
                          </w:pPr>
                          <w:sdt>
                            <w:sdtPr>
                              <w:alias w:val="Numeris"/>
                              <w:tag w:val="nr_656301e961bc4acb828452be44872cba"/>
                              <w:lock w:val="sdtLocked"/>
                              <w:richText/>
                            </w:sdtPr>
                            <w:sdtContent>
                              <w:r>
                                <w:rPr>
                                  <w:szCs w:val="24"/>
                                </w:rPr>
                                <w:t>5</w:t>
                              </w:r>
                            </w:sdtContent>
                          </w:sdt>
                          <w:r>
                            <w:rPr>
                              <w:szCs w:val="24"/>
                            </w:rPr>
                            <w:t>) nemoka Lietuvos Respublikos įstatymo „Dėl užsieniečių teisinės padėties“ 44 straipsnio 1 dalies 2 punkte, 5 dalyje, 44</w:t>
                          </w:r>
                          <w:r>
                            <w:rPr>
                              <w:szCs w:val="24"/>
                              <w:vertAlign w:val="superscript"/>
                            </w:rPr>
                            <w:t>1</w:t>
                          </w:r>
                          <w:r>
                            <w:rPr>
                              <w:szCs w:val="24"/>
                            </w:rPr>
                            <w:t xml:space="preserve"> straipsnio 1 dalies 1 punkte ar 62 straipsnio 5 dalyje nurodyto dydžio darbo užmokesčio.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2094ef5046674f5abf7a8d2f9e39029b"/>
                    <w:lock w:val="sdtLocked"/>
                    <w:richText/>
                  </w:sdtPr>
                  <w:sdtContent>
                    <w:p>
                      <w:pPr>
                        <w:spacing w:line="360" w:lineRule="auto"/>
                        <w:ind w:firstLine="720"/>
                        <w:jc w:val="both"/>
                        <w:rPr>
                          <w:szCs w:val="24"/>
                        </w:rPr>
                      </w:pPr>
                      <w:sdt>
                        <w:sdtPr>
                          <w:alias w:val="Numeris"/>
                          <w:tag w:val="nr_2094ef5046674f5abf7a8d2f9e39029b"/>
                          <w:lock w:val="sdtLocked"/>
                          <w:richText/>
                        </w:sdtPr>
                        <w:sdtContent>
                          <w:r>
                            <w:rPr>
                              <w:szCs w:val="24"/>
                              <w:lang w:eastAsia="lt-LT"/>
                            </w:rPr>
                            <w:t>2</w:t>
                          </w:r>
                        </w:sdtContent>
                      </w:sdt>
                      <w:r>
                        <w:rPr>
                          <w:szCs w:val="24"/>
                          <w:lang w:eastAsia="lt-LT"/>
                        </w:rPr>
                        <w:t>. Šio įstatymo 55 straipsnyje nurodyta institucija, skirdama šio įstatymo 56 straipsnio 4 dalies 2 punkte numatytą baudą, kai nėra taikoma šio įstatymo 56 straipsnio 13 dalis, 57 ir 58 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Jeigu yra atsakomybę lengvinančių ir sunkinančių aplinkybių, bauda skiriama atsižvelgiant į jų kiekį ir reikšmingumą. Baudos dydžio mažinimas ar didinimas turi būti motyvuotas. Bauda išieškoma į valstybės biudžetą. 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dėl baudos skyrimo yra vykdomieji dokumentai, vykdomi Lietuvos Respublikos mokesčių administravimo įstatyme ir Lietuvos Respublikos civilinio proceso kodekse nustatyta tvarka. Šios dalies nuostatos taikomos ir tais atvejais, kai Valstybinė darbo inspekcija ar Valstybinė mokesčių inspekcija skiria šio įstatymo 59</w:t>
                      </w:r>
                      <w:r>
                        <w:rPr>
                          <w:szCs w:val="24"/>
                          <w:vertAlign w:val="superscript"/>
                          <w:lang w:eastAsia="lt-LT"/>
                        </w:rPr>
                        <w:t>1</w:t>
                      </w:r>
                      <w:r>
                        <w:rPr>
                          <w:szCs w:val="24"/>
                          <w:lang w:eastAsia="lt-LT"/>
                        </w:rPr>
                        <w:t xml:space="preserve"> straipsnyje numatytas baudas.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4e2292502b11f180c9c618618421ed">
                        <w:r w:rsidRPr="00532B9F">
                          <w:rPr>
                            <w:rFonts w:ascii="Times New Roman" w:eastAsia="MS Mincho" w:hAnsi="Times New Roman"/>
                            <w:sz w:val="20"/>
                            <w:i/>
                            <w:iCs/>
                            <w:color w:val="0000FF" w:themeColor="hyperlink"/>
                            <w:u w:val="single"/>
                          </w:rPr>
                          <w:t>XV-891</w:t>
                        </w:r>
                      </w:fldSimple>
                      <w:r>
                        <w:rPr>
                          <w:rFonts w:ascii="Times New Roman" w:eastAsia="MS Mincho" w:hAnsi="Times New Roman"/>
                          <w:sz w:val="20"/>
                          <w:i/>
                          <w:iCs/>
                        </w:rPr>
                        <w:t>,
2026-05-12,
paskelbta TAR 2026-05-15, i. k. 2026-08221            </w:t>
                      </w:r>
                    </w:p>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fd21328686b845bc94715feceb308a9b"/>
                    <w:lock w:val="sdtLocked"/>
                    <w:richText/>
                  </w:sdtPr>
                  <w:sdtContent>
                    <w:p>
                      <w:pPr>
                        <w:spacing w:line="360" w:lineRule="auto"/>
                        <w:ind w:firstLine="720"/>
                        <w:jc w:val="both"/>
                        <w:rPr>
                          <w:szCs w:val="24"/>
                          <w:lang w:eastAsia="lt-LT"/>
                        </w:rPr>
                      </w:pPr>
                      <w:sdt>
                        <w:sdtPr>
                          <w:alias w:val="Numeris"/>
                          <w:tag w:val="nr_fd21328686b845bc94715feceb308a9b"/>
                          <w:lock w:val="sdtLocked"/>
                          <w:richText/>
                        </w:sdtPr>
                        <w:sdtContent>
                          <w:r>
                            <w:rPr>
                              <w:szCs w:val="24"/>
                              <w:lang w:eastAsia="lt-LT"/>
                            </w:rPr>
                            <w:t>6</w:t>
                          </w:r>
                        </w:sdtContent>
                      </w:sdt>
                      <w:r>
                        <w:rPr>
                          <w:szCs w:val="24"/>
                          <w:lang w:eastAsia="lt-LT"/>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iki nutarimo dėl baudos skyrimo priėmimo dienos. Po šio nutarimo priėmimo dienos paskirtos baudos mokėjimo išdėstymo klausimai sprendžiami Mokesčių administravimo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4e2292502b11f180c9c618618421ed">
                        <w:r w:rsidRPr="00532B9F">
                          <w:rPr>
                            <w:rFonts w:ascii="Times New Roman" w:eastAsia="MS Mincho" w:hAnsi="Times New Roman"/>
                            <w:sz w:val="20"/>
                            <w:i/>
                            <w:iCs/>
                            <w:color w:val="0000FF" w:themeColor="hyperlink"/>
                            <w:u w:val="single"/>
                          </w:rPr>
                          <w:t>XV-891</w:t>
                        </w:r>
                      </w:fldSimple>
                      <w:r>
                        <w:rPr>
                          <w:rFonts w:ascii="Times New Roman" w:eastAsia="MS Mincho" w:hAnsi="Times New Roman"/>
                          <w:sz w:val="20"/>
                          <w:i/>
                          <w:iCs/>
                        </w:rPr>
                        <w:t>,
2026-05-12,
paskelbta TAR 2026-05-15, i. k. 2026-08221            </w:t>
                      </w:r>
                    </w:p>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954b9769f3044ac19d97a75016f98d46"/>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954b9769f3044ac19d97a75016f98d46"/>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682e5ffad7e488a84ec6ba9c2e5a6b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2026-05-22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sdt>
          <w:sdtPr>
            <w:alias w:val="8 p."/>
            <w:tag w:val="part_87e9b25b97c649f9a73a63b5d5de40ce"/>
            <w:lock w:val="sdtLocked"/>
            <w:richText/>
          </w:sdtPr>
          <w:sdtContent>
            <w:p>
              <w:pPr>
                <w:widowControl w:val="0"/>
                <w:spacing w:line="360" w:lineRule="auto"/>
                <w:ind w:firstLine="709"/>
                <w:jc w:val="both"/>
              </w:pPr>
              <w:sdt>
                <w:sdtPr>
                  <w:alias w:val="Numeris"/>
                  <w:tag w:val="nr_87e9b25b97c649f9a73a63b5d5de40ce"/>
                  <w:lock w:val="sdtLocked"/>
                  <w:richText/>
                </w:sdtPr>
                <w:sdtContent>
                  <w:r>
                    <w:rPr>
                      <w:bCs/>
                      <w:szCs w:val="24"/>
                    </w:rPr>
                    <w:t>8</w:t>
                  </w:r>
                </w:sdtContent>
              </w:sdt>
              <w:r>
                <w:rPr>
                  <w:bCs/>
                  <w:szCs w:val="24"/>
                </w:rPr>
                <w:t xml:space="preserve">. 2024 m. balandžio 24 d. Europos Parlamento ir Tarybos direktyva </w:t>
              </w:r>
              <w:hyperlink r:id="rId16" w:tgtFrame="_blank" w:history="1">
                <w:r>
                  <w:rPr>
                    <w:bCs/>
                    <w:color w:val="0000FF" w:themeColor="hyperlink"/>
                    <w:szCs w:val="24"/>
                    <w:u w:val="single"/>
                  </w:rPr>
                  <w:t>(ES) 2024/1233</w:t>
                </w:r>
              </w:hyperlink>
              <w:r>
                <w:rPr>
                  <w:bCs/>
                  <w:szCs w:val="24"/>
                </w:rPr>
                <w:t xml:space="preserve"> dėl vienos prašymų išduoti vieną leidimą trečiųjų valstybių piliečiams gyventi ir dirbti valstybės narės teritorijoje teikimo procedūros ir dėl valstybėje narėje teisėtai gyvenančių trečiųjų valstybių darbuotojų bendrų teisių.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091e2544411f180c9c618618421ed">
                <w:r w:rsidRPr="00532B9F">
                  <w:rPr>
                    <w:rFonts w:ascii="Times New Roman" w:eastAsia="MS Mincho" w:hAnsi="Times New Roman"/>
                    <w:sz w:val="20"/>
                    <w:i/>
                    <w:iCs/>
                    <w:color w:val="0000FF" w:themeColor="hyperlink"/>
                    <w:u w:val="single"/>
                  </w:rPr>
                  <w:t>XV-955</w:t>
                </w:r>
              </w:fldSimple>
              <w:r>
                <w:rPr>
                  <w:rFonts w:ascii="Times New Roman" w:eastAsia="MS Mincho" w:hAnsi="Times New Roman"/>
                  <w:sz w:val="20"/>
                  <w:i/>
                  <w:iCs/>
                </w:rPr>
                <w:t>,
2026-05-14,
paskelbta TAR 2026-05-20, i. k. 2026-08457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cb17a014ec11ee9f7ec2ffce8b47bc">
            <w:r w:rsidRPr="00532B9F">
              <w:rPr>
                <w:rFonts w:ascii="Times New Roman" w:eastAsia="MS Mincho" w:hAnsi="Times New Roman"/>
                <w:sz w:val="20"/>
                <w:iCs/>
                <w:color w:val="0000FF" w:themeColor="hyperlink"/>
                <w:u w:val="single"/>
              </w:rPr>
              <w:t>XIV-2084</w:t>
            </w:r>
          </w:fldSimple>
          <w:r>
            <w:rPr>
              <w:rFonts w:ascii="Times New Roman" w:eastAsia="MS Mincho" w:hAnsi="Times New Roman"/>
              <w:sz w:val="20"/>
              <w:iCs/>
            </w:rPr>
            <w:t>,
2023-06-22,
paskelbta TAR 2023-06-27, i. k. 2023-12872                </w:t>
          </w:r>
        </w:p>
        <w:p>
          <w:pPr>
            <w:jc w:val="both"/>
            <w:rPr>
              <w:rFonts w:ascii="Times New Roman" w:hAnsi="Times New Roman"/>
            </w:rPr>
          </w:pPr>
          <w:r>
            <w:rPr>
              <w:rFonts w:ascii="Times New Roman" w:hAnsi="Times New Roman"/>
              <w:sz w:val="20"/>
            </w:rPr>
            <w:t>Lietuvos Respublikos užimtumo įstatymo Nr. XII-2470 37, 39-2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1adb01e5b11ef8b14c5bcce136045">
            <w:r w:rsidRPr="00532B9F">
              <w:rPr>
                <w:rFonts w:ascii="Times New Roman" w:eastAsia="MS Mincho" w:hAnsi="Times New Roman"/>
                <w:sz w:val="20"/>
                <w:iCs/>
                <w:color w:val="0000FF" w:themeColor="hyperlink"/>
                <w:u w:val="single"/>
              </w:rPr>
              <w:t>XIV-2651</w:t>
            </w:r>
          </w:fldSimple>
          <w:r>
            <w:rPr>
              <w:rFonts w:ascii="Times New Roman" w:eastAsia="MS Mincho" w:hAnsi="Times New Roman"/>
              <w:sz w:val="20"/>
              <w:iCs/>
            </w:rPr>
            <w:t>,
2024-05-16,
paskelbta TAR 2024-05-30, i. k. 2024-09689                </w:t>
          </w:r>
        </w:p>
        <w:p>
          <w:pPr>
            <w:jc w:val="both"/>
            <w:rPr>
              <w:rFonts w:ascii="Times New Roman" w:hAnsi="Times New Roman"/>
            </w:rPr>
          </w:pPr>
          <w:r>
            <w:rPr>
              <w:rFonts w:ascii="Times New Roman" w:hAnsi="Times New Roman"/>
              <w:sz w:val="20"/>
            </w:rPr>
            <w:t>Lietuvos Respublikos užimtumo įstatymo Nr. XII-2470 2, 4, 5-1, 16, 17, 20, 24, 25, 30-1, 30-2, 31, 32, 35, 38, 39-3, 40, 41, 42, 43, 44, 45, 47, 48, 48-1, 50 straipsnių, IV skyriaus pakeitimo ir Įstatymo papildymo 12-2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ed3970337b11efbdaea558de59136c">
            <w:r w:rsidRPr="00532B9F">
              <w:rPr>
                <w:rFonts w:ascii="Times New Roman" w:eastAsia="MS Mincho" w:hAnsi="Times New Roman"/>
                <w:sz w:val="20"/>
                <w:iCs/>
                <w:color w:val="0000FF" w:themeColor="hyperlink"/>
                <w:u w:val="single"/>
              </w:rPr>
              <w:t>XIV-2741</w:t>
            </w:r>
          </w:fldSimple>
          <w:r>
            <w:rPr>
              <w:rFonts w:ascii="Times New Roman" w:eastAsia="MS Mincho" w:hAnsi="Times New Roman"/>
              <w:sz w:val="20"/>
              <w:iCs/>
            </w:rPr>
            <w:t>,
2024-06-13,
paskelbta TAR 2024-06-26, i. k. 2024-11579                </w:t>
          </w:r>
        </w:p>
        <w:p>
          <w:pPr>
            <w:jc w:val="both"/>
            <w:rPr>
              <w:rFonts w:ascii="Times New Roman" w:hAnsi="Times New Roman"/>
            </w:rPr>
          </w:pPr>
          <w:r>
            <w:rPr>
              <w:rFonts w:ascii="Times New Roman" w:hAnsi="Times New Roman"/>
              <w:sz w:val="20"/>
            </w:rPr>
            <w:t>Lietuvos Respublikos užimtumo įstatymo Nr. XII-2470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e2b610347211efbdaea558de59136c">
            <w:r w:rsidRPr="00532B9F">
              <w:rPr>
                <w:rFonts w:ascii="Times New Roman" w:eastAsia="MS Mincho" w:hAnsi="Times New Roman"/>
                <w:sz w:val="20"/>
                <w:iCs/>
                <w:color w:val="0000FF" w:themeColor="hyperlink"/>
                <w:u w:val="single"/>
              </w:rPr>
              <w:t>XIV-2785</w:t>
            </w:r>
          </w:fldSimple>
          <w:r>
            <w:rPr>
              <w:rFonts w:ascii="Times New Roman" w:eastAsia="MS Mincho" w:hAnsi="Times New Roman"/>
              <w:sz w:val="20"/>
              <w:iCs/>
            </w:rPr>
            <w:t>,
2024-06-20,
paskelbta TAR 2024-06-27, i. k. 2024-11779                </w:t>
          </w:r>
        </w:p>
        <w:p>
          <w:pPr>
            <w:jc w:val="both"/>
            <w:rPr>
              <w:rFonts w:ascii="Times New Roman" w:hAnsi="Times New Roman"/>
            </w:rPr>
          </w:pPr>
          <w:r>
            <w:rPr>
              <w:rFonts w:ascii="Times New Roman" w:hAnsi="Times New Roman"/>
              <w:sz w:val="20"/>
            </w:rPr>
            <w:t>Lietuvos Respublikos užimtumo įstatymo Nr. XII-2470 16, 30-1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8fcf303aa511efbdaea558de59136c">
            <w:r w:rsidRPr="00532B9F">
              <w:rPr>
                <w:rFonts w:ascii="Times New Roman" w:eastAsia="MS Mincho" w:hAnsi="Times New Roman"/>
                <w:sz w:val="20"/>
                <w:iCs/>
                <w:color w:val="0000FF" w:themeColor="hyperlink"/>
                <w:u w:val="single"/>
              </w:rPr>
              <w:t>XIV-2867</w:t>
            </w:r>
          </w:fldSimple>
          <w:r>
            <w:rPr>
              <w:rFonts w:ascii="Times New Roman" w:eastAsia="MS Mincho" w:hAnsi="Times New Roman"/>
              <w:sz w:val="20"/>
              <w:iCs/>
            </w:rPr>
            <w:t>,
2024-06-27,
paskelbta TAR 2024-07-05, i. k. 2024-12653                </w:t>
          </w:r>
        </w:p>
        <w:p>
          <w:pPr>
            <w:jc w:val="both"/>
            <w:rPr>
              <w:rFonts w:ascii="Times New Roman" w:hAnsi="Times New Roman"/>
            </w:rPr>
          </w:pPr>
          <w:r>
            <w:rPr>
              <w:rFonts w:ascii="Times New Roman" w:hAnsi="Times New Roman"/>
              <w:sz w:val="20"/>
            </w:rPr>
            <w:t>Lietuvos Respublikos užimtumo įstatymo Nr. XII-2470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32b92049a411efbdaea558de59136c">
            <w:r w:rsidRPr="00532B9F">
              <w:rPr>
                <w:rFonts w:ascii="Times New Roman" w:eastAsia="MS Mincho" w:hAnsi="Times New Roman"/>
                <w:sz w:val="20"/>
                <w:iCs/>
                <w:color w:val="0000FF" w:themeColor="hyperlink"/>
                <w:u w:val="single"/>
              </w:rPr>
              <w:t>XIV-2901</w:t>
            </w:r>
          </w:fldSimple>
          <w:r>
            <w:rPr>
              <w:rFonts w:ascii="Times New Roman" w:eastAsia="MS Mincho" w:hAnsi="Times New Roman"/>
              <w:sz w:val="20"/>
              <w:iCs/>
            </w:rPr>
            <w:t>,
2024-07-11,
paskelbta TAR 2024-07-24, i. k. 2024-13509                </w:t>
          </w:r>
        </w:p>
        <w:p>
          <w:pPr>
            <w:jc w:val="both"/>
            <w:rPr>
              <w:rFonts w:ascii="Times New Roman" w:hAnsi="Times New Roman"/>
            </w:rPr>
          </w:pPr>
          <w:r>
            <w:rPr>
              <w:rFonts w:ascii="Times New Roman" w:hAnsi="Times New Roman"/>
              <w:sz w:val="20"/>
            </w:rPr>
            <w:t>Lietuvos Respublikos užimtumo įstatymo Nr. XII-2470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20b48091f211efa605b9842742bf37">
            <w:r w:rsidRPr="00532B9F">
              <w:rPr>
                <w:rFonts w:ascii="Times New Roman" w:eastAsia="MS Mincho" w:hAnsi="Times New Roman"/>
                <w:sz w:val="20"/>
                <w:iCs/>
                <w:color w:val="0000FF" w:themeColor="hyperlink"/>
                <w:u w:val="single"/>
              </w:rPr>
              <w:t>XIV-3036</w:t>
            </w:r>
          </w:fldSimple>
          <w:r>
            <w:rPr>
              <w:rFonts w:ascii="Times New Roman" w:eastAsia="MS Mincho" w:hAnsi="Times New Roman"/>
              <w:sz w:val="20"/>
              <w:iCs/>
            </w:rPr>
            <w:t>,
2024-10-17,
paskelbta TAR 2024-10-24, i. k. 2024-18433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719de2a8b811ef90b5ee8931e5ce5e">
            <w:r w:rsidRPr="00532B9F">
              <w:rPr>
                <w:rFonts w:ascii="Times New Roman" w:eastAsia="MS Mincho" w:hAnsi="Times New Roman"/>
                <w:sz w:val="20"/>
                <w:iCs/>
                <w:color w:val="0000FF" w:themeColor="hyperlink"/>
                <w:u w:val="single"/>
              </w:rPr>
              <w:t>XIV-3158</w:t>
            </w:r>
          </w:fldSimple>
          <w:r>
            <w:rPr>
              <w:rFonts w:ascii="Times New Roman" w:eastAsia="MS Mincho" w:hAnsi="Times New Roman"/>
              <w:sz w:val="20"/>
              <w:iCs/>
            </w:rPr>
            <w:t>,
2024-11-12,
paskelbta TAR 2024-11-22, i. k. 2024-20393                </w:t>
          </w:r>
        </w:p>
        <w:p>
          <w:pPr>
            <w:jc w:val="both"/>
            <w:rPr>
              <w:rFonts w:ascii="Times New Roman" w:hAnsi="Times New Roman"/>
            </w:rPr>
          </w:pPr>
          <w:r>
            <w:rPr>
              <w:rFonts w:ascii="Times New Roman" w:hAnsi="Times New Roman"/>
              <w:sz w:val="20"/>
            </w:rPr>
            <w:t>Lietuvos Respublikos užimtumo įstatymo Nr. XII-2470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35e523bc611f0b070ee7f1ceefc75">
            <w:r w:rsidRPr="00532B9F">
              <w:rPr>
                <w:rFonts w:ascii="Times New Roman" w:eastAsia="MS Mincho" w:hAnsi="Times New Roman"/>
                <w:sz w:val="20"/>
                <w:iCs/>
                <w:color w:val="0000FF" w:themeColor="hyperlink"/>
                <w:u w:val="single"/>
              </w:rPr>
              <w:t>XV-219</w:t>
            </w:r>
          </w:fldSimple>
          <w:r>
            <w:rPr>
              <w:rFonts w:ascii="Times New Roman" w:eastAsia="MS Mincho" w:hAnsi="Times New Roman"/>
              <w:sz w:val="20"/>
              <w:iCs/>
            </w:rPr>
            <w:t>,
2025-05-22,
paskelbta TAR 2025-05-28, i. k. 2025-09419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įstatymo Nr. XIV-1106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4e2292502b11f180c9c618618421ed">
            <w:r w:rsidRPr="00532B9F">
              <w:rPr>
                <w:rFonts w:ascii="Times New Roman" w:eastAsia="MS Mincho" w:hAnsi="Times New Roman"/>
                <w:sz w:val="20"/>
                <w:iCs/>
                <w:color w:val="0000FF" w:themeColor="hyperlink"/>
                <w:u w:val="single"/>
              </w:rPr>
              <w:t>XV-891</w:t>
            </w:r>
          </w:fldSimple>
          <w:r>
            <w:rPr>
              <w:rFonts w:ascii="Times New Roman" w:eastAsia="MS Mincho" w:hAnsi="Times New Roman"/>
              <w:sz w:val="20"/>
              <w:iCs/>
            </w:rPr>
            <w:t>,
2026-05-12,
paskelbta TAR 2026-05-15, i. k. 2026-08221                </w:t>
          </w:r>
        </w:p>
        <w:p>
          <w:pPr>
            <w:jc w:val="both"/>
            <w:rPr>
              <w:rFonts w:ascii="Times New Roman" w:hAnsi="Times New Roman"/>
            </w:rPr>
          </w:pPr>
          <w:r>
            <w:rPr>
              <w:rFonts w:ascii="Times New Roman" w:hAnsi="Times New Roman"/>
              <w:sz w:val="20"/>
            </w:rPr>
            <w:t>Lietuvos Respublikos užimtumo įstatymo Nr. XII-2470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7091e2544411f180c9c618618421ed">
            <w:r w:rsidRPr="00532B9F">
              <w:rPr>
                <w:rFonts w:ascii="Times New Roman" w:eastAsia="MS Mincho" w:hAnsi="Times New Roman"/>
                <w:sz w:val="20"/>
                <w:iCs/>
                <w:color w:val="0000FF" w:themeColor="hyperlink"/>
                <w:u w:val="single"/>
              </w:rPr>
              <w:t>XV-955</w:t>
            </w:r>
          </w:fldSimple>
          <w:r>
            <w:rPr>
              <w:rFonts w:ascii="Times New Roman" w:eastAsia="MS Mincho" w:hAnsi="Times New Roman"/>
              <w:sz w:val="20"/>
              <w:iCs/>
            </w:rPr>
            <w:t>,
2026-05-14,
paskelbta TAR 2026-05-20, i. k. 2026-08457                </w:t>
          </w:r>
        </w:p>
        <w:p>
          <w:pPr>
            <w:jc w:val="both"/>
            <w:rPr>
              <w:rFonts w:ascii="Times New Roman" w:hAnsi="Times New Roman"/>
            </w:rPr>
          </w:pPr>
          <w:r>
            <w:rPr>
              <w:rFonts w:ascii="Times New Roman" w:hAnsi="Times New Roman"/>
              <w:sz w:val="20"/>
            </w:rPr>
            <w:t>Lietuvos Respublikos užimtumo įstatymo Nr. XII-2470 1, 24, 56, 57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d50632698511f1b53dfa020e517810">
            <w:r w:rsidRPr="00532B9F">
              <w:rPr>
                <w:rFonts w:ascii="Times New Roman" w:eastAsia="MS Mincho" w:hAnsi="Times New Roman"/>
                <w:sz w:val="20"/>
                <w:iCs/>
                <w:color w:val="0000FF" w:themeColor="hyperlink"/>
                <w:u w:val="single"/>
              </w:rPr>
              <w:t>XV-1012</w:t>
            </w:r>
          </w:fldSimple>
          <w:r>
            <w:rPr>
              <w:rFonts w:ascii="Times New Roman" w:eastAsia="MS Mincho" w:hAnsi="Times New Roman"/>
              <w:sz w:val="20"/>
              <w:iCs/>
            </w:rPr>
            <w:t>,
2026-06-11,
paskelbta TAR 2026-06-16, i. k. 2026-10395                </w:t>
          </w:r>
        </w:p>
        <w:p>
          <w:pPr>
            <w:jc w:val="both"/>
            <w:rPr>
              <w:rFonts w:ascii="Times New Roman" w:hAnsi="Times New Roman"/>
            </w:rPr>
          </w:pPr>
          <w:r>
            <w:rPr>
              <w:rFonts w:ascii="Times New Roman" w:hAnsi="Times New Roman"/>
              <w:sz w:val="20"/>
            </w:rPr>
            <w:t>Lietuvos Respublikos užimtumo įstatymo Nr. XII-2470 48-1 ir 48-2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EAEA4E"/>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51.xml"/>
  <Relationship Id="rId11" Type="http://schemas.openxmlformats.org/officeDocument/2006/relationships/header" Target="header152.xml"/>
  <Relationship Id="rId12" Type="http://schemas.openxmlformats.org/officeDocument/2006/relationships/footer" Target="footer151.xml"/>
  <Relationship Id="rId13" Type="http://schemas.openxmlformats.org/officeDocument/2006/relationships/footer" Target="footer152.xml"/>
  <Relationship Id="rId14" Type="http://schemas.openxmlformats.org/officeDocument/2006/relationships/header" Target="header153.xml"/>
  <Relationship Id="rId15" Type="http://schemas.openxmlformats.org/officeDocument/2006/relationships/footer" Target="footer153.xml"/>
  <Relationship Id="rId16" Type="http://schemas.openxmlformats.org/officeDocument/2006/relationships/hyperlink" TargetMode="External" Target="http://eur-lex.europa.eu/legal-content/LIT/TXT/?uri=CELEX:32024L1233&amp;locale=lt"/>
  <Relationship Id="rId17"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72a67f0c59744634946f332408e661c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2d77869b38c646ad8a266c49d93218fe"/>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16a4297a866d45f68781880bae78e700"/>
          <Part Type="strPunktas" Nr="4" Abbr="6 str. 1 d. 4 p." DocPartId="db0376b4b748425584bf5ea8e17d8982" PartId="4b7efb364484427da1ae2170364abb8b"/>
          <Part Type="strPunktas" Nr="5" Abbr="6 str. 1 d. 5 p." DocPartId="f2981b0411e44fae996e6343982558f9" PartId="08fd79d7811f40b0b6c726cc6e035394"/>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Type="straipsnis" Nr="12-2" Abbr="12-2 str." Title="Duomenų teikimas į Antstolių informacinę sistemą ir jų gavimas iš šios sistemos" DocPartId="61bf6033b43344e8b96f5eda3c4bce23" PartId="610f76ea58064645a02712f4bf9804d5">
          <Part Type="strDalis" Nr="1" Abbr="12-2 str. 1 d." DocPartId="bb3292fc21a945618037aff4872fb538" PartId="9271ab8964b2412aa76aa97a19168019"/>
          <Part Type="strDalis" Nr="2" Abbr="12-2 str. 2 d." DocPartId="2d0d678a677b43e2b033dbc67af74649" PartId="258d6a722ddf411e99a1f9646f5e8d02"/>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dbec429b37614a6eb7d8a53c9e018e45"/>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614af0f67c474244859670637545c6fa"/>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17dd14d789814aa2b4b4468a55454bdb"/>
            <Part Type="strPunktas" Nr="5" Abbr="5 p." DocPartId="4c926a80a6f847b08abbcbc2585fe86a" PartId="fe58c424c6a64f32b58d3c05013a8b08"/>
            <Part Type="strPunktas" Nr="6" Abbr="30-1 str. 5 d. 6 p." DocPartId="84964b3b63a647c0b9ae137142bc4e36" PartId="79143946e37d4e57a8723f46dc59cfa8"/>
            <Part Type="strPunktas" Nr="7" Abbr="7 p." DocPartId="b6c4be1fc3d5483f976d4c3e090e54bc" PartId="f8af2058b6a041688221ee4a5ef371b9"/>
          </Part>
          <Part Type="strDalis" Nr="6" Abbr="30-1 str. 6 d." DocPartId="5e030c21df50406093c08457e9f94377" PartId="b6f2d7f254e8430aa1f4a867ddd4b28f"/>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0b35b4faebf640c6934dc90f258e8029"/>
          <Part Type="strDalis" Nr="5" Abbr="48-1 str. 5 d." DocPartId="d1beb4477082487baa4ca86bdfef6464" PartId="9a403be157de411785b7b9e6c64ef971"/>
          <Part Type="strDalis" Nr="6" Abbr="48-1 str. 6 d." DocPartId="979626f23128494399876560ecfe41da" PartId="cc198cc8d8fb4ed3b3ccbc84bf444348"/>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dbdc3b4cd5934de38ab227b70e0e6066"/>
          <Part Type="strDalis" Nr="4" Abbr="48-2 str. 4 d." DocPartId="a4f6ed4f0e954ed59f29b3d5a10d7c08" PartId="f14e54e6f6804ed19c2a55a38399b904"/>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b1a76bc056934309bd67d4fab784233b"/>
          <Part Type="strPunktas" Nr="2" Abbr="56 str. 1 d. 2 p." DocPartId="3c1d5d2430624087ac6d968f95940f21" PartId="15ca611eebb84c99a163e04daf95d974"/>
        </Part>
        <Part Type="strDalis" Nr="2" Abbr="56 str. 2 d." DocPartId="2fbe0ccb41be4509983549f536f6046f" PartId="7e487fcbc90d426a98b31f2535922dfa"/>
        <Part Type="strDalis" Nr="3" Abbr="56 str. 3 d." DocPartId="1eeb82c38039440a840977bd394f191e" PartId="efeb29ad9fd64972b44564bd78eb5c4c"/>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371c46fe1bf34e74982f737113b2e97a"/>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fce0fe8d853643fab295e001e9f31e53"/>
          <Part Type="strPunktas" Nr="2" Abbr="57 str. 1 d. 2 p." DocPartId="17e6efcc1908437b9aeea7e32836d2da" PartId="5a4b3bef738f4ee58f0c8a784e7778e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656301e961bc4acb828452be44872cba"/>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2094ef5046674f5abf7a8d2f9e39029b"/>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fd21328686b845bc94715feceb308a9b"/>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954b9769f3044ac19d97a75016f98d46">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682e5ffad7e488a84ec6ba9c2e5a6b9"/>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Type="punktas" Nr="8" Abbr="8 p." DocPartId="9367a44397014236b6c3d15a74a2a3ab" PartId="87e9b25b97c649f9a73a63b5d5de40c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E0BF4E6-0F13-41F3-B807-7D43071C7A32}">
  <ds:schemaRefs>
    <ds:schemaRef ds:uri="http://schemas.openxmlformats.org/officeDocument/2006/bibliography"/>
  </ds:schemaRefs>
</ds:datastoreItem>
</file>

<file path=customXml/itemProps2.xml><?xml version="1.0" encoding="utf-8"?>
<ds:datastoreItem xmlns:ds="http://schemas.openxmlformats.org/officeDocument/2006/customXml" ds:itemID="{B4E9F54B-CDA9-4FEF-9C40-286BCB043D15}">
  <ds:schemaRefs>
    <ds:schemaRef ds:uri="http://lrs.lt/TAIS/DocParts"/>
  </ds:schemaRefs>
</ds:datastoreItem>
</file>

<file path=customXml/itemProps3.xml><?xml version="1.0" encoding="utf-8"?>
<ds:datastoreItem xmlns:ds="http://schemas.openxmlformats.org/officeDocument/2006/customXml" ds:itemID="{3C6BC598-FDC8-476B-8D86-577FCF342538}">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206</TotalTime>
  <Pages>79</Pages>
  <Words>133380</Words>
  <Characters>76027</Characters>
  <Application>Microsoft Office Word</Application>
  <DocSecurity>0</DocSecurity>
  <Lines>633</Lines>
  <Paragraphs>417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208990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GRUNDAITĖ Aistė</lastModifiedBy>
  <lastPrinted>2004-12-10T05:45:00Z</lastPrinted>
  <dcterms:modified xsi:type="dcterms:W3CDTF">2026-06-17T07:37:00Z</dcterms:modified>
  <revision>104</revision>
</coreProperties>
</file>