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2021-01-01 iki 2021-01-31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7053a652d1c24e86bb9fbb307785060c"/>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7053a652d1c24e86bb9fbb307785060c"/>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d97a2ead699349d1896a4cba9f5d7834"/>
                        <w:lock w:val="sdtLocked"/>
                        <w:richText/>
                      </w:sdtPr>
                      <w:sdtContent>
                        <w:p>
                          <w:pPr>
                            <w:spacing w:line="360" w:lineRule="atLeast"/>
                            <w:ind w:firstLine="720"/>
                            <w:jc w:val="both"/>
                            <w:rPr>
                              <w:szCs w:val="24"/>
                            </w:rPr>
                          </w:pPr>
                          <w:sdt>
                            <w:sdtPr>
                              <w:alias w:val="Numeris"/>
                              <w:tag w:val="nr_d97a2ead699349d1896a4cba9f5d7834"/>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126 straipsnio 1 dalyje, 146 straipsnio 1 dalyje, 152 straipsnio 1 dalyje, 153 straipsnio 1 dalyje, 154 straipsnio 1 dalyje, 155 straipsnio 1 dalyje, </w:t>
                          </w:r>
                          <w:r>
                            <w:rPr>
                              <w:szCs w:val="24"/>
                            </w:rPr>
                            <w:t xml:space="preserve">161 straipsnio 1 dalyje, 164 straipsnio 1 dalyje, 187 straipsnio 1 ir 2 dalyse, 189 straipsnio 1 dalyje, 192 straipsnio 1 dalyje, 205 straipsnio 1 dalyje, </w:t>
                          </w:r>
                          <w:r>
                            <w:rPr>
                              <w:color w:val="000000"/>
                              <w:szCs w:val="24"/>
                            </w:rPr>
                            <w:t xml:space="preserve">212 straipsnio 1 dalyje, </w:t>
                          </w:r>
                          <w:r>
                            <w:rPr>
                              <w:szCs w:val="24"/>
                            </w:rPr>
                            <w:t>213 straipsnio 1 dalyje,</w:t>
                          </w:r>
                          <w:r>
                            <w:rPr>
                              <w:b/>
                              <w:szCs w:val="24"/>
                            </w:rPr>
                            <w:t xml:space="preserve"> </w:t>
                          </w:r>
                          <w:r>
                            <w:rPr>
                              <w:color w:val="000000"/>
                              <w:szCs w:val="24"/>
                            </w:rPr>
                            <w:t>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321f11d22abe4f148d96d7542c73bde3"/>
                        <w:lock w:val="sdtLocked"/>
                        <w:richText/>
                      </w:sdtPr>
                      <w:sdtContent>
                        <w:p>
                          <w:pPr>
                            <w:spacing w:line="360" w:lineRule="auto"/>
                            <w:ind w:firstLine="720"/>
                            <w:jc w:val="both"/>
                            <w:rPr>
                              <w:szCs w:val="24"/>
                            </w:rPr>
                          </w:pPr>
                          <w:sdt>
                            <w:sdtPr>
                              <w:alias w:val="Numeris"/>
                              <w:tag w:val="nr_321f11d22abe4f148d96d7542c73bde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4129779c86cc4f7baf00c0aa1aeda867"/>
                        <w:lock w:val="sdtLocked"/>
                        <w:richText/>
                      </w:sdtPr>
                      <w:sdtContent>
                        <w:p>
                          <w:pPr>
                            <w:spacing w:line="360" w:lineRule="auto"/>
                            <w:ind w:firstLine="720"/>
                            <w:jc w:val="both"/>
                            <w:rPr>
                              <w:bCs/>
                              <w:szCs w:val="24"/>
                            </w:rPr>
                          </w:pPr>
                          <w:sdt>
                            <w:sdtPr>
                              <w:alias w:val="Numeris"/>
                              <w:tag w:val="nr_4129779c86cc4f7baf00c0aa1aeda867"/>
                              <w:lock w:val="sdtLocked"/>
                              <w:richText/>
                            </w:sdtPr>
                            <w:sdtContent>
                              <w:r>
                                <w:rPr>
                                  <w:kern w:val="2"/>
                                  <w:szCs w:val="24"/>
                                </w:rPr>
                                <w:t>6</w:t>
                              </w:r>
                            </w:sdtContent>
                          </w:sdt>
                          <w:r>
                            <w:rPr>
                              <w:kern w:val="2"/>
                              <w:szCs w:val="24"/>
                            </w:rPr>
                            <w:t>. Uniformuoto policijos, Karo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Karo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Karo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Karo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Karo policijos, Valstybės sienos apsaugos tarnybos prie Lietuvos Respublikos vidaus reikalų ministerijos, Lietuvos transporto saugos administracijos, savivaldybių institucijų arba jų įgaliotų įstaigų kelių transporto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f3d0b70260754bbfa27ae8a78b3c442e"/>
                            <w:lock w:val="sdtLocked"/>
                            <w:richText/>
                          </w:sdtPr>
                          <w:sdtContent>
                            <w:p>
                              <w:pPr>
                                <w:tabs>
                                  <w:tab w:val="left" w:pos="851"/>
                                </w:tabs>
                                <w:spacing w:line="400" w:lineRule="atLeast"/>
                                <w:ind w:firstLine="720"/>
                                <w:jc w:val="both"/>
                                <w:rPr>
                                  <w:szCs w:val="24"/>
                                </w:rPr>
                              </w:pPr>
                              <w:sdt>
                                <w:sdtPr>
                                  <w:alias w:val="Numeris"/>
                                  <w:tag w:val="nr_f3d0b70260754bbfa27ae8a78b3c442e"/>
                                  <w:lock w:val="sdtLocked"/>
                                  <w:richText/>
                                </w:sdtPr>
                                <w:sdtContent>
                                  <w:r>
                                    <w:rPr>
                                      <w:szCs w:val="24"/>
                                    </w:rPr>
                                    <w:t>14</w:t>
                                  </w:r>
                                </w:sdtContent>
                              </w:sdt>
                              <w:r>
                                <w:rPr>
                                  <w:szCs w:val="24"/>
                                </w:rPr>
                                <w:t>) Valstybinės energetikos reguliavimo tarybos – dėl šio kodekso 188</w:t>
                              </w:r>
                              <w:r>
                                <w:rPr>
                                  <w:szCs w:val="24"/>
                                  <w:vertAlign w:val="superscript"/>
                                </w:rPr>
                                <w:t>2</w:t>
                              </w:r>
                              <w:r>
                                <w:rPr>
                                  <w:szCs w:val="24"/>
                                </w:rPr>
                                <w:t xml:space="preserve"> straipsnyje,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cdbcf45451aa489cb53eb67ea3e86dcb"/>
                            <w:lock w:val="sdtLocked"/>
                            <w:richText/>
                          </w:sdtPr>
                          <w:sdtContent>
                            <w:p>
                              <w:pPr>
                                <w:spacing w:line="360" w:lineRule="auto"/>
                                <w:ind w:firstLine="720"/>
                                <w:jc w:val="both"/>
                                <w:rPr>
                                  <w:szCs w:val="24"/>
                                </w:rPr>
                              </w:pPr>
                              <w:sdt>
                                <w:sdtPr>
                                  <w:alias w:val="Numeris"/>
                                  <w:tag w:val="nr_cdbcf45451aa489cb53eb67ea3e86dcb"/>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xml:space="preserve">, 309, 310, 311, 312, 313, 315, 316, 317, 318, 346 straipsniuose, 369 straipsnio 13, 14, 17, 18, 19, 20, 21, 22 dalyse, 426 straipsnio 4 dalyje, 431 straipsnio 1, 2 dalyse, 505, 507, 546 straipsniuose numatytų administracinių nusižengimų, </w:t>
                              </w:r>
                              <w:r>
                                <w:rPr>
                                  <w:bCs/>
                                  <w:color w:val="000000"/>
                                  <w:szCs w:val="24"/>
                                </w:rPr>
                                <w:t>o aplinkos apsaugos valstybinės kontrolės institucijų aplinkos apsaugos valstybinės kontrolės pareigūnai – ir dėl šio kodekso 491 straipsnyje numatytų administracinių nusižengimų</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7d21df822024f31b9db9bbf5a01d535"/>
                            <w:lock w:val="sdtLocked"/>
                            <w:richText/>
                          </w:sdtPr>
                          <w:sdtContent>
                            <w:p>
                              <w:pPr>
                                <w:spacing w:line="360" w:lineRule="auto"/>
                                <w:ind w:firstLine="720"/>
                                <w:jc w:val="both"/>
                                <w:rPr>
                                  <w:szCs w:val="24"/>
                                </w:rPr>
                              </w:pPr>
                              <w:sdt>
                                <w:sdtPr>
                                  <w:alias w:val="Numeris"/>
                                  <w:tag w:val="nr_17d21df822024f31b9db9bbf5a01d535"/>
                                  <w:lock w:val="sdtLocked"/>
                                  <w:richText/>
                                </w:sdtPr>
                                <w:sdtContent>
                                  <w:r>
                                    <w:rPr>
                                      <w:color w:val="000000"/>
                                      <w:szCs w:val="24"/>
                                      <w:bdr w:val="none" w:sz="0" w:space="0" w:color="auto" w:frame="1"/>
                                    </w:rPr>
                                    <w:t>37</w:t>
                                  </w:r>
                                </w:sdtContent>
                              </w:sdt>
                              <w:r>
                                <w:rPr>
                                  <w:color w:val="000000"/>
                                  <w:szCs w:val="24"/>
                                  <w:bdr w:val="none" w:sz="0" w:space="0" w:color="auto" w:frame="1"/>
                                </w:rPr>
                                <w:t>) Lietuvos geologijos tarnybos prie Aplinkos ministerijos – dėl šio kodekso 239, 253, 256,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0bed818bbbd4e2c92d5590cfb8899c8"/>
                            <w:lock w:val="sdtLocked"/>
                            <w:richText/>
                          </w:sdtPr>
                          <w:sdtContent>
                            <w:p>
                              <w:pPr>
                                <w:spacing w:line="360" w:lineRule="auto"/>
                                <w:ind w:firstLine="720"/>
                                <w:jc w:val="both"/>
                                <w:rPr>
                                  <w:szCs w:val="24"/>
                                </w:rPr>
                              </w:pPr>
                              <w:sdt>
                                <w:sdtPr>
                                  <w:alias w:val="Numeris"/>
                                  <w:tag w:val="nr_b0bed818bbbd4e2c92d5590cfb8899c8"/>
                                  <w:lock w:val="sdtLocked"/>
                                  <w:richText/>
                                </w:sdtPr>
                                <w:sdtContent>
                                  <w:r>
                                    <w:rPr>
                                      <w:color w:val="000000"/>
                                      <w:szCs w:val="24"/>
                                    </w:rPr>
                                    <w:t>40</w:t>
                                  </w:r>
                                </w:sdtContent>
                              </w:sdt>
                              <w:r>
                                <w:rPr>
                                  <w:color w:val="000000"/>
                                  <w:szCs w:val="24"/>
                                </w:rPr>
                                <w:t xml:space="preserve">) Lietuvos Respublikos muitinės – dėl šio kodekso 47 straipsnio 3 dalyje, 49 straipsnio 5 dalyje, 63 straipsnio 6 dalyje, 64 straipsnyje, 65 straipsnio 3 dalyje, 66 straipsnio 5 dalyje, 69, 121, 122, 125 straipsniuose, 140 straipsnio 1, 2 dalyse, 141, </w:t>
                              </w:r>
                              <w:r>
                                <w:rPr>
                                  <w:szCs w:val="24"/>
                                  <w:lang w:eastAsia="lt-LT"/>
                                </w:rPr>
                                <w:t>141</w:t>
                              </w:r>
                              <w:r>
                                <w:rPr>
                                  <w:szCs w:val="24"/>
                                  <w:vertAlign w:val="superscript"/>
                                  <w:lang w:eastAsia="lt-L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bfed26b0acfc443988b256da46bcad9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fed26b0acfc443988b256da46bcad92"/>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178, 179, 180, 187, 188, 188</w:t>
                              </w:r>
                              <w:r>
                                <w:rPr>
                                  <w:szCs w:val="24"/>
                                  <w:vertAlign w:val="superscript"/>
                                </w:rPr>
                                <w:t>1</w:t>
                              </w:r>
                              <w:r>
                                <w:rPr>
                                  <w:szCs w:val="24"/>
                                </w:rPr>
                                <w:t>, 189, 190, 191, 192, 194, 198</w:t>
                              </w:r>
                              <w:r>
                                <w:rPr>
                                  <w:szCs w:val="24"/>
                                  <w:vertAlign w:val="superscript"/>
                                </w:rPr>
                                <w:t>1</w:t>
                              </w:r>
                              <w:r>
                                <w:rPr>
                                  <w:szCs w:val="24"/>
                                </w:rPr>
                                <w:t>, 205, 207 straipsniuose, 209 straipsnio 1, 2, 3, 4, 5, 6, 7, 8 dalyse, 214, 224, 449, 449</w:t>
                              </w:r>
                              <w:r>
                                <w:rPr>
                                  <w:szCs w:val="24"/>
                                  <w:vertAlign w:val="superscript"/>
                                </w:rPr>
                                <w:t>1</w:t>
                              </w:r>
                              <w:r>
                                <w:rPr>
                                  <w:szCs w:val="24"/>
                                </w:rPr>
                                <w:t xml:space="preserve">, 450,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9ee96db88794728adeb042a96ea9600"/>
                            <w:lock w:val="sdtLocked"/>
                            <w:richText/>
                          </w:sdtPr>
                          <w:sdtContent>
                            <w:p>
                              <w:pPr>
                                <w:tabs>
                                  <w:tab w:val="left" w:pos="851"/>
                                </w:tabs>
                                <w:spacing w:line="400" w:lineRule="atLeast"/>
                                <w:ind w:firstLine="720"/>
                                <w:jc w:val="both"/>
                                <w:rPr>
                                  <w:szCs w:val="24"/>
                                </w:rPr>
                              </w:pPr>
                              <w:sdt>
                                <w:sdtPr>
                                  <w:alias w:val="Numeris"/>
                                  <w:tag w:val="nr_f9ee96db88794728adeb042a96ea9600"/>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100-3 p."/>
            <w:tag w:val="part_056ad62e8f9a4a488f6cbd9ac5ff4cf5"/>
            <w:lock w:val="sdtLocked"/>
            <w:richText/>
          </w:sdtPr>
          <w:sdtContent>
            <w:p>
              <w:pPr>
                <w:spacing w:line="360" w:lineRule="auto"/>
                <w:ind w:firstLine="720"/>
                <w:jc w:val="both"/>
              </w:pPr>
              <w:sdt>
                <w:sdtPr>
                  <w:alias w:val="Numeris"/>
                  <w:tag w:val="nr_056ad62e8f9a4a488f6cbd9ac5ff4cf5"/>
                  <w:lock w:val="sdtLocked"/>
                  <w:richText/>
                </w:sdtPr>
                <w:sdtContent>
                  <w:r>
                    <w:rPr>
                      <w:szCs w:val="24"/>
                      <w:lang w:eastAsia="lt-LT"/>
                    </w:rPr>
                    <w:t>100</w:t>
                  </w:r>
                  <w:r>
                    <w:rPr>
                      <w:szCs w:val="24"/>
                      <w:vertAlign w:val="superscript"/>
                      <w:lang w:eastAsia="lt-LT"/>
                    </w:rPr>
                    <w:t>3</w:t>
                  </w:r>
                </w:sdtContent>
              </w:sdt>
              <w:r>
                <w:rPr>
                  <w:szCs w:val="24"/>
                  <w:lang w:eastAsia="lt-LT"/>
                </w:rPr>
                <w:t xml:space="preserve">. </w:t>
              </w:r>
              <w:r>
                <w:rPr>
                  <w:szCs w:val="24"/>
                  <w:shd w:val="clear" w:color="auto" w:fill="FFFFFF"/>
                </w:rPr>
                <w:t xml:space="preserve">2017 m. gegužės 17 d. </w:t>
              </w:r>
              <w:r>
                <w:rPr>
                  <w:bCs/>
                  <w:szCs w:val="24"/>
                </w:rPr>
                <w:t>Europos Parlamento ir Tarybos reglamentas (ES) 2017/821, kuriuo nustatomos alavo, tantalo, volframo, jų rūdų ir aukso iš konfliktinių ir didelės rizikos zonų Sąjungos importuotojų prievolės dėl išsamaus tiekimo grandinės patikrinimo (OL 2017 L 130,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BatangChe">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276</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61.xml"/>
  <Relationship Id="rId12" Type="http://schemas.openxmlformats.org/officeDocument/2006/relationships/header" Target="header362.xml"/>
  <Relationship Id="rId13" Type="http://schemas.openxmlformats.org/officeDocument/2006/relationships/footer" Target="footer361.xml"/>
  <Relationship Id="rId14" Type="http://schemas.openxmlformats.org/officeDocument/2006/relationships/footer" Target="footer362.xml"/>
  <Relationship Id="rId15" Type="http://schemas.openxmlformats.org/officeDocument/2006/relationships/header" Target="header363.xml"/>
  <Relationship Id="rId16" Type="http://schemas.openxmlformats.org/officeDocument/2006/relationships/footer" Target="footer36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7053a652d1c24e86bb9fbb307785060c">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d97a2ead699349d1896a4cba9f5d783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9a28ddfbb80743dbad3add25dd1aeaa4"/>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321f11d22abe4f148d96d7542c73bde3"/>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0102b7e50eb84356b1b82992e75163a3"/>
          <Part Type="strDalis" Nr="6" Abbr="426 str. 6 d." DocPartId="d926d4da636342ac8e762b4e341c9201" PartId="4129779c86cc4f7baf00c0aa1aeda867"/>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f3d0b70260754bbfa27ae8a78b3c442e"/>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cdbcf45451aa489cb53eb67ea3e86dcb"/>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c33a1303814149adbe2af8f6fead4be9"/>
            <Part Type="strPunktas" Nr="35" Abbr="589 str. 1 d. 35 p." DocPartId="91453a70a5c7477a972d74562faaa75e" PartId="e21d979e25e14e6fab75361b707518a2"/>
            <Part Type="strPunktas" Nr="36" Abbr="589 str. 1 d. 36 p." DocPartId="b9885c356ef844788b6fe133e9d2ebca" PartId="579b3c96c1e44c4abdbdde2e3df990d9"/>
            <Part Type="strPunktas" Nr="37" Abbr="589 str. 1 d. 37 p." DocPartId="fcb4f09f31044fc082698403a9fb5fe5" PartId="17d21df822024f31b9db9bbf5a01d535"/>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b0bed818bbbd4e2c92d5590cfb8899c8"/>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bfed26b0acfc443988b256da46bcad92"/>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9ee96db88794728adeb042a96ea9600"/>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0-3" Abbr="100-3 p." DocPartId="ec1fb7c576da409ba2fe585c537a204a" PartId="056ad62e8f9a4a488f6cbd9ac5ff4cf5"/>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4" Abbr="104 p." DocPartId="178dab2b9eec440e8275aee604ae6bc1" PartId="d6ed0ebceee14a40b6908dcd550e1b3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F257400-FE36-4B4B-804B-1E2BBE19485E}">
  <ds:schemaRefs>
    <ds:schemaRef ds:uri="http://lrs.lt/TAIS/DocParts"/>
  </ds:schemaRefs>
</ds:datastoreItem>
</file>

<file path=customXml/itemProps3.xml><?xml version="1.0" encoding="utf-8"?>
<ds:datastoreItem xmlns:ds="http://schemas.openxmlformats.org/officeDocument/2006/customXml" ds:itemID="{3ED71478-D8BD-49ED-93D8-81B5FE361CA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456</TotalTime>
  <Pages>414</Pages>
  <Words>124703</Words>
  <Characters>902319</Characters>
  <Application>Microsoft Office Word</Application>
  <DocSecurity>0</DocSecurity>
  <Lines>7519</Lines>
  <Paragraphs>2049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1024973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2020-11-27T14:12:00Z</dcterms:modified>
  <revision>271</revision>
</coreProperties>
</file>