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59.xml" ContentType="application/vnd.openxmlformats-officedocument.wordprocessingml.footer+xml"/>
  <Override PartName="/word/footer116.xml" ContentType="application/vnd.openxmlformats-officedocument.wordprocessingml.footer+xml"/>
  <Override PartName="/word/footer1160.xml" ContentType="application/vnd.openxmlformats-officedocument.wordprocessingml.footer+xml"/>
  <Override PartName="/word/footer1161.xml" ContentType="application/vnd.openxmlformats-officedocument.wordprocessingml.footer+xml"/>
  <Override PartName="/word/footer1162.xml" ContentType="application/vnd.openxmlformats-officedocument.wordprocessingml.footer+xml"/>
  <Override PartName="/word/footer1163.xml" ContentType="application/vnd.openxmlformats-officedocument.wordprocessingml.footer+xml"/>
  <Override PartName="/word/footer1164.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59.xml" ContentType="application/vnd.openxmlformats-officedocument.wordprocessingml.header+xml"/>
  <Override PartName="/word/header116.xml" ContentType="application/vnd.openxmlformats-officedocument.wordprocessingml.header+xml"/>
  <Override PartName="/word/header1160.xml" ContentType="application/vnd.openxmlformats-officedocument.wordprocessingml.header+xml"/>
  <Override PartName="/word/header1161.xml" ContentType="application/vnd.openxmlformats-officedocument.wordprocessingml.header+xml"/>
  <Override PartName="/word/header1162.xml" ContentType="application/vnd.openxmlformats-officedocument.wordprocessingml.header+xml"/>
  <Override PartName="/word/header1163.xml" ContentType="application/vnd.openxmlformats-officedocument.wordprocessingml.header+xml"/>
  <Override PartName="/word/header1164.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2026-08-01 iki 2026-10-31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32f25c6f5574d168f3d12d4d2039b27"/>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32f25c6f5574d168f3d12d4d2039b2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119ad5cb73c8492da5db1481bb2b9edc"/>
                        <w:lock w:val="sdtLocked"/>
                        <w:richText/>
                      </w:sdtPr>
                      <w:sdtContent>
                        <w:p>
                          <w:pPr>
                            <w:spacing w:line="360" w:lineRule="auto"/>
                            <w:ind w:firstLine="720"/>
                            <w:jc w:val="both"/>
                            <w:textAlignment w:val="baseline"/>
                            <w:rPr>
                              <w:szCs w:val="24"/>
                            </w:rPr>
                          </w:pPr>
                          <w:sdt>
                            <w:sdtPr>
                              <w:alias w:val="Numeris"/>
                              <w:tag w:val="nr_119ad5cb73c8492da5db1481bb2b9edc"/>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w:t>
                          </w:r>
                          <w:r>
                            <w:rPr>
                              <w:bCs/>
                              <w:color w:val="000000"/>
                              <w:szCs w:val="24"/>
                            </w:rPr>
                            <w:t>246 straipsnio 1 dalyje,</w:t>
                          </w:r>
                          <w:r>
                            <w:rPr>
                              <w:color w:val="000000"/>
                              <w:szCs w:val="24"/>
                            </w:rPr>
                            <w:t xml:space="preserv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9370d45cffe3442594acf2f565ee277d"/>
                    <w:lock w:val="sdtLocked"/>
                    <w:richText/>
                  </w:sdtPr>
                  <w:sdtContent>
                    <w:p>
                      <w:pPr>
                        <w:spacing w:line="360" w:lineRule="auto"/>
                        <w:ind w:left="2268" w:hanging="1548"/>
                        <w:jc w:val="both"/>
                        <w:rPr>
                          <w:szCs w:val="24"/>
                        </w:rPr>
                      </w:pPr>
                      <w:sdt>
                        <w:sdtPr>
                          <w:alias w:val="Numeris"/>
                          <w:tag w:val="nr_9370d45cffe3442594acf2f565ee277d"/>
                          <w:lock w:val="sdtLocked"/>
                          <w:richText/>
                        </w:sdtPr>
                        <w:sdtContent>
                          <w:r>
                            <w:rPr>
                              <w:b/>
                              <w:szCs w:val="24"/>
                            </w:rPr>
                            <w:t>99</w:t>
                          </w:r>
                        </w:sdtContent>
                      </w:sdt>
                      <w:r>
                        <w:rPr>
                          <w:b/>
                          <w:szCs w:val="24"/>
                        </w:rPr>
                        <w:t xml:space="preserve"> straipsnis. </w:t>
                      </w:r>
                      <w:sdt>
                        <w:sdtPr>
                          <w:alias w:val="Pavadinimas"/>
                          <w:tag w:val="title_9370d45cffe3442594acf2f565ee277d"/>
                          <w:lock w:val="sdtLocked"/>
                          <w:richText/>
                        </w:sdtPr>
                        <w:sdtContent>
                          <w:r>
                            <w:rPr>
                              <w:b/>
                              <w:szCs w:val="24"/>
                            </w:rPr>
                            <w:t xml:space="preserve">Darbo užmokesčio </w:t>
                          </w:r>
                          <w:r>
                            <w:rPr>
                              <w:b/>
                              <w:bCs/>
                              <w:szCs w:val="24"/>
                            </w:rPr>
                            <w:t>nustatymo</w:t>
                          </w:r>
                          <w:r>
                            <w:rPr>
                              <w:b/>
                              <w:szCs w:val="24"/>
                            </w:rPr>
                            <w:t>, apskaičiavimo ir mokėjimo tvarkos pažeidimas</w:t>
                          </w:r>
                          <w:r>
                            <w:rPr>
                              <w:szCs w:val="24"/>
                            </w:rPr>
                            <w:t xml:space="preserve"> </w:t>
                          </w:r>
                        </w:sdtContent>
                      </w:sdt>
                    </w:p>
                    <w:sdt>
                      <w:sdtPr>
                        <w:alias w:val="99 str. 1 d."/>
                        <w:tag w:val="part_1199dd89825d49ecb50445f29944fa64"/>
                        <w:lock w:val="sdtLocked"/>
                        <w:richText/>
                      </w:sdtPr>
                      <w:sdtContent>
                        <w:p>
                          <w:pPr>
                            <w:spacing w:line="360" w:lineRule="auto"/>
                            <w:ind w:firstLine="720"/>
                            <w:jc w:val="both"/>
                            <w:rPr>
                              <w:szCs w:val="24"/>
                              <w:lang w:eastAsia="lt-LT"/>
                            </w:rPr>
                          </w:pPr>
                          <w:sdt>
                            <w:sdtPr>
                              <w:alias w:val="Numeris"/>
                              <w:tag w:val="nr_1199dd89825d49ecb50445f29944fa64"/>
                              <w:lock w:val="sdtLocked"/>
                              <w:richText/>
                            </w:sdtPr>
                            <w:sdtContent>
                              <w:r>
                                <w:rPr>
                                  <w:szCs w:val="24"/>
                                  <w:lang w:eastAsia="lt-LT"/>
                                </w:rPr>
                                <w:t>1</w:t>
                              </w:r>
                            </w:sdtContent>
                          </w:sdt>
                          <w:r>
                            <w:rPr>
                              <w:szCs w:val="24"/>
                              <w:lang w:eastAsia="lt-LT"/>
                            </w:rPr>
                            <w:t xml:space="preserve">. Lietuvos Respublikos darbo kodekse, Lietuvos Respublikos valstybinio socialinio draudimo įstatyme, kolektyvinėje arba darbo sutartyje, </w:t>
                          </w:r>
                          <w:r>
                            <w:rPr>
                              <w:bCs/>
                              <w:szCs w:val="24"/>
                              <w:lang w:eastAsia="lt-LT"/>
                            </w:rPr>
                            <w:t>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w:t>
                          </w:r>
                        </w:p>
                        <w:p>
                          <w:pPr>
                            <w:spacing w:line="360" w:lineRule="auto"/>
                            <w:ind w:firstLine="720"/>
                            <w:jc w:val="both"/>
                            <w:rPr>
                              <w:szCs w:val="24"/>
                              <w:lang w:eastAsia="lt-LT"/>
                            </w:rPr>
                          </w:pPr>
                          <w:r>
                            <w:rPr>
                              <w:szCs w:val="24"/>
                              <w:lang w:eastAsia="lt-LT"/>
                            </w:rPr>
                            <w:t xml:space="preserve">užtraukia baudą darbdaviams ar kitiems atsakingiems asmenims nuo </w:t>
                          </w:r>
                          <w:r>
                            <w:rPr>
                              <w:bCs/>
                              <w:szCs w:val="24"/>
                              <w:lang w:eastAsia="lt-LT"/>
                            </w:rPr>
                            <w:t>penkių</w:t>
                          </w:r>
                          <w:r>
                            <w:rPr>
                              <w:szCs w:val="24"/>
                              <w:lang w:eastAsia="lt-LT"/>
                            </w:rPr>
                            <w:t xml:space="preserve"> šimtų iki vieno tūkstančio keturių šimtų penkiasdešimt eurų.</w:t>
                          </w:r>
                        </w:p>
                      </w:sdtContent>
                    </w:sdt>
                    <w:sdt>
                      <w:sdtPr>
                        <w:alias w:val="99 str. 2 d."/>
                        <w:tag w:val="part_d0162ae26e5042e5b446981d45fd2ef1"/>
                        <w:lock w:val="sdtLocked"/>
                        <w:richText/>
                      </w:sdtPr>
                      <w:sdtContent>
                        <w:p>
                          <w:pPr>
                            <w:spacing w:line="360" w:lineRule="auto"/>
                            <w:ind w:firstLine="720"/>
                            <w:jc w:val="both"/>
                            <w:rPr>
                              <w:szCs w:val="24"/>
                              <w:lang w:eastAsia="lt-LT"/>
                            </w:rPr>
                          </w:pPr>
                          <w:sdt>
                            <w:sdtPr>
                              <w:alias w:val="Numeris"/>
                              <w:tag w:val="nr_d0162ae26e5042e5b446981d45fd2e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vieno tūkstančio keturių šimtų </w:t>
                          </w:r>
                          <w:r>
                            <w:rPr>
                              <w:bCs/>
                              <w:szCs w:val="24"/>
                              <w:lang w:eastAsia="lt-LT"/>
                            </w:rPr>
                            <w:t>penkiasdešimt</w:t>
                          </w:r>
                          <w:r>
                            <w:rPr>
                              <w:szCs w:val="24"/>
                              <w:lang w:eastAsia="lt-LT"/>
                            </w:rPr>
                            <w:t xml:space="preserve"> iki trijų tūkstančių eurų.</w:t>
                          </w:r>
                        </w:p>
                      </w:sdtContent>
                    </w:sdt>
                    <w:sdt>
                      <w:sdtPr>
                        <w:alias w:val="99 str. 3 d."/>
                        <w:tag w:val="part_47e66ff0eb9c403182c3140da0ec5286"/>
                        <w:lock w:val="sdtLocked"/>
                        <w:richText/>
                      </w:sdtPr>
                      <w:sdtContent>
                        <w:p>
                          <w:pPr>
                            <w:spacing w:line="360" w:lineRule="auto"/>
                            <w:ind w:firstLine="720"/>
                            <w:jc w:val="both"/>
                            <w:rPr>
                              <w:szCs w:val="24"/>
                              <w:lang w:eastAsia="lt-LT"/>
                            </w:rPr>
                          </w:pPr>
                          <w:sdt>
                            <w:sdtPr>
                              <w:alias w:val="Numeris"/>
                              <w:tag w:val="nr_47e66ff0eb9c403182c3140da0ec5286"/>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w:t>
                          </w:r>
                          <w:r>
                            <w:rPr>
                              <w:bCs/>
                              <w:szCs w:val="24"/>
                              <w:lang w:eastAsia="lt-LT"/>
                            </w:rPr>
                            <w:t>, 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lang w:eastAsia="lt-LT"/>
                            </w:rPr>
                          </w:pPr>
                          <w:r>
                            <w:rPr>
                              <w:szCs w:val="24"/>
                              <w:lang w:eastAsia="lt-LT"/>
                            </w:rP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a5a7ea9e3ccc41b8b2fbde3027c64df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112</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3e511dc0c3d34f5e8c97a2f8336a01e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f480a0ba3f9246b48dc7ee896e21af7a"/>
                        <w:lock w:val="sdtLocked"/>
                        <w:richText/>
                      </w:sdtPr>
                      <w:sdtContent>
                        <w:p>
                          <w:pPr>
                            <w:spacing w:line="360" w:lineRule="auto"/>
                            <w:ind w:firstLine="720"/>
                            <w:jc w:val="both"/>
                            <w:rPr>
                              <w:szCs w:val="24"/>
                            </w:rPr>
                          </w:pPr>
                          <w:sdt>
                            <w:sdtPr>
                              <w:alias w:val="Numeris"/>
                              <w:tag w:val="nr_f480a0ba3f9246b48dc7ee896e21af7a"/>
                              <w:lock w:val="sdtLocked"/>
                              <w:richText/>
                            </w:sdtPr>
                            <w:sdtContent>
                              <w:r>
                                <w:rPr>
                                  <w:szCs w:val="24"/>
                                </w:rPr>
                                <w:t>1</w:t>
                              </w:r>
                            </w:sdtContent>
                          </w:sdt>
                          <w:r>
                            <w:rPr>
                              <w:szCs w:val="24"/>
                            </w:rPr>
                            <w:t>. Kreditorių teisių pažeidimas (kreditorių reikalavimų tenkinimo eilės ir tvarkos pažeidimas, kreditorių susirinkimų nesušaukimas įstatymuose numatytais atvejais)</w:t>
                          </w:r>
                        </w:p>
                        <w:p>
                          <w:pPr>
                            <w:spacing w:line="360" w:lineRule="auto"/>
                            <w:ind w:firstLine="720"/>
                            <w:jc w:val="both"/>
                            <w:rPr>
                              <w:bCs/>
                              <w:szCs w:val="24"/>
                            </w:rPr>
                          </w:pPr>
                          <w:r>
                            <w:rPr>
                              <w:szCs w:val="24"/>
                            </w:rPr>
                            <w:t>užtraukia</w:t>
                          </w:r>
                          <w:r>
                            <w:rPr>
                              <w:bCs/>
                              <w:szCs w:val="24"/>
                            </w:rPr>
                            <w:t xml:space="preserve"> baudą juridinių asmenų vadovams ar kitiems atsakingiems asmenims</w:t>
                          </w:r>
                          <w:r>
                            <w:rPr>
                              <w:b/>
                              <w:bCs/>
                              <w:szCs w:val="24"/>
                            </w:rPr>
                            <w:t xml:space="preserve"> </w:t>
                          </w:r>
                          <w:r>
                            <w:rPr>
                              <w:bCs/>
                              <w:szCs w:val="24"/>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13d80665c11f1b53dfa020e517810">
                            <w:r w:rsidRPr="00532B9F">
                              <w:rPr>
                                <w:rFonts w:ascii="Times New Roman" w:eastAsia="MS Mincho" w:hAnsi="Times New Roman"/>
                                <w:sz w:val="20"/>
                                <w:i/>
                                <w:iCs/>
                                <w:color w:val="0000FF" w:themeColor="hyperlink"/>
                                <w:u w:val="single"/>
                              </w:rPr>
                              <w:t>XV-988</w:t>
                            </w:r>
                          </w:fldSimple>
                          <w:r>
                            <w:rPr>
                              <w:rFonts w:ascii="Times New Roman" w:eastAsia="MS Mincho" w:hAnsi="Times New Roman"/>
                              <w:sz w:val="20"/>
                              <w:i/>
                              <w:iCs/>
                            </w:rPr>
                            <w:t>,
2026-06-04,
paskelbta TAR 2026-06-12, i. k. 2026-10325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7d23507cc400485788861c589686c0fe"/>
                    <w:lock w:val="sdtLocked"/>
                    <w:richText/>
                  </w:sdtPr>
                  <w:sdtContent>
                    <w:p>
                      <w:pPr>
                        <w:spacing w:line="360" w:lineRule="auto"/>
                        <w:ind w:left="2552" w:hanging="1832"/>
                        <w:jc w:val="both"/>
                        <w:rPr>
                          <w:color w:val="000000"/>
                          <w:szCs w:val="24"/>
                          <w:lang w:eastAsia="ko-KR"/>
                        </w:rPr>
                      </w:pPr>
                      <w:sdt>
                        <w:sdtPr>
                          <w:alias w:val="Numeris"/>
                          <w:tag w:val="nr_7d23507cc400485788861c589686c0fe"/>
                          <w:lock w:val="sdtLocked"/>
                          <w:richText/>
                        </w:sdtPr>
                        <w:sdtContent>
                          <w:r>
                            <w:rPr>
                              <w:b/>
                              <w:color w:val="000000"/>
                              <w:szCs w:val="24"/>
                              <w:lang w:eastAsia="ko-KR"/>
                            </w:rPr>
                            <w:t>195</w:t>
                          </w:r>
                        </w:sdtContent>
                      </w:sdt>
                      <w:r>
                        <w:rPr>
                          <w:b/>
                          <w:color w:val="000000"/>
                          <w:szCs w:val="24"/>
                          <w:lang w:eastAsia="ko-KR"/>
                        </w:rPr>
                        <w:t xml:space="preserve"> straipsnis. </w:t>
                      </w:r>
                      <w:sdt>
                        <w:sdtPr>
                          <w:alias w:val="Pavadinimas"/>
                          <w:tag w:val="title_7d23507cc400485788861c589686c0fe"/>
                          <w:lock w:val="sdtLocked"/>
                          <w:richText/>
                        </w:sdtPr>
                        <w:sdtContent>
                          <w:r>
                            <w:rPr>
                              <w:b/>
                              <w:color w:val="000000"/>
                              <w:szCs w:val="24"/>
                              <w:lang w:eastAsia="ko-KR"/>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acad09f9b4054c5ea7bfaece465a1bcc"/>
                        <w:lock w:val="sdtLocked"/>
                        <w:richText/>
                      </w:sdtPr>
                      <w:sdtContent>
                        <w:p>
                          <w:pPr>
                            <w:tabs>
                              <w:tab w:val="left" w:pos="993"/>
                            </w:tabs>
                            <w:spacing w:line="360" w:lineRule="auto"/>
                            <w:ind w:firstLine="720"/>
                            <w:jc w:val="both"/>
                            <w:rPr>
                              <w:color w:val="000000"/>
                              <w:szCs w:val="24"/>
                              <w:lang w:eastAsia="ko-KR"/>
                            </w:rPr>
                          </w:pPr>
                          <w:sdt>
                            <w:sdtPr>
                              <w:alias w:val="Numeris"/>
                              <w:tag w:val="nr_acad09f9b4054c5ea7bfaece465a1bcc"/>
                              <w:lock w:val="sdtLocked"/>
                              <w:richText/>
                            </w:sdtPr>
                            <w:sdtContent>
                              <w:r>
                                <w:rPr>
                                  <w:color w:val="000000"/>
                                  <w:szCs w:val="24"/>
                                  <w:lang w:eastAsia="ko-KR"/>
                                </w:rPr>
                                <w:t>1</w:t>
                              </w:r>
                            </w:sdtContent>
                          </w:sdt>
                          <w:r>
                            <w:rPr>
                              <w:color w:val="000000"/>
                              <w:szCs w:val="24"/>
                              <w:lang w:eastAsia="ko-KR"/>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arba </w:t>
                          </w:r>
                          <w:r>
                            <w:rPr>
                              <w:bCs/>
                              <w:color w:val="000000"/>
                              <w:szCs w:val="24"/>
                              <w:lang w:eastAsia="ko-KR"/>
                            </w:rPr>
                            <w:t>kitam subjektui,</w:t>
                          </w:r>
                          <w:r>
                            <w:rPr>
                              <w:color w:val="000000"/>
                              <w:szCs w:val="24"/>
                              <w:lang w:eastAsia="ko-KR"/>
                            </w:rPr>
                            <w:t xml:space="preserve"> </w:t>
                          </w:r>
                          <w:r>
                            <w:rPr>
                              <w:rFonts w:eastAsia="Batang"/>
                              <w:bCs/>
                              <w:color w:val="000000"/>
                              <w:szCs w:val="24"/>
                            </w:rPr>
                            <w:t>kuris</w:t>
                          </w:r>
                          <w:r>
                            <w:rPr>
                              <w:rFonts w:eastAsia="Batang"/>
                              <w:color w:val="000000"/>
                              <w:szCs w:val="24"/>
                            </w:rPr>
                            <w:t xml:space="preserve"> </w:t>
                          </w:r>
                          <w:r>
                            <w:rPr>
                              <w:color w:val="000000"/>
                            </w:rPr>
                            <w:t xml:space="preserve">pagal pavedimo sutartį </w:t>
                          </w:r>
                          <w:r>
                            <w:rPr>
                              <w:rFonts w:eastAsia="Batang"/>
                              <w:bCs/>
                              <w:color w:val="000000"/>
                              <w:szCs w:val="24"/>
                            </w:rPr>
                            <w:t>administruoja Finansų ministerijos perduotas perskolinamas paskolas, valstybės garantijas ir kitus turtinius įsipareigojimus,</w:t>
                          </w:r>
                          <w:r>
                            <w:rPr>
                              <w:color w:val="000000"/>
                              <w:szCs w:val="24"/>
                              <w:lang w:eastAsia="ko-KR"/>
                            </w:rPr>
                            <w:t xml:space="preserve"> pagal Lietuvos Respublikos valstybės skolos įstatymą</w:t>
                          </w:r>
                        </w:p>
                        <w:p>
                          <w:pPr>
                            <w:spacing w:line="360" w:lineRule="auto"/>
                            <w:ind w:firstLine="720"/>
                            <w:jc w:val="both"/>
                            <w:rPr>
                              <w:color w:val="000000"/>
                              <w:szCs w:val="24"/>
                              <w:lang w:eastAsia="ko-KR"/>
                            </w:rPr>
                          </w:pPr>
                          <w:r>
                            <w:rPr>
                              <w:color w:val="000000"/>
                              <w:szCs w:val="24"/>
                              <w:lang w:eastAsia="ko-KR"/>
                            </w:rPr>
                            <w:t>užtraukia baudą nuo trijų šimtų iki penkių šimtų šešiasdešimt eurų.</w:t>
                          </w:r>
                        </w:p>
                      </w:sdtContent>
                    </w:sdt>
                    <w:sdt>
                      <w:sdtPr>
                        <w:alias w:val="195 str. 2 d."/>
                        <w:tag w:val="part_60a036664c624904894c256c55d736bc"/>
                        <w:lock w:val="sdtLocked"/>
                        <w:richText/>
                      </w:sdtPr>
                      <w:sdtContent>
                        <w:p>
                          <w:pPr>
                            <w:spacing w:line="360" w:lineRule="auto"/>
                            <w:ind w:firstLine="720"/>
                            <w:jc w:val="both"/>
                            <w:rPr>
                              <w:color w:val="000000"/>
                              <w:szCs w:val="24"/>
                              <w:lang w:eastAsia="ko-KR"/>
                            </w:rPr>
                          </w:pPr>
                          <w:sdt>
                            <w:sdtPr>
                              <w:alias w:val="Numeris"/>
                              <w:tag w:val="nr_60a036664c624904894c256c55d736bc"/>
                              <w:lock w:val="sdtLocked"/>
                              <w:richText/>
                            </w:sdtPr>
                            <w:sdtContent>
                              <w:r>
                                <w:rPr>
                                  <w:color w:val="000000"/>
                                  <w:szCs w:val="24"/>
                                  <w:lang w:eastAsia="ko-KR"/>
                                </w:rPr>
                                <w:t>2</w:t>
                              </w:r>
                            </w:sdtContent>
                          </w:sdt>
                          <w:r>
                            <w:rPr>
                              <w:color w:val="000000"/>
                              <w:szCs w:val="24"/>
                              <w:lang w:eastAsia="ko-KR"/>
                            </w:rPr>
                            <w:t xml:space="preserve">. Veiksmų, kuriems atlikti pagal </w:t>
                          </w:r>
                          <w:r>
                            <w:rPr>
                              <w:bCs/>
                              <w:color w:val="000000"/>
                              <w:szCs w:val="24"/>
                              <w:lang w:eastAsia="ko-KR"/>
                            </w:rPr>
                            <w:t>Valstybės</w:t>
                          </w:r>
                          <w:r>
                            <w:rPr>
                              <w:color w:val="000000"/>
                              <w:szCs w:val="24"/>
                              <w:lang w:eastAsia="ko-KR"/>
                            </w:rPr>
                            <w:t xml:space="preserve"> skolos įstatymą reikalingas </w:t>
                          </w:r>
                          <w:r>
                            <w:rPr>
                              <w:bCs/>
                              <w:color w:val="000000"/>
                              <w:szCs w:val="24"/>
                              <w:lang w:eastAsia="ko-KR"/>
                            </w:rPr>
                            <w:t>Finansų</w:t>
                          </w:r>
                          <w:r>
                            <w:rPr>
                              <w:color w:val="000000"/>
                              <w:szCs w:val="24"/>
                              <w:lang w:eastAsia="ko-KR"/>
                            </w:rPr>
                            <w:t xml:space="preserve"> ministerijos</w:t>
                          </w:r>
                          <w:r>
                            <w:rPr>
                              <w:bCs/>
                              <w:color w:val="000000"/>
                              <w:szCs w:val="24"/>
                              <w:lang w:eastAsia="ko-KR"/>
                            </w:rPr>
                            <w:t xml:space="preserve"> </w:t>
                          </w:r>
                          <w:r>
                            <w:rPr>
                              <w:color w:val="000000"/>
                              <w:szCs w:val="24"/>
                              <w:lang w:eastAsia="ko-KR"/>
                            </w:rPr>
                            <w:t>arba</w:t>
                          </w:r>
                          <w:r>
                            <w:rPr>
                              <w:bCs/>
                              <w:color w:val="000000"/>
                              <w:szCs w:val="24"/>
                              <w:lang w:eastAsia="ko-KR"/>
                            </w:rPr>
                            <w:t xml:space="preserve"> kito subjekto, kuris pagal pavedimo sutartį administruoja Finansų ministerijos perduotas perskolinamas paskolas, valstybės garantijas ir kitus turtinius įsipareigojimus, rašytinis</w:t>
                          </w:r>
                          <w:r>
                            <w:rPr>
                              <w:color w:val="000000"/>
                              <w:szCs w:val="24"/>
                              <w:lang w:eastAsia="ko-KR"/>
                            </w:rPr>
                            <w:t xml:space="preserve"> leidimas, atlikimas neturint šio leidimo</w:t>
                          </w:r>
                        </w:p>
                        <w:p>
                          <w:pPr>
                            <w:spacing w:line="360" w:lineRule="auto"/>
                            <w:ind w:firstLine="720"/>
                            <w:jc w:val="both"/>
                            <w:rPr>
                              <w:szCs w:val="24"/>
                            </w:rPr>
                          </w:pPr>
                          <w:r>
                            <w:rPr>
                              <w:color w:val="000000"/>
                              <w:szCs w:val="24"/>
                              <w:lang w:eastAsia="ko-KR"/>
                            </w:rPr>
                            <w:t>užtraukia baudą nuo trijų šimtų iki vieno tūkstančio vieno šimto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450b0ca0311f08918e1adc7c5b1ec">
                        <w:r w:rsidRPr="00532B9F">
                          <w:rPr>
                            <w:rFonts w:ascii="Times New Roman" w:eastAsia="MS Mincho" w:hAnsi="Times New Roman"/>
                            <w:sz w:val="20"/>
                            <w:i/>
                            <w:iCs/>
                            <w:color w:val="0000FF" w:themeColor="hyperlink"/>
                            <w:u w:val="single"/>
                          </w:rPr>
                          <w:t>XV-531</w:t>
                        </w:r>
                      </w:fldSimple>
                      <w:r>
                        <w:rPr>
                          <w:rFonts w:ascii="Times New Roman" w:eastAsia="MS Mincho" w:hAnsi="Times New Roman"/>
                          <w:sz w:val="20"/>
                          <w:i/>
                          <w:iCs/>
                        </w:rPr>
                        <w:t>,
2025-11-13,
paskelbta TAR 2025-11-25, i. k. 2025-19763            </w:t>
                      </w:r>
                    </w:p>
                    <w:p/>
                  </w:sdtContent>
                </w:sdt>
                <w:sdt>
                  <w:sdtPr>
                    <w:alias w:val="196 str."/>
                    <w:tag w:val="part_60e93299f5ff4553a3ff69e56553186b"/>
                    <w:lock w:val="sdtLocked"/>
                    <w:richText/>
                  </w:sdtPr>
                  <w:sdtContent>
                    <w:p>
                      <w:pPr>
                        <w:spacing w:line="360" w:lineRule="auto"/>
                        <w:ind w:firstLine="720"/>
                        <w:jc w:val="both"/>
                        <w:rPr>
                          <w:rFonts w:eastAsia="Calibri"/>
                          <w:b/>
                          <w:szCs w:val="24"/>
                        </w:rPr>
                      </w:pPr>
                      <w:sdt>
                        <w:sdtPr>
                          <w:alias w:val="Numeris"/>
                          <w:tag w:val="nr_60e93299f5ff4553a3ff69e56553186b"/>
                          <w:lock w:val="sdtLocked"/>
                          <w:richText/>
                        </w:sdtPr>
                        <w:sdtContent>
                          <w:r>
                            <w:rPr>
                              <w:rFonts w:eastAsia="Calibri"/>
                              <w:b/>
                              <w:bCs/>
                              <w:szCs w:val="24"/>
                            </w:rPr>
                            <w:t>196</w:t>
                          </w:r>
                        </w:sdtContent>
                      </w:sdt>
                      <w:r>
                        <w:rPr>
                          <w:rFonts w:eastAsia="Calibri"/>
                          <w:b/>
                          <w:bCs/>
                          <w:szCs w:val="24"/>
                        </w:rPr>
                        <w:t xml:space="preserve"> straipsnis. </w:t>
                      </w:r>
                      <w:sdt>
                        <w:sdtPr>
                          <w:alias w:val="Pavadinimas"/>
                          <w:tag w:val="title_60e93299f5ff4553a3ff69e56553186b"/>
                          <w:lock w:val="sdtLocked"/>
                          <w:richText/>
                        </w:sdtPr>
                        <w:sdtContent>
                          <w:r>
                            <w:rPr>
                              <w:b/>
                              <w:bCs/>
                              <w:szCs w:val="24"/>
                            </w:rPr>
                            <w:t>Neteisėtas banko paslapties atskleidimas</w:t>
                          </w:r>
                        </w:sdtContent>
                      </w:sdt>
                    </w:p>
                    <w:sdt>
                      <w:sdtPr>
                        <w:alias w:val="196 str. 1 d."/>
                        <w:tag w:val="part_9b69720403d44b83b7814895d0a3590f"/>
                        <w:lock w:val="sdtLocked"/>
                        <w:richText/>
                      </w:sdtPr>
                      <w:sdtContent>
                        <w:p>
                          <w:pPr>
                            <w:spacing w:line="360" w:lineRule="auto"/>
                            <w:ind w:firstLine="720"/>
                            <w:jc w:val="both"/>
                            <w:rPr>
                              <w:szCs w:val="24"/>
                            </w:rPr>
                          </w:pPr>
                          <w:r>
                            <w:rPr>
                              <w:szCs w:val="24"/>
                            </w:rPr>
                            <w:t>Neteisėtas banko paslapties, Centrinės kredito unijos ar kredito unijos paslapties atskleidimas</w:t>
                          </w:r>
                        </w:p>
                      </w:sdtContent>
                    </w:sdt>
                    <w:sdt>
                      <w:sdtPr>
                        <w:alias w:val="196 str. 2 d."/>
                        <w:tag w:val="part_08d4817e2b67418d8808e5ef15b46fa9"/>
                        <w:lock w:val="sdtLocked"/>
                        <w:richText/>
                      </w:sdtPr>
                      <w:sdtContent>
                        <w:p>
                          <w:pPr>
                            <w:spacing w:line="360" w:lineRule="auto"/>
                            <w:ind w:firstLine="720"/>
                            <w:jc w:val="both"/>
                          </w:pPr>
                          <w:r>
                            <w:rPr>
                              <w:szCs w:val="24"/>
                            </w:rPr>
                            <w:t>užtraukia baudą nuo šešių šimtų iki penkių tūkstančių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6-1 str."/>
                    <w:tag w:val="part_017840b155be417ca9ca4ad388b52340"/>
                    <w:lock w:val="sdtLocked"/>
                    <w:richText/>
                  </w:sdtPr>
                  <w:sdtContent>
                    <w:p>
                      <w:pPr>
                        <w:spacing w:line="360" w:lineRule="auto"/>
                        <w:ind w:left="2410" w:hanging="1690"/>
                        <w:jc w:val="both"/>
                      </w:pPr>
                      <w:sdt>
                        <w:sdtPr>
                          <w:alias w:val="Numeris"/>
                          <w:tag w:val="nr_017840b155be417ca9ca4ad388b52340"/>
                          <w:lock w:val="sdtLocked"/>
                          <w:richText/>
                        </w:sdtPr>
                        <w:sdtContent>
                          <w:r>
                            <w:rPr>
                              <w:b/>
                              <w:szCs w:val="24"/>
                            </w:rPr>
                            <w:t>196</w:t>
                          </w:r>
                          <w:r>
                            <w:rPr>
                              <w:b/>
                              <w:szCs w:val="24"/>
                              <w:vertAlign w:val="superscript"/>
                            </w:rPr>
                            <w:t>1</w:t>
                          </w:r>
                        </w:sdtContent>
                      </w:sdt>
                      <w:r>
                        <w:rPr>
                          <w:b/>
                        </w:rPr>
                        <w:t xml:space="preserve"> straipsnis. </w:t>
                      </w:r>
                      <w:sdt>
                        <w:sdtPr>
                          <w:alias w:val="Pavadinimas"/>
                          <w:tag w:val="title_017840b155be417ca9ca4ad388b52340"/>
                          <w:lock w:val="sdtLocked"/>
                          <w:richText/>
                        </w:sdtPr>
                        <w:sdtContent>
                          <w:r>
                            <w:rPr>
                              <w:b/>
                            </w:rPr>
                            <w:t>Lietuvos Respublikos privalomojo turto ir verslo vertinimo įstatymo ir (arba) kitų teisės aktų, nustatančių reikalavimą atlikti privalomąjį turto arba verslo vertinimą, pažeidimas</w:t>
                          </w:r>
                        </w:sdtContent>
                      </w:sdt>
                    </w:p>
                    <w:sdt>
                      <w:sdtPr>
                        <w:alias w:val="196-1 str. 1 d."/>
                        <w:tag w:val="part_0586fa291f9247fe91e2c2c0a654831c"/>
                        <w:lock w:val="sdtLocked"/>
                        <w:richText/>
                      </w:sdtPr>
                      <w:sdtContent>
                        <w:p>
                          <w:pPr>
                            <w:spacing w:line="360" w:lineRule="auto"/>
                            <w:ind w:firstLine="720"/>
                            <w:jc w:val="both"/>
                          </w:pPr>
                          <w:sdt>
                            <w:sdtPr>
                              <w:alias w:val="Numeris"/>
                              <w:tag w:val="nr_0586fa291f9247fe91e2c2c0a654831c"/>
                              <w:lock w:val="sdtLocked"/>
                              <w:richText/>
                            </w:sdtPr>
                            <w:sdtContent>
                              <w:r>
                                <w:t>1</w:t>
                              </w:r>
                            </w:sdtContent>
                          </w:sdt>
                          <w:r>
                            <w:t>. Lietuvos Respublikos privalomojo turto ir verslo vertinimo įstatymo ir (arba) kitų teisės aktų, nustatančių reikalavimą atlikti privalomąjį turto arba verslo vertinimą, pažeidimas</w:t>
                          </w:r>
                        </w:p>
                        <w:p>
                          <w:pPr>
                            <w:spacing w:line="360" w:lineRule="auto"/>
                            <w:ind w:firstLine="720"/>
                            <w:jc w:val="both"/>
                          </w:pPr>
                          <w:r>
                            <w:t xml:space="preserve">užtraukia baudą privalomąjį turto ar verslo vertinimą atlikusiems </w:t>
                          </w:r>
                          <w:r>
                            <w:rPr>
                              <w:szCs w:val="24"/>
                            </w:rPr>
                            <w:t xml:space="preserve">asmenims arba </w:t>
                          </w:r>
                          <w:r>
                            <w:rPr>
                              <w:iCs/>
                              <w:szCs w:val="24"/>
                            </w:rPr>
                            <w:t>juridinių asmenų vadovams ar kitiems atsakingiems asmenims</w:t>
                          </w:r>
                          <w:r>
                            <w:t xml:space="preserve"> nuo trijų šimtų iki trijų tūkstančių eurų.</w:t>
                          </w:r>
                        </w:p>
                      </w:sdtContent>
                    </w:sdt>
                    <w:sdt>
                      <w:sdtPr>
                        <w:alias w:val="196-1 str. 2 d."/>
                        <w:tag w:val="part_d8f0aae61c0248778f214d7b7cbeaeb3"/>
                        <w:lock w:val="sdtLocked"/>
                        <w:richText/>
                      </w:sdtPr>
                      <w:sdtContent>
                        <w:p>
                          <w:pPr>
                            <w:spacing w:line="360" w:lineRule="auto"/>
                            <w:ind w:firstLine="720"/>
                            <w:jc w:val="both"/>
                          </w:pPr>
                          <w:sdt>
                            <w:sdtPr>
                              <w:alias w:val="Numeris"/>
                              <w:tag w:val="nr_d8f0aae61c0248778f214d7b7cbeaeb3"/>
                              <w:lock w:val="sdtLocked"/>
                              <w:richText/>
                            </w:sdtPr>
                            <w:sdtContent>
                              <w:r>
                                <w:t>2</w:t>
                              </w:r>
                            </w:sdtContent>
                          </w:sdt>
                          <w:r>
                            <w:t>. Šio straipsnio 1 dalyje numatytas administracinis nusižengimas, padarytas pakartotinai,</w:t>
                          </w:r>
                        </w:p>
                        <w:p>
                          <w:pPr>
                            <w:spacing w:line="360" w:lineRule="auto"/>
                            <w:ind w:firstLine="720"/>
                            <w:jc w:val="both"/>
                            <w:rPr>
                              <w:szCs w:val="24"/>
                            </w:rPr>
                          </w:pPr>
                          <w:r>
                            <w:t xml:space="preserve">užtraukia baudą privalomąjį turto ar verslo vertinimą atlikusiems asmenims </w:t>
                          </w:r>
                          <w:r>
                            <w:rPr>
                              <w:szCs w:val="24"/>
                            </w:rPr>
                            <w:t xml:space="preserve">arba </w:t>
                          </w:r>
                          <w:r>
                            <w:rPr>
                              <w:iCs/>
                              <w:szCs w:val="24"/>
                            </w:rPr>
                            <w:t>juridinių asmenų vadovams ar kitiems atsakingiems asmenims</w:t>
                          </w:r>
                          <w:r>
                            <w:t xml:space="preserve">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e3142037fcf942ed9dbadd5a3e8f0c88"/>
                    <w:lock w:val="sdtLocked"/>
                    <w:richText/>
                  </w:sdtPr>
                  <w:sdtContent>
                    <w:p>
                      <w:pPr>
                        <w:widowControl w:val="0"/>
                        <w:spacing w:line="360" w:lineRule="auto"/>
                        <w:ind w:firstLine="720"/>
                        <w:jc w:val="both"/>
                        <w:rPr>
                          <w:szCs w:val="24"/>
                        </w:rPr>
                      </w:pPr>
                      <w:sdt>
                        <w:sdtPr>
                          <w:alias w:val="Numeris"/>
                          <w:tag w:val="nr_e3142037fcf942ed9dbadd5a3e8f0c88"/>
                          <w:lock w:val="sdtLocked"/>
                          <w:richText/>
                        </w:sdtPr>
                        <w:sdtContent>
                          <w:r>
                            <w:rPr>
                              <w:b/>
                              <w:szCs w:val="24"/>
                            </w:rPr>
                            <w:t>242</w:t>
                          </w:r>
                        </w:sdtContent>
                      </w:sdt>
                      <w:r>
                        <w:rPr>
                          <w:b/>
                          <w:szCs w:val="24"/>
                        </w:rPr>
                        <w:t xml:space="preserve"> straipsnis. </w:t>
                      </w:r>
                      <w:sdt>
                        <w:sdtPr>
                          <w:alias w:val="Pavadinimas"/>
                          <w:tag w:val="title_e3142037fcf942ed9dbadd5a3e8f0c88"/>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3f1fb4eb2f3a4daba069ae4b8e3bc8e4"/>
                        <w:lock w:val="sdtLocked"/>
                        <w:richText/>
                      </w:sdtPr>
                      <w:sdtContent>
                        <w:p>
                          <w:pPr>
                            <w:spacing w:line="380" w:lineRule="atLeast"/>
                            <w:ind w:firstLine="720"/>
                            <w:jc w:val="both"/>
                            <w:rPr>
                              <w:b/>
                              <w:bCs/>
                              <w:szCs w:val="24"/>
                            </w:rPr>
                          </w:pPr>
                          <w:sdt>
                            <w:sdtPr>
                              <w:alias w:val="Numeris"/>
                              <w:tag w:val="nr_3f1fb4eb2f3a4daba069ae4b8e3bc8e4"/>
                              <w:lock w:val="sdtLocked"/>
                              <w:richText/>
                            </w:sdtPr>
                            <w:sdtContent>
                              <w:r>
                                <w:rPr>
                                  <w:szCs w:val="24"/>
                                </w:rPr>
                                <w:t>4</w:t>
                              </w:r>
                            </w:sdtContent>
                          </w:sdt>
                          <w:r>
                            <w:rPr>
                              <w:szCs w:val="24"/>
                            </w:rPr>
                            <w:t xml:space="preserve">. Savivaldybės institucijų priimtų aplinkos apsaugos normatyvų ir (ar) savivaldybės tarybos priimtų sprendimų savivaldybės teritorijoje apriboti arba uždrausti naudoti vienos ar daugiau rūšių kurą, </w:t>
                          </w:r>
                          <w:r>
                            <w:rPr>
                              <w:bCs/>
                              <w:szCs w:val="24"/>
                            </w:rPr>
                            <w:t>ir (ar) draudimo deginti kietąjį iškastinį kurą</w:t>
                          </w:r>
                          <w:r>
                            <w:rPr>
                              <w:szCs w:val="24"/>
                            </w:rPr>
                            <w:t xml:space="preserve"> buitiniuose aplinkos oro taršos šaltiniuose pažeidimas</w:t>
                          </w:r>
                          <w:r>
                            <w:rPr>
                              <w:b/>
                              <w:bCs/>
                              <w:szCs w:val="24"/>
                            </w:rPr>
                            <w:t xml:space="preserve"> </w:t>
                          </w:r>
                        </w:p>
                        <w:p>
                          <w:pPr>
                            <w:spacing w:line="380" w:lineRule="atLeast"/>
                            <w:ind w:firstLine="720"/>
                            <w:jc w:val="both"/>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242 str. 5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739e326b684f4caca9e4dfaff1a4f83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09"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0"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f2f09b1af91c4aa587f6d9a6d824604c"/>
                    <w:lock w:val="sdtLocked"/>
                    <w:richText/>
                  </w:sdtPr>
                  <w:sdtContent>
                    <w:p>
                      <w:pPr>
                        <w:spacing w:line="360" w:lineRule="auto"/>
                        <w:ind w:left="2410" w:hanging="1690"/>
                        <w:jc w:val="both"/>
                        <w:textAlignment w:val="baseline"/>
                        <w:rPr>
                          <w:b/>
                          <w:color w:val="000000"/>
                          <w:szCs w:val="24"/>
                        </w:rPr>
                      </w:pPr>
                      <w:sdt>
                        <w:sdtPr>
                          <w:alias w:val="Numeris"/>
                          <w:tag w:val="nr_f2f09b1af91c4aa587f6d9a6d824604c"/>
                          <w:lock w:val="sdtLocked"/>
                          <w:richText/>
                        </w:sdtPr>
                        <w:sdtContent>
                          <w:r>
                            <w:rPr>
                              <w:b/>
                              <w:color w:val="000000"/>
                              <w:szCs w:val="24"/>
                            </w:rPr>
                            <w:t>251</w:t>
                          </w:r>
                        </w:sdtContent>
                      </w:sdt>
                      <w:r>
                        <w:rPr>
                          <w:b/>
                          <w:color w:val="000000"/>
                          <w:szCs w:val="24"/>
                        </w:rPr>
                        <w:t xml:space="preserve"> straipsnis. </w:t>
                      </w:r>
                      <w:sdt>
                        <w:sdtPr>
                          <w:alias w:val="Pavadinimas"/>
                          <w:tag w:val="title_f2f09b1af91c4aa587f6d9a6d824604c"/>
                          <w:lock w:val="sdtLocked"/>
                          <w:richText/>
                        </w:sdtPr>
                        <w:sdtContent>
                          <w:r>
                            <w:rPr>
                              <w:b/>
                              <w:bCs/>
                              <w:color w:val="000000"/>
                              <w:szCs w:val="24"/>
                            </w:rPr>
                            <w:t xml:space="preserve">Reglamente </w:t>
                          </w:r>
                          <w:hyperlink r:id="rId22" w:tgtFrame="_blank" w:history="1">
                            <w:r>
                              <w:rPr>
                                <w:b/>
                                <w:bCs/>
                                <w:color w:val="0000FF" w:themeColor="hyperlink"/>
                                <w:szCs w:val="24"/>
                                <w:u w:val="single"/>
                              </w:rPr>
                              <w:t>(ES) Nr. 2024/1157</w:t>
                            </w:r>
                          </w:hyperlink>
                          <w:r>
                            <w:rPr>
                              <w:b/>
                              <w:bCs/>
                              <w:color w:val="000000"/>
                              <w:szCs w:val="24"/>
                            </w:rPr>
                            <w:t xml:space="preserve"> nustatytų su atliekų įvežimu, importu, išvežimu, eksportu susijusių reikalavimų pažeidimas</w:t>
                          </w:r>
                        </w:sdtContent>
                      </w:sdt>
                    </w:p>
                    <w:sdt>
                      <w:sdtPr>
                        <w:alias w:val="251 str. 1 d."/>
                        <w:tag w:val="part_ab91d21f39d94625ae6708baeb83a7de"/>
                        <w:lock w:val="sdtLocked"/>
                        <w:richText/>
                      </w:sdtPr>
                      <w:sdtContent>
                        <w:p>
                          <w:pPr>
                            <w:spacing w:line="360" w:lineRule="auto"/>
                            <w:ind w:firstLine="720"/>
                            <w:jc w:val="both"/>
                            <w:textAlignment w:val="baseline"/>
                            <w:rPr>
                              <w:color w:val="000000"/>
                              <w:szCs w:val="24"/>
                            </w:rPr>
                          </w:pPr>
                          <w:sdt>
                            <w:sdtPr>
                              <w:alias w:val="Numeris"/>
                              <w:tag w:val="nr_ab91d21f39d94625ae6708baeb83a7de"/>
                              <w:lock w:val="sdtLocked"/>
                              <w:richText/>
                            </w:sdtPr>
                            <w:sdtContent>
                              <w:r>
                                <w:rPr>
                                  <w:color w:val="000000"/>
                                  <w:szCs w:val="24"/>
                                </w:rPr>
                                <w:t>1</w:t>
                              </w:r>
                            </w:sdtContent>
                          </w:sdt>
                          <w:r>
                            <w:rPr>
                              <w:color w:val="000000"/>
                              <w:szCs w:val="24"/>
                            </w:rPr>
                            <w:t xml:space="preserve">. Penkių šimtų kilogramų arba mažesnio kiekio skirtų naudoti nepavojingų atliekų išvežimas ar eksportas iš Lietuvos Respublikos be </w:t>
                          </w:r>
                          <w:r>
                            <w:rPr>
                              <w:bCs/>
                              <w:color w:val="000000"/>
                              <w:szCs w:val="24"/>
                            </w:rPr>
                            <w:t xml:space="preserve">Reglamento </w:t>
                          </w:r>
                          <w:hyperlink r:id="rId137"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38" w:tgtFrame="_blank" w:history="1">
                            <w:r>
                              <w:rPr>
                                <w:bCs/>
                                <w:color w:val="0000FF" w:themeColor="hyperlink"/>
                                <w:szCs w:val="24"/>
                                <w:u w:val="single"/>
                              </w:rPr>
                              <w:t>(ES) Nr. 2024/1157</w:t>
                            </w:r>
                          </w:hyperlink>
                          <w:r>
                            <w:rPr>
                              <w:bCs/>
                              <w:color w:val="000000"/>
                              <w:szCs w:val="24"/>
                            </w:rPr>
                            <w:t xml:space="preserve"> VII  priede nustatytos formos dokumento (toliau – Reglamento </w:t>
                          </w:r>
                          <w:hyperlink r:id="rId139" w:tgtFrame="_blank" w:history="1">
                            <w:r>
                              <w:rPr>
                                <w:bCs/>
                                <w:color w:val="0000FF" w:themeColor="hyperlink"/>
                                <w:szCs w:val="24"/>
                                <w:u w:val="single"/>
                              </w:rPr>
                              <w:t>(ES) Nr. 2024/1157</w:t>
                            </w:r>
                          </w:hyperlink>
                          <w:r>
                            <w:rPr>
                              <w:bCs/>
                              <w:color w:val="000000"/>
                              <w:szCs w:val="24"/>
                            </w:rPr>
                            <w:t xml:space="preserve"> VII priedo dokumentas)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2 d."/>
                        <w:tag w:val="part_b9e63b66aaaf4ec1b3039e957612dc56"/>
                        <w:lock w:val="sdtLocked"/>
                        <w:richText/>
                      </w:sdtPr>
                      <w:sdtContent>
                        <w:p>
                          <w:pPr>
                            <w:spacing w:line="360" w:lineRule="auto"/>
                            <w:ind w:firstLine="720"/>
                            <w:jc w:val="both"/>
                            <w:textAlignment w:val="baseline"/>
                            <w:rPr>
                              <w:color w:val="000000"/>
                              <w:szCs w:val="24"/>
                            </w:rPr>
                          </w:pPr>
                          <w:sdt>
                            <w:sdtPr>
                              <w:alias w:val="Numeris"/>
                              <w:tag w:val="nr_b9e63b66aaaf4ec1b3039e957612dc56"/>
                              <w:lock w:val="sdtLocked"/>
                              <w:richText/>
                            </w:sdtPr>
                            <w:sdtContent>
                              <w:r>
                                <w:rPr>
                                  <w:color w:val="000000"/>
                                  <w:szCs w:val="24"/>
                                </w:rPr>
                                <w:t>2</w:t>
                              </w:r>
                            </w:sdtContent>
                          </w:sdt>
                          <w:r>
                            <w:rPr>
                              <w:color w:val="000000"/>
                              <w:szCs w:val="24"/>
                            </w:rPr>
                            <w:t xml:space="preserve">. Reikalavimo turėti </w:t>
                          </w:r>
                          <w:r>
                            <w:rPr>
                              <w:bCs/>
                              <w:color w:val="000000"/>
                              <w:szCs w:val="24"/>
                            </w:rPr>
                            <w:t xml:space="preserve">Reglamento </w:t>
                          </w:r>
                          <w:hyperlink r:id="rId140" w:tgtFrame="_blank" w:history="1">
                            <w:r>
                              <w:rPr>
                                <w:bCs/>
                                <w:color w:val="0000FF" w:themeColor="hyperlink"/>
                                <w:szCs w:val="24"/>
                                <w:u w:val="single"/>
                              </w:rPr>
                              <w:t>(ES) Nr. 2024/1157</w:t>
                            </w:r>
                          </w:hyperlink>
                          <w:r>
                            <w:rPr>
                              <w:bCs/>
                              <w:color w:val="000000"/>
                              <w:szCs w:val="24"/>
                            </w:rPr>
                            <w:t xml:space="preserve"> VII priedo dokumentą ar Reglamento </w:t>
                          </w:r>
                          <w:hyperlink r:id="rId141" w:tgtFrame="_blank" w:history="1">
                            <w:r>
                              <w:rPr>
                                <w:bCs/>
                                <w:color w:val="0000FF" w:themeColor="hyperlink"/>
                                <w:szCs w:val="24"/>
                                <w:u w:val="single"/>
                              </w:rPr>
                              <w:t>(ES) 2024/1157</w:t>
                            </w:r>
                          </w:hyperlink>
                          <w:r>
                            <w:rPr>
                              <w:bCs/>
                              <w:color w:val="000000"/>
                              <w:szCs w:val="24"/>
                            </w:rPr>
                            <w:t xml:space="preserve"> IB priede nustatytos formos dokumentą (toliau – judėjimo dokumentas) </w:t>
                          </w:r>
                          <w:r>
                            <w:rPr>
                              <w:color w:val="000000"/>
                              <w:szCs w:val="24"/>
                            </w:rPr>
                            <w:t xml:space="preserve">atliekų vežimo metu pažeidimas arba </w:t>
                          </w:r>
                          <w:r>
                            <w:rPr>
                              <w:bCs/>
                              <w:color w:val="000000"/>
                              <w:szCs w:val="24"/>
                            </w:rPr>
                            <w:t>šių</w:t>
                          </w:r>
                          <w:r>
                            <w:rPr>
                              <w:color w:val="000000"/>
                              <w:szCs w:val="24"/>
                            </w:rPr>
                            <w:t xml:space="preserve"> </w:t>
                          </w:r>
                          <w:r>
                            <w:rPr>
                              <w:bCs/>
                              <w:color w:val="000000"/>
                              <w:szCs w:val="24"/>
                            </w:rPr>
                            <w:t>dokumentų</w:t>
                          </w:r>
                          <w:r>
                            <w:rPr>
                              <w:color w:val="000000"/>
                              <w:szCs w:val="24"/>
                            </w:rPr>
                            <w:t xml:space="preserve"> nepateikimas muitinės pareigūnams pareikalavus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3 d."/>
                        <w:tag w:val="part_c273db92fbe3403498a17136d66f4cbb"/>
                        <w:lock w:val="sdtLocked"/>
                        <w:richText/>
                      </w:sdtPr>
                      <w:sdtContent>
                        <w:p>
                          <w:pPr>
                            <w:spacing w:line="360" w:lineRule="auto"/>
                            <w:ind w:firstLine="720"/>
                            <w:jc w:val="both"/>
                            <w:textAlignment w:val="baseline"/>
                            <w:rPr>
                              <w:color w:val="000000"/>
                              <w:szCs w:val="24"/>
                            </w:rPr>
                          </w:pPr>
                          <w:sdt>
                            <w:sdtPr>
                              <w:alias w:val="Numeris"/>
                              <w:tag w:val="nr_c273db92fbe3403498a17136d66f4cbb"/>
                              <w:lock w:val="sdtLocked"/>
                              <w:richText/>
                            </w:sdtPr>
                            <w:sdtContent>
                              <w:r>
                                <w:rPr>
                                  <w:color w:val="000000"/>
                                  <w:szCs w:val="24"/>
                                </w:rPr>
                                <w:t>3</w:t>
                              </w:r>
                            </w:sdtContent>
                          </w:sdt>
                          <w:r>
                            <w:rPr>
                              <w:color w:val="000000"/>
                              <w:szCs w:val="24"/>
                            </w:rPr>
                            <w:t xml:space="preserve">. Penkių šimtų kilogramų arba mažesnio kiekio skirtų šalinti nepavojingų atliekų išvežimas ar eksportas iš Lietuvos Respublikos be </w:t>
                          </w:r>
                          <w:r>
                            <w:rPr>
                              <w:bCs/>
                              <w:color w:val="000000"/>
                              <w:szCs w:val="24"/>
                            </w:rPr>
                            <w:t xml:space="preserve">Reglamento </w:t>
                          </w:r>
                          <w:hyperlink r:id="rId142"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šešiasdešimt iki vieno šimto dvidešimt eurų.</w:t>
                          </w:r>
                        </w:p>
                      </w:sdtContent>
                    </w:sdt>
                    <w:sdt>
                      <w:sdtPr>
                        <w:alias w:val="251 str. 4 d."/>
                        <w:tag w:val="part_2bfbee8b8f12497ba5c39a3cf4a9cb77"/>
                        <w:lock w:val="sdtLocked"/>
                        <w:richText/>
                      </w:sdtPr>
                      <w:sdtContent>
                        <w:p>
                          <w:pPr>
                            <w:spacing w:line="360" w:lineRule="auto"/>
                            <w:ind w:firstLine="720"/>
                            <w:jc w:val="both"/>
                            <w:textAlignment w:val="baseline"/>
                            <w:rPr>
                              <w:color w:val="000000"/>
                              <w:szCs w:val="24"/>
                            </w:rPr>
                          </w:pPr>
                          <w:sdt>
                            <w:sdtPr>
                              <w:alias w:val="Numeris"/>
                              <w:tag w:val="nr_2bfbee8b8f12497ba5c39a3cf4a9cb77"/>
                              <w:lock w:val="sdtLocked"/>
                              <w:richText/>
                            </w:sdtPr>
                            <w:sdtContent>
                              <w:r>
                                <w:rPr>
                                  <w:color w:val="000000"/>
                                  <w:szCs w:val="24"/>
                                </w:rPr>
                                <w:t>4</w:t>
                              </w:r>
                            </w:sdtContent>
                          </w:sdt>
                          <w:r>
                            <w:rPr>
                              <w:color w:val="000000"/>
                              <w:szCs w:val="24"/>
                            </w:rPr>
                            <w:t xml:space="preserve">. Klaidingos informacijos </w:t>
                          </w:r>
                          <w:r>
                            <w:rPr>
                              <w:bCs/>
                              <w:color w:val="000000"/>
                              <w:szCs w:val="24"/>
                            </w:rPr>
                            <w:t xml:space="preserve">Reglamento </w:t>
                          </w:r>
                          <w:hyperlink r:id="rId143" w:tgtFrame="_blank" w:history="1">
                            <w:r>
                              <w:rPr>
                                <w:bCs/>
                                <w:color w:val="0000FF" w:themeColor="hyperlink"/>
                                <w:szCs w:val="24"/>
                                <w:u w:val="single"/>
                              </w:rPr>
                              <w:t>(ES) 2024/1157</w:t>
                            </w:r>
                          </w:hyperlink>
                          <w:r>
                            <w:rPr>
                              <w:bCs/>
                              <w:color w:val="000000"/>
                              <w:szCs w:val="24"/>
                            </w:rPr>
                            <w:t xml:space="preserve"> IA priede nustatytos formos dokumente (toliau – pranešimo dokumentas)</w:t>
                          </w:r>
                          <w:r>
                            <w:rPr>
                              <w:color w:val="000000"/>
                              <w:szCs w:val="24"/>
                            </w:rPr>
                            <w:t xml:space="preserve"> ar </w:t>
                          </w:r>
                          <w:r>
                            <w:rPr>
                              <w:bCs/>
                              <w:color w:val="000000"/>
                              <w:szCs w:val="24"/>
                            </w:rPr>
                            <w:t>judėjimo dokumente</w:t>
                          </w:r>
                          <w:r>
                            <w:rPr>
                              <w:color w:val="000000"/>
                              <w:szCs w:val="24"/>
                            </w:rPr>
                            <w:t xml:space="preserve"> pateikimas Lietuvos Respublikos kompetentingai institucijai</w:t>
                          </w:r>
                          <w:r>
                            <w:rPr>
                              <w:bCs/>
                              <w:color w:val="000000"/>
                              <w:szCs w:val="24"/>
                            </w:rPr>
                            <w:t xml:space="preserve"> ir (ar) atliekų gavėjui </w:t>
                          </w:r>
                          <w:r>
                            <w:rPr>
                              <w:color w:val="000000"/>
                              <w:szCs w:val="24"/>
                            </w:rPr>
                            <w:t xml:space="preserve">arba </w:t>
                          </w:r>
                          <w:r>
                            <w:rPr>
                              <w:bCs/>
                              <w:color w:val="000000"/>
                              <w:szCs w:val="24"/>
                            </w:rPr>
                            <w:t xml:space="preserve">judėjimo dokumento </w:t>
                          </w:r>
                          <w:r>
                            <w:rPr>
                              <w:color w:val="000000"/>
                              <w:szCs w:val="24"/>
                            </w:rPr>
                            <w:t>nepateikimas Lietuvos Respublikos kompetentingai institucijai</w:t>
                          </w:r>
                          <w:r>
                            <w:rPr>
                              <w:bCs/>
                              <w:color w:val="000000"/>
                              <w:szCs w:val="24"/>
                            </w:rPr>
                            <w:t xml:space="preserve"> ir (ar) atliekų gavėjui</w:t>
                          </w:r>
                          <w:r>
                            <w:rPr>
                              <w:color w:val="000000"/>
                              <w:szCs w:val="24"/>
                            </w:rPr>
                            <w:t xml:space="preserve">, arba </w:t>
                          </w:r>
                          <w:r>
                            <w:rPr>
                              <w:bCs/>
                              <w:color w:val="000000"/>
                              <w:szCs w:val="24"/>
                            </w:rPr>
                            <w:t>judėjimo dokumento</w:t>
                          </w:r>
                          <w:r>
                            <w:rPr>
                              <w:color w:val="000000"/>
                              <w:szCs w:val="24"/>
                            </w:rPr>
                            <w:t xml:space="preserve"> pateikimas Lietuvos Respublikos kompetentingai institucijai </w:t>
                          </w:r>
                          <w:r>
                            <w:rPr>
                              <w:bCs/>
                              <w:color w:val="000000"/>
                              <w:szCs w:val="24"/>
                            </w:rPr>
                            <w:t>ir (ar) atliekų gavėjui</w:t>
                          </w:r>
                          <w:r>
                            <w:rPr>
                              <w:color w:val="000000"/>
                              <w:szCs w:val="24"/>
                            </w:rPr>
                            <w:t xml:space="preserve"> pažeidžiant </w:t>
                          </w:r>
                          <w:r>
                            <w:rPr>
                              <w:bCs/>
                              <w:color w:val="000000"/>
                              <w:szCs w:val="24"/>
                            </w:rPr>
                            <w:t xml:space="preserve">Reglamento </w:t>
                          </w:r>
                          <w:hyperlink r:id="rId144" w:tgtFrame="_blank" w:history="1">
                            <w:r>
                              <w:rPr>
                                <w:bCs/>
                                <w:color w:val="0000FF" w:themeColor="hyperlink"/>
                                <w:szCs w:val="24"/>
                                <w:u w:val="single"/>
                              </w:rPr>
                              <w:t>(ES) Nr. 2024/1157</w:t>
                            </w:r>
                          </w:hyperlink>
                          <w:r>
                            <w:rPr>
                              <w:bCs/>
                              <w:color w:val="000000"/>
                              <w:szCs w:val="24"/>
                            </w:rPr>
                            <w:t xml:space="preserve"> 16 straipsnyje </w:t>
                          </w:r>
                          <w:r>
                            <w:rPr>
                              <w:color w:val="000000"/>
                              <w:szCs w:val="24"/>
                            </w:rPr>
                            <w:t>nustatytus pateikimo terminus</w:t>
                          </w:r>
                        </w:p>
                        <w:p>
                          <w:pPr>
                            <w:spacing w:line="360" w:lineRule="auto"/>
                            <w:ind w:firstLine="720"/>
                            <w:jc w:val="both"/>
                            <w:textAlignment w:val="baseline"/>
                            <w:rPr>
                              <w:color w:val="000000"/>
                              <w:szCs w:val="24"/>
                            </w:rPr>
                          </w:pPr>
                          <w:r>
                            <w:rPr>
                              <w:color w:val="000000"/>
                              <w:szCs w:val="24"/>
                            </w:rPr>
                            <w:t>užtraukia baudą nuo šešiasdešimt iki vieno šimto keturiasdešimt eurų.</w:t>
                          </w:r>
                        </w:p>
                      </w:sdtContent>
                    </w:sdt>
                    <w:sdt>
                      <w:sdtPr>
                        <w:alias w:val="251 str. 5 d."/>
                        <w:tag w:val="part_3376e9d324c94dc08ca1a17cdce9d89d"/>
                        <w:lock w:val="sdtLocked"/>
                        <w:richText/>
                      </w:sdtPr>
                      <w:sdtContent>
                        <w:p>
                          <w:pPr>
                            <w:spacing w:line="360" w:lineRule="auto"/>
                            <w:ind w:firstLine="720"/>
                            <w:jc w:val="both"/>
                            <w:textAlignment w:val="baseline"/>
                            <w:rPr>
                              <w:color w:val="000000"/>
                              <w:szCs w:val="24"/>
                            </w:rPr>
                          </w:pPr>
                          <w:sdt>
                            <w:sdtPr>
                              <w:alias w:val="Numeris"/>
                              <w:tag w:val="nr_3376e9d324c94dc08ca1a17cdce9d89d"/>
                              <w:lock w:val="sdtLocked"/>
                              <w:richText/>
                            </w:sdtPr>
                            <w:sdtContent>
                              <w:r>
                                <w:rPr>
                                  <w:color w:val="000000"/>
                                  <w:szCs w:val="24"/>
                                </w:rPr>
                                <w:t>5</w:t>
                              </w:r>
                            </w:sdtContent>
                          </w:sdt>
                          <w:r>
                            <w:rPr>
                              <w:color w:val="000000"/>
                              <w:szCs w:val="24"/>
                            </w:rPr>
                            <w:t xml:space="preserve">. Didesnio kaip penki šimtai kilogramų, bet mažesnio kaip dvidešimt penkios tonos kiekio skirtų naudoti nepavojingų atliekų išvežimas ar eksportas iš Lietuvos Respublikos be </w:t>
                          </w:r>
                          <w:r>
                            <w:rPr>
                              <w:bCs/>
                              <w:color w:val="000000"/>
                              <w:szCs w:val="24"/>
                            </w:rPr>
                            <w:t xml:space="preserve">Reglamento </w:t>
                          </w:r>
                          <w:hyperlink r:id="rId145"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46"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šešiasdešimt iki trijų šimtų eurų.</w:t>
                          </w:r>
                        </w:p>
                      </w:sdtContent>
                    </w:sdt>
                    <w:sdt>
                      <w:sdtPr>
                        <w:alias w:val="251 str. 6 d."/>
                        <w:tag w:val="part_1299511a701844c9b126f60147c2d93a"/>
                        <w:lock w:val="sdtLocked"/>
                        <w:richText/>
                      </w:sdtPr>
                      <w:sdtContent>
                        <w:p>
                          <w:pPr>
                            <w:spacing w:line="360" w:lineRule="auto"/>
                            <w:ind w:firstLine="720"/>
                            <w:jc w:val="both"/>
                            <w:textAlignment w:val="baseline"/>
                            <w:rPr>
                              <w:color w:val="000000"/>
                              <w:szCs w:val="24"/>
                            </w:rPr>
                          </w:pPr>
                          <w:sdt>
                            <w:sdtPr>
                              <w:alias w:val="Numeris"/>
                              <w:tag w:val="nr_1299511a701844c9b126f60147c2d93a"/>
                              <w:lock w:val="sdtLocked"/>
                              <w:richText/>
                            </w:sdtPr>
                            <w:sdtContent>
                              <w:r>
                                <w:rPr>
                                  <w:color w:val="000000"/>
                                  <w:szCs w:val="24"/>
                                </w:rPr>
                                <w:t>6</w:t>
                              </w:r>
                            </w:sdtContent>
                          </w:sdt>
                          <w:r>
                            <w:rPr>
                              <w:color w:val="000000"/>
                              <w:szCs w:val="24"/>
                            </w:rPr>
                            <w:t xml:space="preserve">. Penkių šimtų kilogramų arba mažesnio kiekio skirtų naudoti pavojingų atliekų išvežimas ar eksportas iš Lietuvos Respublikos be </w:t>
                          </w:r>
                          <w:r>
                            <w:rPr>
                              <w:bCs/>
                              <w:color w:val="000000"/>
                              <w:szCs w:val="24"/>
                            </w:rPr>
                            <w:t xml:space="preserve">Reglamento </w:t>
                          </w:r>
                          <w:hyperlink r:id="rId147"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aštuoniasdešimt iki trijų šimtų eurų.</w:t>
                          </w:r>
                        </w:p>
                      </w:sdtContent>
                    </w:sdt>
                    <w:sdt>
                      <w:sdtPr>
                        <w:alias w:val="251 str. 7 d."/>
                        <w:tag w:val="part_68d0ecbdf8bb482089df11e0d0fe504e"/>
                        <w:lock w:val="sdtLocked"/>
                        <w:richText/>
                      </w:sdtPr>
                      <w:sdtContent>
                        <w:p>
                          <w:pPr>
                            <w:spacing w:line="360" w:lineRule="auto"/>
                            <w:ind w:firstLine="720"/>
                            <w:jc w:val="both"/>
                            <w:textAlignment w:val="baseline"/>
                            <w:rPr>
                              <w:color w:val="000000"/>
                              <w:szCs w:val="24"/>
                            </w:rPr>
                          </w:pPr>
                          <w:sdt>
                            <w:sdtPr>
                              <w:alias w:val="Numeris"/>
                              <w:tag w:val="nr_68d0ecbdf8bb482089df11e0d0fe504e"/>
                              <w:lock w:val="sdtLocked"/>
                              <w:richText/>
                            </w:sdtPr>
                            <w:sdtContent>
                              <w:r>
                                <w:rPr>
                                  <w:color w:val="000000"/>
                                  <w:szCs w:val="24"/>
                                </w:rPr>
                                <w:t>7</w:t>
                              </w:r>
                            </w:sdtContent>
                          </w:sdt>
                          <w:r>
                            <w:rPr>
                              <w:color w:val="000000"/>
                              <w:szCs w:val="24"/>
                            </w:rPr>
                            <w:t xml:space="preserve">. Didesnio kaip penki šimtai kilogramų, bet mažesnio kaip dvidešimt penkios tonos kiekio skirtų šalinti nepavojingų atliekų išvežimas ar eksportas iš Lietuvos Respublikos be </w:t>
                          </w:r>
                          <w:r>
                            <w:rPr>
                              <w:bCs/>
                              <w:color w:val="000000"/>
                              <w:szCs w:val="24"/>
                            </w:rPr>
                            <w:t xml:space="preserve">Reglamento </w:t>
                          </w:r>
                          <w:hyperlink r:id="rId148"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keturių šimtų eurų.</w:t>
                          </w:r>
                        </w:p>
                      </w:sdtContent>
                    </w:sdt>
                    <w:sdt>
                      <w:sdtPr>
                        <w:alias w:val="251 str. 8 d."/>
                        <w:tag w:val="part_85b75df82152485fafdae1bc1828952c"/>
                        <w:lock w:val="sdtLocked"/>
                        <w:richText/>
                      </w:sdtPr>
                      <w:sdtContent>
                        <w:p>
                          <w:pPr>
                            <w:spacing w:line="360" w:lineRule="auto"/>
                            <w:ind w:firstLine="720"/>
                            <w:jc w:val="both"/>
                            <w:textAlignment w:val="baseline"/>
                            <w:rPr>
                              <w:color w:val="000000"/>
                              <w:szCs w:val="24"/>
                            </w:rPr>
                          </w:pPr>
                          <w:sdt>
                            <w:sdtPr>
                              <w:alias w:val="Numeris"/>
                              <w:tag w:val="nr_85b75df82152485fafdae1bc1828952c"/>
                              <w:lock w:val="sdtLocked"/>
                              <w:richText/>
                            </w:sdtPr>
                            <w:sdtContent>
                              <w:r>
                                <w:rPr>
                                  <w:color w:val="000000"/>
                                  <w:szCs w:val="24"/>
                                </w:rPr>
                                <w:t>8</w:t>
                              </w:r>
                            </w:sdtContent>
                          </w:sdt>
                          <w:r>
                            <w:rPr>
                              <w:color w:val="000000"/>
                              <w:szCs w:val="24"/>
                            </w:rPr>
                            <w:t xml:space="preserve">. Penkių šimtų kilogramų arba mažesnio kiekio skirtų šalinti pavojingų atliekų išvežimas ar eksportas iš Lietuvos Respublikos be </w:t>
                          </w:r>
                          <w:r>
                            <w:rPr>
                              <w:bCs/>
                              <w:color w:val="000000"/>
                              <w:szCs w:val="24"/>
                            </w:rPr>
                            <w:t xml:space="preserve">Reglamento </w:t>
                          </w:r>
                          <w:hyperlink r:id="rId149"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trijų šimtų eurų.</w:t>
                          </w:r>
                        </w:p>
                      </w:sdtContent>
                    </w:sdt>
                    <w:sdt>
                      <w:sdtPr>
                        <w:alias w:val="251 str. 9 d."/>
                        <w:tag w:val="part_571d62c16160476aad2d71ff3c8699c7"/>
                        <w:lock w:val="sdtLocked"/>
                        <w:richText/>
                      </w:sdtPr>
                      <w:sdtContent>
                        <w:p>
                          <w:pPr>
                            <w:spacing w:line="360" w:lineRule="auto"/>
                            <w:ind w:firstLine="720"/>
                            <w:jc w:val="both"/>
                            <w:textAlignment w:val="baseline"/>
                            <w:rPr>
                              <w:color w:val="000000"/>
                              <w:szCs w:val="24"/>
                            </w:rPr>
                          </w:pPr>
                          <w:sdt>
                            <w:sdtPr>
                              <w:alias w:val="Numeris"/>
                              <w:tag w:val="nr_571d62c16160476aad2d71ff3c8699c7"/>
                              <w:lock w:val="sdtLocked"/>
                              <w:richText/>
                            </w:sdtPr>
                            <w:sdtContent>
                              <w:r>
                                <w:rPr>
                                  <w:color w:val="000000"/>
                                  <w:szCs w:val="24"/>
                                </w:rPr>
                                <w:t>9</w:t>
                              </w:r>
                            </w:sdtContent>
                          </w:sdt>
                          <w:r>
                            <w:rPr>
                              <w:color w:val="000000"/>
                              <w:szCs w:val="24"/>
                            </w:rPr>
                            <w:t xml:space="preserve">. Atliekų vežimas nesilaikant </w:t>
                          </w:r>
                          <w:r>
                            <w:rPr>
                              <w:bCs/>
                              <w:color w:val="000000"/>
                              <w:szCs w:val="24"/>
                            </w:rPr>
                            <w:t>pranešimo</w:t>
                          </w:r>
                          <w:r>
                            <w:rPr>
                              <w:color w:val="000000"/>
                              <w:szCs w:val="24"/>
                            </w:rPr>
                            <w:t xml:space="preserve"> </w:t>
                          </w:r>
                          <w:r>
                            <w:rPr>
                              <w:bCs/>
                              <w:color w:val="000000"/>
                              <w:szCs w:val="24"/>
                            </w:rPr>
                            <w:t>dokumente</w:t>
                          </w:r>
                          <w:r>
                            <w:rPr>
                              <w:color w:val="000000"/>
                              <w:szCs w:val="24"/>
                            </w:rPr>
                            <w:t xml:space="preserve"> </w:t>
                          </w:r>
                          <w:r>
                            <w:rPr>
                              <w:bCs/>
                              <w:color w:val="000000"/>
                              <w:szCs w:val="24"/>
                            </w:rPr>
                            <w:t>ir (ar) judėjimo dokumente</w:t>
                          </w:r>
                          <w:r>
                            <w:rPr>
                              <w:color w:val="000000"/>
                              <w:szCs w:val="24"/>
                            </w:rPr>
                            <w:t xml:space="preserve"> nustatytų reikalavimų</w:t>
                          </w:r>
                        </w:p>
                        <w:p>
                          <w:pPr>
                            <w:spacing w:line="360" w:lineRule="auto"/>
                            <w:ind w:firstLine="720"/>
                            <w:jc w:val="both"/>
                            <w:textAlignment w:val="baseline"/>
                            <w:rPr>
                              <w:color w:val="000000"/>
                              <w:szCs w:val="24"/>
                            </w:rPr>
                          </w:pPr>
                          <w:r>
                            <w:rPr>
                              <w:color w:val="000000"/>
                              <w:szCs w:val="24"/>
                            </w:rPr>
                            <w:t>užtraukia baudą nuo vieno šimto keturiasdešimt iki keturių šimtų keturiasdešimt eurų.</w:t>
                          </w:r>
                        </w:p>
                      </w:sdtContent>
                    </w:sdt>
                    <w:sdt>
                      <w:sdtPr>
                        <w:alias w:val="251 str. 10 d."/>
                        <w:tag w:val="part_5008fd7ff6df47c59dba43ee9294d123"/>
                        <w:lock w:val="sdtLocked"/>
                        <w:richText/>
                      </w:sdtPr>
                      <w:sdtContent>
                        <w:p>
                          <w:pPr>
                            <w:spacing w:line="360" w:lineRule="auto"/>
                            <w:ind w:firstLine="720"/>
                            <w:jc w:val="both"/>
                            <w:textAlignment w:val="baseline"/>
                            <w:rPr>
                              <w:color w:val="000000"/>
                              <w:szCs w:val="24"/>
                            </w:rPr>
                          </w:pPr>
                          <w:sdt>
                            <w:sdtPr>
                              <w:alias w:val="Numeris"/>
                              <w:tag w:val="nr_5008fd7ff6df47c59dba43ee9294d123"/>
                              <w:lock w:val="sdtLocked"/>
                              <w:richText/>
                            </w:sdtPr>
                            <w:sdtContent>
                              <w:r>
                                <w:rPr>
                                  <w:color w:val="000000"/>
                                  <w:szCs w:val="24"/>
                                </w:rPr>
                                <w:t>10</w:t>
                              </w:r>
                            </w:sdtContent>
                          </w:sdt>
                          <w:r>
                            <w:rPr>
                              <w:color w:val="000000"/>
                              <w:szCs w:val="24"/>
                            </w:rPr>
                            <w:t xml:space="preserve">. Didesnio kaip penki šimtai kilogramų, bet mažesnio kaip dvidešimt penkios tonos kiekio skirtų naudoti pavojingų atliekų išvežimas ar eksportas iš Lietuvos Respublikos be </w:t>
                          </w:r>
                          <w:r>
                            <w:rPr>
                              <w:bCs/>
                              <w:color w:val="000000"/>
                              <w:szCs w:val="24"/>
                            </w:rPr>
                            <w:t xml:space="preserve">Reglamento </w:t>
                          </w:r>
                          <w:hyperlink r:id="rId150"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dviejų šimtų iki penkių šimtų penkiasdešimt eurų.</w:t>
                          </w:r>
                        </w:p>
                      </w:sdtContent>
                    </w:sdt>
                    <w:sdt>
                      <w:sdtPr>
                        <w:alias w:val="251 str. 11 d."/>
                        <w:tag w:val="part_1d01cb4704074a1b85dac3bae741e452"/>
                        <w:lock w:val="sdtLocked"/>
                        <w:richText/>
                      </w:sdtPr>
                      <w:sdtContent>
                        <w:p>
                          <w:pPr>
                            <w:spacing w:line="360" w:lineRule="auto"/>
                            <w:ind w:firstLine="720"/>
                            <w:jc w:val="both"/>
                            <w:textAlignment w:val="baseline"/>
                            <w:rPr>
                              <w:color w:val="000000"/>
                              <w:szCs w:val="24"/>
                            </w:rPr>
                          </w:pPr>
                          <w:sdt>
                            <w:sdtPr>
                              <w:alias w:val="Numeris"/>
                              <w:tag w:val="nr_1d01cb4704074a1b85dac3bae741e452"/>
                              <w:lock w:val="sdtLocked"/>
                              <w:richText/>
                            </w:sdtPr>
                            <w:sdtContent>
                              <w:r>
                                <w:rPr>
                                  <w:bCs/>
                                  <w:color w:val="000000"/>
                                  <w:szCs w:val="24"/>
                                </w:rPr>
                                <w:t>11</w:t>
                              </w:r>
                            </w:sdtContent>
                          </w:sdt>
                          <w:r>
                            <w:rPr>
                              <w:color w:val="000000"/>
                              <w:szCs w:val="24"/>
                            </w:rPr>
                            <w:t xml:space="preserve">. Dvidešimt penkių tonų arba didesnio kiekio skirtų naudoti nepavojingų atliekų išvežimas ar eksportas iš Lietuvos Respublikos be </w:t>
                          </w:r>
                          <w:r>
                            <w:rPr>
                              <w:bCs/>
                              <w:color w:val="000000"/>
                              <w:szCs w:val="24"/>
                            </w:rPr>
                            <w:t xml:space="preserve">Reglamento </w:t>
                          </w:r>
                          <w:hyperlink r:id="rId151"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2"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2 d."/>
                        <w:tag w:val="part_238d654ae5a943d1bc9720adf690e6a3"/>
                        <w:lock w:val="sdtLocked"/>
                        <w:richText/>
                      </w:sdtPr>
                      <w:sdtContent>
                        <w:p>
                          <w:pPr>
                            <w:spacing w:line="360" w:lineRule="auto"/>
                            <w:ind w:firstLine="720"/>
                            <w:jc w:val="both"/>
                            <w:textAlignment w:val="baseline"/>
                            <w:rPr>
                              <w:color w:val="000000"/>
                              <w:szCs w:val="24"/>
                            </w:rPr>
                          </w:pPr>
                          <w:sdt>
                            <w:sdtPr>
                              <w:alias w:val="Numeris"/>
                              <w:tag w:val="nr_238d654ae5a943d1bc9720adf690e6a3"/>
                              <w:lock w:val="sdtLocked"/>
                              <w:richText/>
                            </w:sdtPr>
                            <w:sdtContent>
                              <w:r>
                                <w:rPr>
                                  <w:bCs/>
                                  <w:color w:val="000000"/>
                                  <w:szCs w:val="24"/>
                                </w:rPr>
                                <w:t>12</w:t>
                              </w:r>
                            </w:sdtContent>
                          </w:sdt>
                          <w:r>
                            <w:rPr>
                              <w:color w:val="000000"/>
                              <w:szCs w:val="24"/>
                            </w:rPr>
                            <w:t xml:space="preserve">. Didesnio kaip penki šimtai kilogramų, bet mažesnio kaip dvidešimt penkios tonos kiekio skirtų šalinti pavojingų atliekų išvežimas ar eksportas iš Lietuvos Respublikos be </w:t>
                          </w:r>
                          <w:r>
                            <w:rPr>
                              <w:bCs/>
                              <w:color w:val="000000"/>
                              <w:szCs w:val="24"/>
                            </w:rPr>
                            <w:t xml:space="preserve">Reglamento </w:t>
                          </w:r>
                          <w:hyperlink r:id="rId153"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3 d."/>
                        <w:tag w:val="part_c828a1e16e524cf7be9f9f4e75c13a0a"/>
                        <w:lock w:val="sdtLocked"/>
                        <w:richText/>
                      </w:sdtPr>
                      <w:sdtContent>
                        <w:p>
                          <w:pPr>
                            <w:spacing w:line="360" w:lineRule="auto"/>
                            <w:ind w:firstLine="720"/>
                            <w:jc w:val="both"/>
                            <w:textAlignment w:val="baseline"/>
                            <w:rPr>
                              <w:color w:val="000000"/>
                              <w:szCs w:val="24"/>
                            </w:rPr>
                          </w:pPr>
                          <w:sdt>
                            <w:sdtPr>
                              <w:alias w:val="Numeris"/>
                              <w:tag w:val="nr_c828a1e16e524cf7be9f9f4e75c13a0a"/>
                              <w:lock w:val="sdtLocked"/>
                              <w:richText/>
                            </w:sdtPr>
                            <w:sdtContent>
                              <w:r>
                                <w:rPr>
                                  <w:bCs/>
                                  <w:color w:val="000000"/>
                                  <w:szCs w:val="24"/>
                                </w:rPr>
                                <w:t>13</w:t>
                              </w:r>
                            </w:sdtContent>
                          </w:sdt>
                          <w:r>
                            <w:rPr>
                              <w:color w:val="000000"/>
                              <w:szCs w:val="24"/>
                            </w:rPr>
                            <w:t xml:space="preserve">. Dvidešimt penkių tonų arba didesnio kiekio skirtų šalinti nepavojingų atliekų išvežimas ar eksportas iš Lietuvos Respublikos be </w:t>
                          </w:r>
                          <w:r>
                            <w:rPr>
                              <w:bCs/>
                              <w:color w:val="000000"/>
                              <w:szCs w:val="24"/>
                            </w:rPr>
                            <w:t xml:space="preserve">Reglamento </w:t>
                          </w:r>
                          <w:hyperlink r:id="rId154"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keturių šimtų keturiasdešimt iki vieno tūkstančio keturių šimtų keturiasdešimt eurų.</w:t>
                          </w:r>
                        </w:p>
                      </w:sdtContent>
                    </w:sdt>
                    <w:sdt>
                      <w:sdtPr>
                        <w:alias w:val="251 str. 14 d."/>
                        <w:tag w:val="part_c70f899757c94901aaab48aac7ea74df"/>
                        <w:lock w:val="sdtLocked"/>
                        <w:richText/>
                      </w:sdtPr>
                      <w:sdtContent>
                        <w:p>
                          <w:pPr>
                            <w:spacing w:line="360" w:lineRule="auto"/>
                            <w:ind w:firstLine="720"/>
                            <w:jc w:val="both"/>
                            <w:textAlignment w:val="baseline"/>
                            <w:rPr>
                              <w:color w:val="000000"/>
                              <w:szCs w:val="24"/>
                            </w:rPr>
                          </w:pPr>
                          <w:sdt>
                            <w:sdtPr>
                              <w:alias w:val="Numeris"/>
                              <w:tag w:val="nr_c70f899757c94901aaab48aac7ea74df"/>
                              <w:lock w:val="sdtLocked"/>
                              <w:richText/>
                            </w:sdtPr>
                            <w:sdtContent>
                              <w:r>
                                <w:rPr>
                                  <w:color w:val="000000"/>
                                  <w:szCs w:val="24"/>
                                </w:rPr>
                                <w:t>14</w:t>
                              </w:r>
                            </w:sdtContent>
                          </w:sdt>
                          <w:r>
                            <w:rPr>
                              <w:color w:val="000000"/>
                              <w:szCs w:val="24"/>
                            </w:rPr>
                            <w:t xml:space="preserve">. Dvidešimt penkių tonų arba didesnio kiekio skirtų naudoti pavojingų atliekų išvežimas ar eksportas iš Lietuvos Respublikos be </w:t>
                          </w:r>
                          <w:r>
                            <w:rPr>
                              <w:bCs/>
                              <w:color w:val="000000"/>
                              <w:szCs w:val="24"/>
                            </w:rPr>
                            <w:t xml:space="preserve">Reglamento </w:t>
                          </w:r>
                          <w:hyperlink r:id="rId155"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šešių šimtų iki vieno tūkstančio septynių šimtų eurų.</w:t>
                          </w:r>
                        </w:p>
                      </w:sdtContent>
                    </w:sdt>
                    <w:sdt>
                      <w:sdtPr>
                        <w:alias w:val="251 str. 15 d."/>
                        <w:tag w:val="part_93a68d9d2f794b678ed56709566b88c6"/>
                        <w:lock w:val="sdtLocked"/>
                        <w:richText/>
                      </w:sdtPr>
                      <w:sdtContent>
                        <w:p>
                          <w:pPr>
                            <w:spacing w:line="360" w:lineRule="auto"/>
                            <w:ind w:firstLine="720"/>
                            <w:jc w:val="both"/>
                            <w:textAlignment w:val="baseline"/>
                            <w:rPr>
                              <w:color w:val="000000"/>
                              <w:szCs w:val="24"/>
                            </w:rPr>
                          </w:pPr>
                          <w:sdt>
                            <w:sdtPr>
                              <w:alias w:val="Numeris"/>
                              <w:tag w:val="nr_93a68d9d2f794b678ed56709566b88c6"/>
                              <w:lock w:val="sdtLocked"/>
                              <w:richText/>
                            </w:sdtPr>
                            <w:sdtContent>
                              <w:r>
                                <w:rPr>
                                  <w:bCs/>
                                  <w:color w:val="000000"/>
                                  <w:szCs w:val="24"/>
                                </w:rPr>
                                <w:t>15</w:t>
                              </w:r>
                            </w:sdtContent>
                          </w:sdt>
                          <w:r>
                            <w:rPr>
                              <w:color w:val="000000"/>
                              <w:szCs w:val="24"/>
                            </w:rPr>
                            <w:t xml:space="preserve">. Dvidešimt penkių tonų arba didesnio kiekio skirtų šalinti pavojingų atliekų išvežimas ar eksportas iš Lietuvos Respublikos be </w:t>
                          </w:r>
                          <w:r>
                            <w:rPr>
                              <w:bCs/>
                              <w:color w:val="000000"/>
                              <w:szCs w:val="24"/>
                            </w:rPr>
                            <w:t xml:space="preserve">Reglamento </w:t>
                          </w:r>
                          <w:hyperlink r:id="rId156"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devynių šimtų iki dviejų tūkstančių eurų.</w:t>
                          </w:r>
                        </w:p>
                      </w:sdtContent>
                    </w:sdt>
                    <w:sdt>
                      <w:sdtPr>
                        <w:alias w:val="251 str. 16 d."/>
                        <w:tag w:val="part_e2e34870b1884d11ba991fabee709334"/>
                        <w:lock w:val="sdtLocked"/>
                        <w:richText/>
                      </w:sdtPr>
                      <w:sdtContent>
                        <w:p>
                          <w:pPr>
                            <w:spacing w:line="360" w:lineRule="auto"/>
                            <w:ind w:firstLine="720"/>
                            <w:jc w:val="both"/>
                            <w:textAlignment w:val="baseline"/>
                            <w:rPr>
                              <w:color w:val="000000"/>
                              <w:szCs w:val="24"/>
                            </w:rPr>
                          </w:pPr>
                          <w:sdt>
                            <w:sdtPr>
                              <w:alias w:val="Numeris"/>
                              <w:tag w:val="nr_e2e34870b1884d11ba991fabee709334"/>
                              <w:lock w:val="sdtLocked"/>
                              <w:richText/>
                            </w:sdtPr>
                            <w:sdtContent>
                              <w:r>
                                <w:rPr>
                                  <w:bCs/>
                                  <w:color w:val="000000"/>
                                  <w:szCs w:val="24"/>
                                </w:rPr>
                                <w:t>16</w:t>
                              </w:r>
                            </w:sdtContent>
                          </w:sdt>
                          <w:r>
                            <w:rPr>
                              <w:color w:val="000000"/>
                              <w:szCs w:val="24"/>
                            </w:rPr>
                            <w:t>. Šio straipsnio 1, 2, 3, 4, 5, 6, 9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aštuoniasdešimt iki šešių šimtų eurų.</w:t>
                          </w:r>
                        </w:p>
                      </w:sdtContent>
                    </w:sdt>
                    <w:sdt>
                      <w:sdtPr>
                        <w:alias w:val="251 str. 17 d."/>
                        <w:tag w:val="part_608e11eca1a8478bb014ce89767a2c20"/>
                        <w:lock w:val="sdtLocked"/>
                        <w:richText/>
                      </w:sdtPr>
                      <w:sdtContent>
                        <w:p>
                          <w:pPr>
                            <w:spacing w:line="360" w:lineRule="auto"/>
                            <w:ind w:firstLine="720"/>
                            <w:jc w:val="both"/>
                            <w:textAlignment w:val="baseline"/>
                            <w:rPr>
                              <w:color w:val="000000"/>
                              <w:szCs w:val="24"/>
                            </w:rPr>
                          </w:pPr>
                          <w:sdt>
                            <w:sdtPr>
                              <w:alias w:val="Numeris"/>
                              <w:tag w:val="nr_608e11eca1a8478bb014ce89767a2c20"/>
                              <w:lock w:val="sdtLocked"/>
                              <w:richText/>
                            </w:sdtPr>
                            <w:sdtContent>
                              <w:r>
                                <w:rPr>
                                  <w:bCs/>
                                  <w:color w:val="000000"/>
                                  <w:szCs w:val="24"/>
                                </w:rPr>
                                <w:t>17</w:t>
                              </w:r>
                            </w:sdtContent>
                          </w:sdt>
                          <w:r>
                            <w:rPr>
                              <w:color w:val="000000"/>
                              <w:szCs w:val="24"/>
                            </w:rPr>
                            <w:t>. Šio straipsnio 7, 8, 10, 11, 12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trijų šimtų iki vieno tūkstančio septynių šimtų penkiasdešimt eurų.</w:t>
                          </w:r>
                        </w:p>
                      </w:sdtContent>
                    </w:sdt>
                    <w:sdt>
                      <w:sdtPr>
                        <w:alias w:val="251 str. 18 d."/>
                        <w:tag w:val="part_1688a33959b54cb391429c85b1504746"/>
                        <w:lock w:val="sdtLocked"/>
                        <w:richText/>
                      </w:sdtPr>
                      <w:sdtContent>
                        <w:p>
                          <w:pPr>
                            <w:spacing w:line="360" w:lineRule="auto"/>
                            <w:ind w:firstLine="720"/>
                            <w:jc w:val="both"/>
                            <w:textAlignment w:val="baseline"/>
                            <w:rPr>
                              <w:color w:val="000000"/>
                              <w:szCs w:val="24"/>
                            </w:rPr>
                          </w:pPr>
                          <w:sdt>
                            <w:sdtPr>
                              <w:alias w:val="Numeris"/>
                              <w:tag w:val="nr_1688a33959b54cb391429c85b1504746"/>
                              <w:lock w:val="sdtLocked"/>
                              <w:richText/>
                            </w:sdtPr>
                            <w:sdtContent>
                              <w:r>
                                <w:rPr>
                                  <w:bCs/>
                                  <w:color w:val="000000"/>
                                  <w:szCs w:val="24"/>
                                </w:rPr>
                                <w:t>18</w:t>
                              </w:r>
                            </w:sdtContent>
                          </w:sdt>
                          <w:r>
                            <w:rPr>
                              <w:color w:val="000000"/>
                              <w:szCs w:val="24"/>
                            </w:rPr>
                            <w:t xml:space="preserve">. Šio straipsnio </w:t>
                          </w:r>
                          <w:r>
                            <w:rPr>
                              <w:bCs/>
                              <w:color w:val="000000"/>
                              <w:szCs w:val="24"/>
                            </w:rPr>
                            <w:t xml:space="preserve">13, </w:t>
                          </w:r>
                          <w:r>
                            <w:rPr>
                              <w:color w:val="000000"/>
                              <w:szCs w:val="24"/>
                            </w:rPr>
                            <w:t>14, 15 dalyse numatyti administraciniai nusižengimai, padaryti pakartotinai,</w:t>
                          </w:r>
                        </w:p>
                        <w:p>
                          <w:pPr>
                            <w:spacing w:line="360" w:lineRule="auto"/>
                            <w:ind w:firstLine="720"/>
                            <w:jc w:val="both"/>
                            <w:textAlignment w:val="baseline"/>
                            <w:rPr>
                              <w:bCs/>
                              <w:szCs w:val="24"/>
                            </w:rPr>
                          </w:pPr>
                          <w:r>
                            <w:rPr>
                              <w:color w:val="000000"/>
                              <w:szCs w:val="24"/>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1"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2"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3"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4"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15"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16"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17"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18"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4e6ca85386914db39e856306864e90bd"/>
                    <w:lock w:val="sdtLocked"/>
                    <w:richText/>
                  </w:sdtPr>
                  <w:sdtContent>
                    <w:p>
                      <w:pPr>
                        <w:spacing w:line="360" w:lineRule="auto"/>
                        <w:ind w:left="2410" w:hanging="1690"/>
                        <w:jc w:val="both"/>
                      </w:pPr>
                      <w:sdt>
                        <w:sdtPr>
                          <w:alias w:val="Numeris"/>
                          <w:tag w:val="nr_4e6ca85386914db39e856306864e90bd"/>
                          <w:lock w:val="sdtLocked"/>
                          <w:richText/>
                        </w:sdtPr>
                        <w:sdtContent>
                          <w:r>
                            <w:rPr>
                              <w:b/>
                            </w:rPr>
                            <w:t>283</w:t>
                          </w:r>
                        </w:sdtContent>
                      </w:sdt>
                      <w:r>
                        <w:rPr>
                          <w:b/>
                        </w:rPr>
                        <w:t xml:space="preserve"> straipsnis. </w:t>
                      </w:r>
                      <w:sdt>
                        <w:sdtPr>
                          <w:alias w:val="Pavadinimas"/>
                          <w:tag w:val="title_4e6ca85386914db39e856306864e90bd"/>
                          <w:lock w:val="sdtLocked"/>
                          <w:richText/>
                        </w:sdtPr>
                        <w:sdtContent>
                          <w:r>
                            <w:rPr>
                              <w:b/>
                            </w:rPr>
                            <w:t>Miškų, žemės ir saugomų teritorijų kvartalinių stulpų ir ženklų, informacinių stendų, priešgaisrinių ir rekreacinių įrenginių gadinimas, naikinimas ar savavališkas perkėlimas</w:t>
                          </w:r>
                        </w:sdtContent>
                      </w:sdt>
                    </w:p>
                    <w:sdt>
                      <w:sdtPr>
                        <w:alias w:val="283 str. 1 d."/>
                        <w:tag w:val="part_92bbdbf0c2bf46728998b79dc320d985"/>
                        <w:lock w:val="sdtLocked"/>
                        <w:richText/>
                      </w:sdtPr>
                      <w:sdtContent>
                        <w:p>
                          <w:pPr>
                            <w:tabs>
                              <w:tab w:val="left" w:pos="993"/>
                            </w:tabs>
                            <w:spacing w:line="360" w:lineRule="auto"/>
                            <w:ind w:firstLine="720"/>
                            <w:jc w:val="both"/>
                          </w:pPr>
                          <w:r>
                            <w:t xml:space="preserve">Miškų, žemės ir saugomų teritorijų kvartalinių stulpų ir ženklų, informacinių stendų, priešgaisrinių ir rekreacinių įrenginių gadinimas, naikinimas ar savavališkas perkėlimas </w:t>
                          </w:r>
                        </w:p>
                      </w:sdtContent>
                    </w:sdt>
                    <w:sdt>
                      <w:sdtPr>
                        <w:alias w:val="283 str. 2 d."/>
                        <w:tag w:val="part_0282f00445a84a0aa0995bacf51848aa"/>
                        <w:lock w:val="sdtLocked"/>
                        <w:richText/>
                      </w:sdtPr>
                      <w:sdtContent>
                        <w:p>
                          <w:pPr>
                            <w:tabs>
                              <w:tab w:val="left" w:pos="993"/>
                            </w:tabs>
                            <w:spacing w:line="360" w:lineRule="auto"/>
                            <w:ind w:firstLine="720"/>
                            <w:jc w:val="both"/>
                            <w:rPr>
                              <w:bCs/>
                              <w:szCs w:val="24"/>
                            </w:rPr>
                          </w:pPr>
                          <w:r>
                            <w:t>užtraukia baudą asmenims nuo trisdešimt iki vieno šimto penkiasdešimt eurų ir juridinių asmenų vadovams ar kitiems atsakingiems asmenims –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3"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4"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5"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3"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5"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6"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7"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8"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89"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0"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1"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2"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3"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4"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6"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7"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8"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19"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4"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0"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1"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2"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3"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4"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5"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2"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3"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5"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6"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7"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8" w:tgtFrame="_blank" w:history="1">
                            <w:r>
                              <w:rPr>
                                <w:color w:val="0000FF" w:themeColor="hyperlink"/>
                                <w:szCs w:val="24"/>
                                <w:u w:val="single"/>
                                <w:lang w:eastAsia="lt-LT"/>
                              </w:rPr>
                              <w:t>(ES) Nr. 1178/2011</w:t>
                            </w:r>
                          </w:hyperlink>
                          <w:r>
                            <w:rPr>
                              <w:szCs w:val="24"/>
                              <w:lang w:eastAsia="lt-LT"/>
                            </w:rPr>
                            <w:t xml:space="preserve">, Reglamente </w:t>
                          </w:r>
                          <w:hyperlink r:id="rId59"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60"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1"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2" w:tgtFrame="_blank" w:history="1">
                            <w:r>
                              <w:rPr>
                                <w:color w:val="0000FF" w:themeColor="hyperlink"/>
                                <w:szCs w:val="24"/>
                                <w:u w:val="single"/>
                                <w:lang w:eastAsia="lt-LT"/>
                              </w:rPr>
                              <w:t>(ES) Nr. 1178/2011</w:t>
                            </w:r>
                          </w:hyperlink>
                          <w:r>
                            <w:rPr>
                              <w:szCs w:val="24"/>
                              <w:lang w:eastAsia="lt-LT"/>
                            </w:rPr>
                            <w:t xml:space="preserve">, Reglamente </w:t>
                          </w:r>
                          <w:hyperlink r:id="rId63" w:tgtFrame="_blank" w:history="1">
                            <w:r>
                              <w:rPr>
                                <w:color w:val="0000FF" w:themeColor="hyperlink"/>
                                <w:szCs w:val="24"/>
                                <w:u w:val="single"/>
                                <w:lang w:eastAsia="lt-LT"/>
                              </w:rPr>
                              <w:t>(ES) Nr. 1321/2014</w:t>
                            </w:r>
                          </w:hyperlink>
                          <w:r>
                            <w:rPr>
                              <w:szCs w:val="24"/>
                              <w:lang w:eastAsia="lt-LT"/>
                            </w:rPr>
                            <w:t xml:space="preserve">, Reglamente </w:t>
                          </w:r>
                          <w:hyperlink r:id="rId64" w:tgtFrame="_blank" w:history="1">
                            <w:r>
                              <w:rPr>
                                <w:color w:val="0000FF" w:themeColor="hyperlink"/>
                                <w:szCs w:val="24"/>
                                <w:u w:val="single"/>
                                <w:lang w:eastAsia="lt-LT"/>
                              </w:rPr>
                              <w:t>(ES) 2015/340</w:t>
                            </w:r>
                          </w:hyperlink>
                          <w:r>
                            <w:rPr>
                              <w:szCs w:val="24"/>
                              <w:lang w:eastAsia="lt-LT"/>
                            </w:rPr>
                            <w:t xml:space="preserve"> ir Reglamente </w:t>
                          </w:r>
                          <w:hyperlink r:id="rId65"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6"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7"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8"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69"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70"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1"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2"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063c00800bcf46d89f886b5f32fc05d9"/>
                    <w:lock w:val="sdtLocked"/>
                    <w:richText/>
                  </w:sdtPr>
                  <w:sdtContent>
                    <w:p>
                      <w:pPr>
                        <w:suppressAutoHyphens/>
                        <w:spacing w:line="360" w:lineRule="auto"/>
                        <w:ind w:left="2268" w:hanging="1548"/>
                        <w:jc w:val="both"/>
                        <w:textAlignment w:val="baseline"/>
                      </w:pPr>
                      <w:sdt>
                        <w:sdtPr>
                          <w:alias w:val="Numeris"/>
                          <w:tag w:val="nr_063c00800bcf46d89f886b5f32fc05d9"/>
                          <w:lock w:val="sdtLocked"/>
                          <w:richText/>
                        </w:sdtPr>
                        <w:sdtContent>
                          <w:r>
                            <w:rPr>
                              <w:b/>
                              <w:szCs w:val="24"/>
                              <w:lang w:eastAsia="lt-LT"/>
                            </w:rPr>
                            <w:t>476</w:t>
                          </w:r>
                        </w:sdtContent>
                      </w:sdt>
                      <w:r>
                        <w:rPr>
                          <w:b/>
                          <w:szCs w:val="24"/>
                          <w:lang w:eastAsia="lt-LT"/>
                        </w:rPr>
                        <w:t xml:space="preserve"> straipsnis.</w:t>
                      </w:r>
                      <w:r>
                        <w:rPr>
                          <w:b/>
                        </w:rPr>
                        <w:t xml:space="preserve"> </w:t>
                      </w:r>
                      <w:sdt>
                        <w:sdtPr>
                          <w:alias w:val="Pavadinimas"/>
                          <w:tag w:val="title_063c00800bcf46d89f886b5f32fc05d9"/>
                          <w:lock w:val="sdtLocked"/>
                          <w:richText/>
                        </w:sdtPr>
                        <w:sdtContent>
                          <w:r>
                            <w:rPr>
                              <w:b/>
                            </w:rPr>
                            <w:t>Elektroninių ryšių infrastruktūros įrengimo, žymėjimo, priežiūros ir naudojimo taisyklių</w:t>
                          </w:r>
                          <w:r>
                            <w:rPr>
                              <w:b/>
                              <w:bCs/>
                            </w:rPr>
                            <w:t xml:space="preserve"> ir </w:t>
                          </w:r>
                          <w:r>
                            <w:rPr>
                              <w:b/>
                              <w:bCs/>
                              <w:szCs w:val="24"/>
                            </w:rPr>
                            <w:t xml:space="preserve">Reglamento </w:t>
                          </w:r>
                          <w:hyperlink r:id="rId26" w:tgtFrame="_blank" w:history="1">
                            <w:r>
                              <w:rPr>
                                <w:b/>
                                <w:bCs/>
                                <w:color w:val="0000FF" w:themeColor="hyperlink"/>
                                <w:szCs w:val="24"/>
                                <w:u w:val="single"/>
                              </w:rPr>
                              <w:t>(ES) 2024/1309</w:t>
                            </w:r>
                          </w:hyperlink>
                          <w:r>
                            <w:rPr>
                              <w:b/>
                              <w:bCs/>
                              <w:szCs w:val="24"/>
                            </w:rPr>
                            <w:t xml:space="preserve"> nuostatų</w:t>
                          </w:r>
                          <w:r>
                            <w:rPr>
                              <w:b/>
                              <w:bCs/>
                            </w:rPr>
                            <w:t xml:space="preserve"> </w:t>
                          </w:r>
                          <w:r>
                            <w:rPr>
                              <w:b/>
                            </w:rPr>
                            <w:t>pažeidimas</w:t>
                          </w:r>
                        </w:sdtContent>
                      </w:sdt>
                    </w:p>
                    <w:sdt>
                      <w:sdtPr>
                        <w:alias w:val="476 str. 1 d."/>
                        <w:tag w:val="part_25116e6ee47b4790a543899387ebfdc9"/>
                        <w:lock w:val="sdtLocked"/>
                        <w:richText/>
                      </w:sdtPr>
                      <w:sdtContent>
                        <w:p>
                          <w:pPr>
                            <w:suppressAutoHyphens/>
                            <w:spacing w:line="360" w:lineRule="auto"/>
                            <w:ind w:firstLine="720"/>
                            <w:jc w:val="both"/>
                            <w:textAlignment w:val="baseline"/>
                          </w:pPr>
                          <w:sdt>
                            <w:sdtPr>
                              <w:alias w:val="Numeris"/>
                              <w:tag w:val="nr_25116e6ee47b4790a543899387ebfdc9"/>
                              <w:lock w:val="sdtLocked"/>
                              <w:richText/>
                            </w:sdtPr>
                            <w:sdtContent>
                              <w:r>
                                <w:t>1</w:t>
                              </w:r>
                            </w:sdtContent>
                          </w:sdt>
                          <w:r>
                            <w:t>. Elektroninių ryšių infrastruktūros įrengimo, žymėjimo, priežiūros ir naudojimo taisyklių pažeidimas</w:t>
                          </w:r>
                        </w:p>
                        <w:p>
                          <w:pPr>
                            <w:suppressAutoHyphens/>
                            <w:spacing w:line="360" w:lineRule="auto"/>
                            <w:ind w:firstLine="720"/>
                            <w:jc w:val="both"/>
                            <w:textAlignment w:val="baseline"/>
                          </w:pPr>
                          <w: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2da8bc18c7864b039c87428056af300e"/>
                        <w:lock w:val="sdtLocked"/>
                        <w:richText/>
                      </w:sdtPr>
                      <w:sdtContent>
                        <w:p>
                          <w:pPr>
                            <w:suppressAutoHyphens/>
                            <w:spacing w:line="360" w:lineRule="auto"/>
                            <w:ind w:firstLine="720"/>
                            <w:jc w:val="both"/>
                            <w:textAlignment w:val="baseline"/>
                          </w:pPr>
                          <w:sdt>
                            <w:sdtPr>
                              <w:alias w:val="Numeris"/>
                              <w:tag w:val="nr_2da8bc18c7864b039c87428056af300e"/>
                              <w:lock w:val="sdtLocked"/>
                              <w:richText/>
                            </w:sdtPr>
                            <w:sdtContent>
                              <w:r>
                                <w:t>2</w:t>
                              </w:r>
                            </w:sdtContent>
                          </w:sdt>
                          <w:r>
                            <w:t>. Šio straipsnio 1 dalyje numatytas administracinis nusižengimas, padarytas pakartotinai,</w:t>
                          </w:r>
                        </w:p>
                        <w:p>
                          <w:pPr>
                            <w:suppressAutoHyphens/>
                            <w:spacing w:line="360" w:lineRule="auto"/>
                            <w:ind w:firstLine="720"/>
                            <w:jc w:val="both"/>
                            <w:textAlignment w:val="baseline"/>
                          </w:pPr>
                          <w:r>
                            <w:t>užtraukia baudą nuo septynių šimtų iki vieno tūkstančio penkių šimtų eurų.</w:t>
                          </w:r>
                        </w:p>
                      </w:sdtContent>
                    </w:sdt>
                    <w:sdt>
                      <w:sdtPr>
                        <w:alias w:val="476 str. 3 d."/>
                        <w:tag w:val="part_d79f922d7f0e4c90b7bf20d261b00dbc"/>
                        <w:lock w:val="sdtLocked"/>
                        <w:richText/>
                      </w:sdtPr>
                      <w:sdtContent>
                        <w:p>
                          <w:pPr>
                            <w:suppressAutoHyphens/>
                            <w:spacing w:line="360" w:lineRule="auto"/>
                            <w:ind w:firstLine="720"/>
                            <w:jc w:val="both"/>
                            <w:textAlignment w:val="baseline"/>
                            <w:rPr>
                              <w:bCs/>
                              <w:szCs w:val="24"/>
                            </w:rPr>
                          </w:pPr>
                          <w:sdt>
                            <w:sdtPr>
                              <w:alias w:val="Numeris"/>
                              <w:tag w:val="nr_d79f922d7f0e4c90b7bf20d261b00dbc"/>
                              <w:lock w:val="sdtLocked"/>
                              <w:richText/>
                            </w:sdtPr>
                            <w:sdtContent>
                              <w:r>
                                <w:rPr>
                                  <w:bCs/>
                                </w:rPr>
                                <w:t>3</w:t>
                              </w:r>
                            </w:sdtContent>
                          </w:sdt>
                          <w:r>
                            <w:rPr>
                              <w:bCs/>
                            </w:rPr>
                            <w:t xml:space="preserve">. </w:t>
                          </w:r>
                          <w:r>
                            <w:rPr>
                              <w:bCs/>
                              <w:szCs w:val="24"/>
                            </w:rPr>
                            <w:t xml:space="preserve">Reglamento </w:t>
                          </w:r>
                          <w:hyperlink r:id="rId161" w:tgtFrame="_blank" w:history="1">
                            <w:r>
                              <w:rPr>
                                <w:bCs/>
                                <w:color w:val="0000FF" w:themeColor="hyperlink"/>
                                <w:szCs w:val="24"/>
                                <w:u w:val="single"/>
                              </w:rPr>
                              <w:t>(ES) 2024/1309</w:t>
                            </w:r>
                          </w:hyperlink>
                          <w:r>
                            <w:rPr>
                              <w:bCs/>
                              <w:szCs w:val="24"/>
                            </w:rPr>
                            <w:t xml:space="preserve"> nuostatų pažeidimas</w:t>
                          </w:r>
                        </w:p>
                        <w:p>
                          <w:pPr>
                            <w:suppressAutoHyphens/>
                            <w:spacing w:line="360" w:lineRule="auto"/>
                            <w:ind w:firstLine="720"/>
                            <w:jc w:val="both"/>
                            <w:textAlignment w:val="baseline"/>
                            <w:rPr>
                              <w:bCs/>
                            </w:rPr>
                          </w:pPr>
                          <w:r>
                            <w:rPr>
                              <w:bCs/>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6 str. 4 d."/>
                        <w:tag w:val="part_6113d8e33bff4504a592d29f6688ddbc"/>
                        <w:lock w:val="sdtLocked"/>
                        <w:richText/>
                      </w:sdtPr>
                      <w:sdtContent>
                        <w:p>
                          <w:pPr>
                            <w:suppressAutoHyphens/>
                            <w:spacing w:line="360" w:lineRule="auto"/>
                            <w:ind w:firstLine="720"/>
                            <w:jc w:val="both"/>
                            <w:textAlignment w:val="baseline"/>
                            <w:rPr>
                              <w:bCs/>
                            </w:rPr>
                          </w:pPr>
                          <w:sdt>
                            <w:sdtPr>
                              <w:alias w:val="Numeris"/>
                              <w:tag w:val="nr_6113d8e33bff4504a592d29f6688ddbc"/>
                              <w:lock w:val="sdtLocked"/>
                              <w:richText/>
                            </w:sdtPr>
                            <w:sdtContent>
                              <w:r>
                                <w:rPr>
                                  <w:bCs/>
                                </w:rPr>
                                <w:t>4</w:t>
                              </w:r>
                            </w:sdtContent>
                          </w:sdt>
                          <w:r>
                            <w:rPr>
                              <w:bCs/>
                            </w:rPr>
                            <w:t>. Šio straipsnio 3 dalyje numatytas administracinis nusižengimas, padarytas pakartotinai,</w:t>
                          </w:r>
                        </w:p>
                        <w:p>
                          <w:pPr>
                            <w:suppressAutoHyphens/>
                            <w:spacing w:line="360" w:lineRule="auto"/>
                            <w:ind w:firstLine="720"/>
                            <w:jc w:val="both"/>
                            <w:textAlignment w:val="baseline"/>
                            <w:rPr>
                              <w:bCs/>
                              <w:szCs w:val="24"/>
                            </w:rPr>
                          </w:pPr>
                          <w:r>
                            <w:rPr>
                              <w:bCs/>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b7b803d5c11f180c9c618618421ed">
                        <w:r w:rsidRPr="00532B9F">
                          <w:rPr>
                            <w:rFonts w:ascii="Times New Roman" w:eastAsia="MS Mincho" w:hAnsi="Times New Roman"/>
                            <w:sz w:val="20"/>
                            <w:i/>
                            <w:iCs/>
                            <w:color w:val="0000FF" w:themeColor="hyperlink"/>
                            <w:u w:val="single"/>
                          </w:rPr>
                          <w:t>XV-816</w:t>
                        </w:r>
                      </w:fldSimple>
                      <w:r>
                        <w:rPr>
                          <w:rFonts w:ascii="Times New Roman" w:eastAsia="MS Mincho" w:hAnsi="Times New Roman"/>
                          <w:sz w:val="20"/>
                          <w:i/>
                          <w:iCs/>
                        </w:rPr>
                        <w:t>,
2026-04-16,
paskelbta TAR 2026-04-21, i. k. 2026-06394            </w:t>
                      </w:r>
                    </w:p>
                    <w:p/>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0efc4bfd7ea743cf9bab454b78b84059"/>
                    <w:lock w:val="sdtLocked"/>
                    <w:richText/>
                  </w:sdtPr>
                  <w:sdtContent>
                    <w:p>
                      <w:pPr>
                        <w:spacing w:line="360" w:lineRule="auto"/>
                        <w:ind w:left="2410" w:hanging="1690"/>
                        <w:jc w:val="both"/>
                        <w:rPr>
                          <w:szCs w:val="24"/>
                        </w:rPr>
                      </w:pPr>
                      <w:sdt>
                        <w:sdtPr>
                          <w:alias w:val="Numeris"/>
                          <w:tag w:val="nr_0efc4bfd7ea743cf9bab454b78b84059"/>
                          <w:lock w:val="sdtLocked"/>
                          <w:richText/>
                        </w:sdtPr>
                        <w:sdtContent>
                          <w:r>
                            <w:rPr>
                              <w:b/>
                              <w:szCs w:val="24"/>
                            </w:rPr>
                            <w:t>547</w:t>
                          </w:r>
                        </w:sdtContent>
                      </w:sdt>
                      <w:r>
                        <w:rPr>
                          <w:b/>
                          <w:szCs w:val="24"/>
                        </w:rPr>
                        <w:t xml:space="preserve"> straipsnis. </w:t>
                      </w:r>
                      <w:sdt>
                        <w:sdtPr>
                          <w:alias w:val="Pavadinimas"/>
                          <w:tag w:val="title_0efc4bfd7ea743cf9bab454b78b84059"/>
                          <w:lock w:val="sdtLocked"/>
                          <w:richText/>
                        </w:sdtPr>
                        <w:sdtContent>
                          <w:r>
                            <w:rPr>
                              <w:b/>
                              <w:szCs w:val="24"/>
                            </w:rPr>
                            <w:t>Atsisakymas teikti informaciją visuomenės informavimo priemonių atstovams ar trukdymas žurnalistams atlikti profesines pareigas</w:t>
                          </w:r>
                        </w:sdtContent>
                      </w:sdt>
                    </w:p>
                    <w:sdt>
                      <w:sdtPr>
                        <w:alias w:val="547 str. 1 d."/>
                        <w:tag w:val="part_35c32b860bca46b898ba83b3720a797d"/>
                        <w:lock w:val="sdtLocked"/>
                        <w:richText/>
                      </w:sdtPr>
                      <w:sdtContent>
                        <w:p>
                          <w:pPr>
                            <w:spacing w:line="360" w:lineRule="auto"/>
                            <w:ind w:firstLine="720"/>
                            <w:jc w:val="both"/>
                            <w:rPr>
                              <w:szCs w:val="24"/>
                            </w:rPr>
                          </w:pPr>
                          <w:sdt>
                            <w:sdtPr>
                              <w:alias w:val="Numeris"/>
                              <w:tag w:val="nr_35c32b860bca46b898ba83b3720a797d"/>
                              <w:lock w:val="sdtLocked"/>
                              <w:richText/>
                            </w:sdtPr>
                            <w:sdtContent>
                              <w:r>
                                <w:rPr>
                                  <w:szCs w:val="24"/>
                                </w:rPr>
                                <w:t>1</w:t>
                              </w:r>
                            </w:sdtContent>
                          </w:sdt>
                          <w:r>
                            <w:rPr>
                              <w:szCs w:val="24"/>
                            </w:rPr>
                            <w:t xml:space="preserve">. Valstybės ir savivaldybių institucijų ir įstaigų vadovų atsisakymas teikti informaciją visuomenės informavimo priemonių atstovams, išskyrus pagal Lietuvos Respublikos įstatymus ar tiesiogiai taikomus Europos Sąjungos teisės aktus neskelbtiną informaciją, nenurodant atsisakymo priežasties, trukdymas žurnalistams atlikti profesines pareigas </w:t>
                          </w:r>
                        </w:p>
                        <w:p>
                          <w:pPr>
                            <w:spacing w:line="360" w:lineRule="auto"/>
                            <w:ind w:firstLine="720"/>
                            <w:jc w:val="both"/>
                            <w:rPr>
                              <w:szCs w:val="24"/>
                            </w:rPr>
                          </w:pPr>
                          <w:r>
                            <w:rPr>
                              <w:szCs w:val="24"/>
                            </w:rPr>
                            <w:t xml:space="preserve">užtraukia baudą valstybės ir savivaldybių institucijų ir įstaigų vadovams nuo </w:t>
                          </w:r>
                          <w:r>
                            <w:rPr>
                              <w:bCs/>
                              <w:szCs w:val="24"/>
                            </w:rPr>
                            <w:t>šešiasdešimt</w:t>
                          </w:r>
                          <w:r>
                            <w:rPr>
                              <w:szCs w:val="24"/>
                            </w:rPr>
                            <w:t xml:space="preserve"> iki </w:t>
                          </w:r>
                          <w:r>
                            <w:rPr>
                              <w:bCs/>
                              <w:szCs w:val="24"/>
                            </w:rPr>
                            <w:t>trijų šimtų</w:t>
                          </w:r>
                          <w:r>
                            <w:rPr>
                              <w:szCs w:val="24"/>
                            </w:rPr>
                            <w:t xml:space="preserve"> eurų.</w:t>
                          </w:r>
                        </w:p>
                      </w:sdtContent>
                    </w:sdt>
                    <w:sdt>
                      <w:sdtPr>
                        <w:alias w:val="547 str. 2 d."/>
                        <w:tag w:val="part_fc4727f473874d57ae6b8714f840632a"/>
                        <w:lock w:val="sdtLocked"/>
                        <w:richText/>
                      </w:sdtPr>
                      <w:sdtContent>
                        <w:p>
                          <w:pPr>
                            <w:spacing w:line="360" w:lineRule="auto"/>
                            <w:ind w:firstLine="720"/>
                            <w:jc w:val="both"/>
                            <w:rPr>
                              <w:szCs w:val="24"/>
                            </w:rPr>
                          </w:pPr>
                          <w:sdt>
                            <w:sdtPr>
                              <w:alias w:val="Numeris"/>
                              <w:tag w:val="nr_fc4727f473874d57ae6b8714f840632a"/>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bCs/>
                              <w:szCs w:val="24"/>
                            </w:rPr>
                          </w:pPr>
                          <w:r>
                            <w:rPr>
                              <w:szCs w:val="24"/>
                            </w:rPr>
                            <w:t xml:space="preserve">užtraukia baudą nuo </w:t>
                          </w:r>
                          <w:r>
                            <w:rPr>
                              <w:bCs/>
                              <w:szCs w:val="24"/>
                            </w:rPr>
                            <w:t>trijų šimtų</w:t>
                          </w:r>
                          <w:r>
                            <w:rPr>
                              <w:szCs w:val="24"/>
                            </w:rPr>
                            <w:t xml:space="preserve">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0bebb2389a11f180c9c618618421ed">
                        <w:r w:rsidRPr="00532B9F">
                          <w:rPr>
                            <w:rFonts w:ascii="Times New Roman" w:eastAsia="MS Mincho" w:hAnsi="Times New Roman"/>
                            <w:sz w:val="20"/>
                            <w:i/>
                            <w:iCs/>
                            <w:color w:val="0000FF" w:themeColor="hyperlink"/>
                            <w:u w:val="single"/>
                          </w:rPr>
                          <w:t>XV-801</w:t>
                        </w:r>
                      </w:fldSimple>
                      <w:r>
                        <w:rPr>
                          <w:rFonts w:ascii="Times New Roman" w:eastAsia="MS Mincho" w:hAnsi="Times New Roman"/>
                          <w:sz w:val="20"/>
                          <w:i/>
                          <w:iCs/>
                        </w:rPr>
                        <w:t>,
2026-04-09,
paskelbta TAR 2026-04-15, i. k. 2026-06072            </w:t>
                      </w:r>
                    </w:p>
                    <w:p/>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fbcd8d0d210c484693fd9c7d385182c7"/>
                            <w:lock w:val="sdtLocked"/>
                            <w:richText/>
                          </w:sdtPr>
                          <w:sdtContent>
                            <w:p>
                              <w:pPr>
                                <w:spacing w:line="360" w:lineRule="auto"/>
                                <w:ind w:firstLine="720"/>
                                <w:jc w:val="both"/>
                                <w:rPr>
                                  <w:szCs w:val="24"/>
                                </w:rPr>
                              </w:pPr>
                              <w:sdt>
                                <w:sdtPr>
                                  <w:alias w:val="Numeris"/>
                                  <w:tag w:val="nr_fbcd8d0d210c484693fd9c7d385182c7"/>
                                  <w:lock w:val="sdtLocked"/>
                                  <w:richText/>
                                </w:sdtPr>
                                <w:sdtContent>
                                  <w:r>
                                    <w:t>7</w:t>
                                  </w:r>
                                </w:sdtContent>
                              </w:sdt>
                              <w:r>
                                <w:t>) Lietuvos banko – dėl šio kodekso 196, 198, 207</w:t>
                              </w:r>
                              <w:r>
                                <w:rPr>
                                  <w:vertAlign w:val="superscript"/>
                                </w:rPr>
                                <w:t>2</w:t>
                              </w:r>
                              <w:r>
                                <w:t>, 221, 222,</w:t>
                              </w:r>
                              <w:r>
                                <w:rPr>
                                  <w:b/>
                                  <w:bCs/>
                                </w:rPr>
                                <w:t xml:space="preserve"> </w:t>
                              </w:r>
                              <w:r>
                                <w:t xml:space="preserve">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3cf5a4e2e6c54847961fcc51c231123d"/>
                            <w:lock w:val="sdtLocked"/>
                            <w:richText/>
                          </w:sdtPr>
                          <w:sdtContent>
                            <w:p>
                              <w:pPr>
                                <w:spacing w:line="360" w:lineRule="auto"/>
                                <w:ind w:firstLine="720"/>
                                <w:jc w:val="both"/>
                              </w:pPr>
                              <w:sdt>
                                <w:sdtPr>
                                  <w:alias w:val="Numeris"/>
                                  <w:tag w:val="nr_3cf5a4e2e6c54847961fcc51c231123d"/>
                                  <w:lock w:val="sdtLocked"/>
                                  <w:richText/>
                                </w:sdtPr>
                                <w:sdtContent>
                                  <w:r>
                                    <w:rPr>
                                      <w:szCs w:val="24"/>
                                    </w:rPr>
                                    <w:t>17</w:t>
                                  </w:r>
                                </w:sdtContent>
                              </w:sdt>
                              <w:r>
                                <w:rPr>
                                  <w:szCs w:val="24"/>
                                </w:rPr>
                                <w:t xml:space="preserve">) Lietuvos Respublikos finansų ministerijos – dėl šio kodekso 185, 195 straipsniuose, </w:t>
                              </w:r>
                              <w:r>
                                <w:t>205 straipsnio 7 dalyje,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ef03eb30a8cb4e53ad8b6d12d3b55646"/>
                            <w:lock w:val="sdtLocked"/>
                            <w:richText/>
                          </w:sdtPr>
                          <w:sdtContent>
                            <w:p>
                              <w:pPr>
                                <w:spacing w:line="360" w:lineRule="auto"/>
                                <w:ind w:firstLine="720"/>
                                <w:jc w:val="both"/>
                                <w:textAlignment w:val="baseline"/>
                                <w:rPr>
                                  <w:szCs w:val="24"/>
                                </w:rPr>
                              </w:pPr>
                              <w:sdt>
                                <w:sdtPr>
                                  <w:alias w:val="Numeris"/>
                                  <w:tag w:val="nr_ef03eb30a8cb4e53ad8b6d12d3b55646"/>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straipsniuose, 242 straipsnio 1, 2, 3 dalyse, 243 straipsnyje, 243</w:t>
                              </w:r>
                              <w:r>
                                <w:rPr>
                                  <w:color w:val="000000"/>
                                  <w:szCs w:val="24"/>
                                  <w:vertAlign w:val="superscript"/>
                                </w:rPr>
                                <w:t>2</w:t>
                              </w:r>
                              <w:r>
                                <w:rPr>
                                  <w:color w:val="000000"/>
                                  <w:szCs w:val="24"/>
                                </w:rPr>
                                <w:t xml:space="preserve"> straipsnio 1 dalyje, 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256, 257, 258, 259, 260, 262, 264, 265, 266, 267 straipsniuose, 268 straipsnio 1, 2, 3, 4, 5, 6 dalyse, 269, 270, 270</w:t>
                              </w:r>
                              <w:r>
                                <w:rPr>
                                  <w:color w:val="000000"/>
                                  <w:szCs w:val="24"/>
                                  <w:vertAlign w:val="superscript"/>
                                </w:rPr>
                                <w:t>1</w:t>
                              </w:r>
                              <w:r>
                                <w:rPr>
                                  <w:color w:val="000000"/>
                                  <w:szCs w:val="24"/>
                                </w:rPr>
                                <w:t>, 270</w:t>
                              </w:r>
                              <w:r>
                                <w:rPr>
                                  <w:color w:val="000000"/>
                                  <w:szCs w:val="24"/>
                                  <w:vertAlign w:val="superscript"/>
                                </w:rPr>
                                <w:t>2</w:t>
                              </w:r>
                              <w:r>
                                <w:rPr>
                                  <w:color w:val="000000"/>
                                  <w:szCs w:val="24"/>
                                </w:rPr>
                                <w:t xml:space="preserve"> 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ebcb5ac553b34911a3e24c89387a0622"/>
                            <w:lock w:val="sdtLocked"/>
                            <w:richText/>
                          </w:sdtPr>
                          <w:sdtContent>
                            <w:p>
                              <w:pPr>
                                <w:spacing w:line="360" w:lineRule="auto"/>
                                <w:ind w:firstLine="720"/>
                                <w:jc w:val="both"/>
                                <w:textAlignment w:val="baseline"/>
                                <w:rPr>
                                  <w:szCs w:val="24"/>
                                </w:rPr>
                              </w:pPr>
                              <w:sdt>
                                <w:sdtPr>
                                  <w:alias w:val="Numeris"/>
                                  <w:tag w:val="nr_ebcb5ac553b34911a3e24c89387a0622"/>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bf38264aeabe4bd9bd30db2400ff9056"/>
                            <w:lock w:val="sdtLocked"/>
                            <w:richText/>
                          </w:sdtPr>
                          <w:sdtContent>
                            <w:p>
                              <w:pPr>
                                <w:spacing w:line="360" w:lineRule="auto"/>
                                <w:ind w:firstLine="720"/>
                                <w:jc w:val="both"/>
                                <w:rPr>
                                  <w:szCs w:val="24"/>
                                </w:rPr>
                              </w:pPr>
                              <w:sdt>
                                <w:sdtPr>
                                  <w:alias w:val="Numeris"/>
                                  <w:tag w:val="nr_bf38264aeabe4bd9bd30db2400ff9056"/>
                                  <w:lock w:val="sdtLocked"/>
                                  <w:richText/>
                                </w:sdtPr>
                                <w:sdtContent>
                                  <w:r>
                                    <w:rPr>
                                      <w:szCs w:val="24"/>
                                    </w:rPr>
                                    <w:t>43</w:t>
                                  </w:r>
                                </w:sdtContent>
                              </w:sdt>
                              <w:r>
                                <w:rPr>
                                  <w:szCs w:val="24"/>
                                </w:rPr>
                                <w:t>) valstybinių miškų apsaugos pareigūnai – dėl šio kodekso 110 straipsnyje, 247 straipsnio 1, 2, 3, 4, 5, 6, 6</w:t>
                              </w:r>
                              <w:r>
                                <w:rPr>
                                  <w:szCs w:val="24"/>
                                  <w:vertAlign w:val="superscript"/>
                                </w:rPr>
                                <w:t>1</w:t>
                              </w:r>
                              <w:r>
                                <w:rPr>
                                  <w:szCs w:val="24"/>
                                </w:rPr>
                                <w:t>,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bCs/>
                                  <w:szCs w:val="24"/>
                                </w:rPr>
                                <w:t xml:space="preserve"> </w:t>
                              </w:r>
                              <w:r>
                                <w:rPr>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1f7a03cce30d442997fb89b0810a3877"/>
                            <w:lock w:val="sdtLocked"/>
                            <w:richText/>
                          </w:sdtPr>
                          <w:sdtContent>
                            <w:p>
                              <w:pPr>
                                <w:spacing w:line="360" w:lineRule="auto"/>
                                <w:ind w:firstLine="720"/>
                                <w:jc w:val="both"/>
                              </w:pPr>
                              <w:sdt>
                                <w:sdtPr>
                                  <w:alias w:val="Numeris"/>
                                  <w:tag w:val="nr_1f7a03cce30d442997fb89b0810a3877"/>
                                  <w:lock w:val="sdtLocked"/>
                                  <w:richText/>
                                </w:sdtPr>
                                <w:sdtContent>
                                  <w:r>
                                    <w:rPr>
                                      <w:szCs w:val="24"/>
                                    </w:rPr>
                                    <w:t>67</w:t>
                                  </w:r>
                                </w:sdtContent>
                              </w:sdt>
                              <w:r>
                                <w:rPr>
                                  <w:szCs w:val="24"/>
                                </w:rPr>
                                <w:t>) Valstybinės teritorijų planavimo ir statybos inspekcijos prie Aplinkos ministerijos – dėl šio kodekso 110, 113, 261 straipsniuose, 333 straipsnio 1, 2, 3, 4, 5, 6 dalyse, 350, 351, 352, 353, 354, 355, 356, 356</w:t>
                              </w:r>
                              <w:r>
                                <w:rPr>
                                  <w:szCs w:val="24"/>
                                  <w:vertAlign w:val="superscript"/>
                                </w:rPr>
                                <w:t>1</w:t>
                              </w:r>
                              <w:r>
                                <w:rPr>
                                  <w:szCs w:val="24"/>
                                </w:rPr>
                                <w:t>, 356</w:t>
                              </w:r>
                              <w:r>
                                <w:rPr>
                                  <w:szCs w:val="24"/>
                                  <w:vertAlign w:val="superscript"/>
                                </w:rPr>
                                <w:t>2</w:t>
                              </w:r>
                              <w:r>
                                <w:rPr>
                                  <w:szCs w:val="24"/>
                                </w:rPr>
                                <w:t>, 357, 357</w:t>
                              </w:r>
                              <w:r>
                                <w:rPr>
                                  <w:szCs w:val="24"/>
                                  <w:vertAlign w:val="superscript"/>
                                </w:rPr>
                                <w:t>1</w:t>
                              </w:r>
                              <w:r>
                                <w:rPr>
                                  <w:szCs w:val="24"/>
                                </w:rPr>
                                <w:t>, 358, 361, 362, 363, 364, 364</w:t>
                              </w:r>
                              <w:r>
                                <w:rPr>
                                  <w:szCs w:val="24"/>
                                  <w:vertAlign w:val="superscript"/>
                                </w:rPr>
                                <w:t>1</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7e8e87f2901644e9af2b96aed627113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pPr>
                              <w:sdt>
                                <w:sdtPr>
                                  <w:alias w:val="Numeris"/>
                                  <w:tag w:val="nr_7e8e87f2901644e9af2b96aed627113d"/>
                                  <w:lock w:val="sdtLocked"/>
                                  <w:richText/>
                                </w:sdtPr>
                                <w:sdtContent>
                                  <w:r>
                                    <w:rPr>
                                      <w:szCs w:val="24"/>
                                      <w:lang w:eastAsia="zh-CN"/>
                                    </w:rPr>
                                    <w:t>82</w:t>
                                  </w:r>
                                </w:sdtContent>
                              </w:sdt>
                              <w:r>
                                <w:rPr>
                                  <w:szCs w:val="24"/>
                                  <w:lang w:eastAsia="zh-CN"/>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zh-CN"/>
                                </w:rPr>
                                <w:t>1</w:t>
                              </w:r>
                              <w:r>
                                <w:rPr>
                                  <w:szCs w:val="24"/>
                                  <w:lang w:eastAsia="zh-CN"/>
                                </w:rPr>
                                <w:t> dalyse, 418, 419, 419</w:t>
                              </w:r>
                              <w:r>
                                <w:rPr>
                                  <w:szCs w:val="24"/>
                                  <w:vertAlign w:val="superscript"/>
                                  <w:lang w:eastAsia="zh-CN"/>
                                </w:rPr>
                                <w:t>1</w:t>
                              </w:r>
                              <w:r>
                                <w:rPr>
                                  <w:szCs w:val="24"/>
                                  <w:lang w:eastAsia="zh-CN"/>
                                </w:rPr>
                                <w:t> straipsniuose, 426 straipsnio 4 dalyje, 431 straipsnyje, 434 straipsnio 2 dalyje, 439, 445, 446, 447 straipsniuose, 448 straipsnio 1, 2, 3, 4, 5, 6, 7, 8 dalyse, 449, 449</w:t>
                              </w:r>
                              <w:r>
                                <w:rPr>
                                  <w:szCs w:val="24"/>
                                  <w:vertAlign w:val="superscript"/>
                                  <w:lang w:eastAsia="zh-CN"/>
                                </w:rPr>
                                <w:t>1</w:t>
                              </w:r>
                              <w:r>
                                <w:rPr>
                                  <w:szCs w:val="24"/>
                                  <w:lang w:eastAsia="zh-CN"/>
                                </w:rPr>
                                <w:t>, 457, 459, 484, 484</w:t>
                              </w:r>
                              <w:r>
                                <w:rPr>
                                  <w:szCs w:val="24"/>
                                  <w:vertAlign w:val="superscript"/>
                                  <w:lang w:eastAsia="zh-CN"/>
                                </w:rPr>
                                <w:t>1</w:t>
                              </w:r>
                              <w:r>
                                <w:rPr>
                                  <w:szCs w:val="24"/>
                                  <w:lang w:eastAsia="zh-CN"/>
                                </w:rPr>
                                <w:t>, 485, 488, 491, 492, 497, 498, 499, 500, 501, 502, 503, 505, 505</w:t>
                              </w:r>
                              <w:r>
                                <w:rPr>
                                  <w:szCs w:val="24"/>
                                  <w:vertAlign w:val="superscript"/>
                                  <w:lang w:eastAsia="zh-CN"/>
                                </w:rPr>
                                <w:t>1</w:t>
                              </w:r>
                              <w:r>
                                <w:rPr>
                                  <w:szCs w:val="24"/>
                                  <w:lang w:eastAsia="zh-CN"/>
                                </w:rPr>
                                <w:t>, 507, 507</w:t>
                              </w:r>
                              <w:r>
                                <w:rPr>
                                  <w:szCs w:val="24"/>
                                  <w:vertAlign w:val="superscript"/>
                                  <w:lang w:eastAsia="zh-CN"/>
                                </w:rPr>
                                <w:t>1</w:t>
                              </w:r>
                              <w:r>
                                <w:rPr>
                                  <w:szCs w:val="24"/>
                                  <w:lang w:eastAsia="zh-CN"/>
                                </w:rPr>
                                <w:t>, 516, 517</w:t>
                              </w:r>
                              <w:r>
                                <w:rPr>
                                  <w:szCs w:val="24"/>
                                  <w:vertAlign w:val="superscript"/>
                                  <w:lang w:eastAsia="zh-CN"/>
                                </w:rPr>
                                <w:t>1</w:t>
                              </w:r>
                              <w:r>
                                <w:rPr>
                                  <w:szCs w:val="24"/>
                                  <w:lang w:eastAsia="zh-CN"/>
                                </w:rPr>
                                <w:t>, 517</w:t>
                              </w:r>
                              <w:r>
                                <w:rPr>
                                  <w:szCs w:val="24"/>
                                  <w:vertAlign w:val="superscript"/>
                                  <w:lang w:eastAsia="zh-CN"/>
                                </w:rPr>
                                <w:t>2</w:t>
                              </w:r>
                              <w:r>
                                <w:rPr>
                                  <w:szCs w:val="24"/>
                                  <w:lang w:eastAsia="zh-CN"/>
                                </w:rPr>
                                <w:t>, 517</w:t>
                              </w:r>
                              <w:r>
                                <w:rPr>
                                  <w:szCs w:val="24"/>
                                  <w:vertAlign w:val="superscript"/>
                                  <w:lang w:eastAsia="zh-CN"/>
                                </w:rPr>
                                <w:t>3</w:t>
                              </w:r>
                              <w:r>
                                <w:rPr>
                                  <w:szCs w:val="24"/>
                                  <w:lang w:eastAsia="zh-CN"/>
                                </w:rPr>
                                <w:t>, 517</w:t>
                              </w:r>
                              <w:r>
                                <w:rPr>
                                  <w:szCs w:val="24"/>
                                  <w:vertAlign w:val="superscript"/>
                                  <w:lang w:eastAsia="zh-CN"/>
                                </w:rPr>
                                <w:t>4</w:t>
                              </w:r>
                              <w:r>
                                <w:rPr>
                                  <w:szCs w:val="24"/>
                                  <w:lang w:eastAsia="zh-CN"/>
                                </w:rPr>
                                <w:t>, 518, 519, 526, 526</w:t>
                              </w:r>
                              <w:r>
                                <w:rPr>
                                  <w:szCs w:val="24"/>
                                  <w:vertAlign w:val="superscript"/>
                                  <w:lang w:eastAsia="zh-CN"/>
                                </w:rPr>
                                <w:t>1</w:t>
                              </w:r>
                              <w:r>
                                <w:rPr>
                                  <w:szCs w:val="24"/>
                                  <w:lang w:eastAsia="zh-CN"/>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212ccc7f4f0f4f91975993a687b515a7"/>
                            <w:lock w:val="sdtLocked"/>
                            <w:richText/>
                          </w:sdtPr>
                          <w:sdtContent>
                            <w:p>
                              <w:pPr>
                                <w:spacing w:line="360" w:lineRule="auto"/>
                                <w:ind w:firstLine="720"/>
                                <w:jc w:val="both"/>
                                <w:rPr>
                                  <w:szCs w:val="24"/>
                                </w:rPr>
                              </w:pPr>
                              <w:sdt>
                                <w:sdtPr>
                                  <w:alias w:val="Numeris"/>
                                  <w:tag w:val="nr_212ccc7f4f0f4f91975993a687b515a7"/>
                                  <w:lock w:val="sdtLocked"/>
                                  <w:richText/>
                                </w:sdtPr>
                                <w:sdtContent>
                                  <w:r>
                                    <w:rPr>
                                      <w:szCs w:val="24"/>
                                    </w:rPr>
                                    <w:t>83</w:t>
                                  </w:r>
                                </w:sdtContent>
                              </w:sdt>
                              <w:r>
                                <w:rPr>
                                  <w:szCs w:val="24"/>
                                </w:rPr>
                                <w:t xml:space="preserve">) savivaldybių vykdomųjų institucijų įgaliotų įstaigų ar įmonių – dėl šio kodekso 224, 319 straipsniuose, </w:t>
                              </w:r>
                              <w:r>
                                <w:rPr>
                                  <w:color w:val="000000"/>
                                  <w:szCs w:val="24"/>
                                </w:rPr>
                                <w:t>434 straipsnio 2 dalyje, 426 straipsnio 4 dalyje, 439, 445, 446 straipsniuose, 448 straipsnio 1, 2, 3, 4, 5, 6, 7, 8 dalyse, 449, 449</w:t>
                              </w:r>
                              <w:r>
                                <w:rPr>
                                  <w:color w:val="000000"/>
                                  <w:szCs w:val="24"/>
                                  <w:vertAlign w:val="superscript"/>
                                </w:rPr>
                                <w:t>1</w:t>
                              </w:r>
                              <w:r>
                                <w:rPr>
                                  <w:color w:val="000000"/>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62add346545141f881dfaec9d706ed09"/>
                            <w:lock w:val="sdtLocked"/>
                            <w:richText/>
                          </w:sdtPr>
                          <w:sdtContent>
                            <w:p>
                              <w:pPr>
                                <w:spacing w:line="360" w:lineRule="auto"/>
                                <w:ind w:firstLine="720"/>
                                <w:jc w:val="both"/>
                                <w:rPr>
                                  <w:szCs w:val="24"/>
                                </w:rPr>
                              </w:pPr>
                              <w:sdt>
                                <w:sdtPr>
                                  <w:alias w:val="Numeris"/>
                                  <w:tag w:val="nr_62add346545141f881dfaec9d706ed09"/>
                                  <w:lock w:val="sdtLocked"/>
                                  <w:richText/>
                                </w:sdtPr>
                                <w:sdtContent>
                                  <w:r>
                                    <w:t>98</w:t>
                                  </w:r>
                                </w:sdtContent>
                              </w:sdt>
                              <w:r>
                                <w:t xml:space="preserve">) Audito, apskaitos, turto vertinimo ir nemokumo valdymo tarnybos prie Lietuvos Respublikos finansų ministerijos – dėl šio kodekso 127, </w:t>
                              </w:r>
                              <w:r>
                                <w:rPr>
                                  <w:szCs w:val="24"/>
                                </w:rPr>
                                <w:t>196</w:t>
                              </w:r>
                              <w:r>
                                <w:rPr>
                                  <w:szCs w:val="24"/>
                                  <w:vertAlign w:val="superscript"/>
                                </w:rPr>
                                <w:t>1</w:t>
                              </w:r>
                              <w:r>
                                <w:t xml:space="preserve"> straipsniuose, 223 straipsnio 3, 5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0d1dc210ef1540b1a053b44925445c5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2026-06-30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0d3a9c30685b40e18cec3cc1dfc63376"/>
                        <w:lock w:val="sdtLocked"/>
                        <w:richText/>
                      </w:sdtPr>
                      <w:sdtContent>
                        <w:p>
                          <w:pPr>
                            <w:spacing w:line="400" w:lineRule="atLeast"/>
                            <w:ind w:firstLine="720"/>
                            <w:jc w:val="both"/>
                            <w:rPr>
                              <w:bCs/>
                              <w:szCs w:val="24"/>
                            </w:rPr>
                          </w:pPr>
                          <w:sdt>
                            <w:sdtPr>
                              <w:alias w:val="Numeris"/>
                              <w:tag w:val="nr_0d3a9c30685b40e18cec3cc1dfc63376"/>
                              <w:lock w:val="sdtLocked"/>
                              <w:richText/>
                            </w:sdtPr>
                            <w:sdtContent>
                              <w:r>
                                <w:rPr>
                                  <w:szCs w:val="24"/>
                                  <w:lang w:eastAsia="lt-LT"/>
                                </w:rPr>
                                <w:t>1</w:t>
                              </w:r>
                            </w:sdtContent>
                          </w:sdt>
                          <w:r>
                            <w:rPr>
                              <w:szCs w:val="24"/>
                              <w:lang w:eastAsia="lt-LT"/>
                            </w:rPr>
                            <w:t xml:space="preserve">. Jeigu pažeidėjas nesumoka baudos per šio kodekso </w:t>
                          </w:r>
                          <w:r>
                            <w:rPr>
                              <w:iCs/>
                              <w:szCs w:val="24"/>
                              <w:lang w:eastAsia="lt-LT"/>
                            </w:rPr>
                            <w:t>675</w:t>
                          </w:r>
                          <w:r>
                            <w:rPr>
                              <w:szCs w:val="24"/>
                              <w:lang w:eastAsia="lt-LT"/>
                            </w:rPr>
                            <w:t xml:space="preserve"> straipsnio 2 dalyje nustatytą terminą, taip pat jeigu baudos dalis nesumokama laiku pagal jos mokėjimo išdėstymo tvarką ir baudos mokėjimas dalimis nutraukiamas, nutarimas skirti baudą pradedamas vykdyti priverstine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2 d."/>
                        <w:tag w:val="part_ee4442406921485f86d540678f5d6f59"/>
                        <w:lock w:val="sdtLocked"/>
                        <w:richText/>
                      </w:sdtPr>
                      <w:sdtContent>
                        <w:p>
                          <w:pPr>
                            <w:spacing w:line="400" w:lineRule="atLeast"/>
                            <w:ind w:firstLine="720"/>
                            <w:jc w:val="both"/>
                            <w:rPr>
                              <w:bCs/>
                              <w:szCs w:val="24"/>
                            </w:rPr>
                          </w:pPr>
                          <w:sdt>
                            <w:sdtPr>
                              <w:alias w:val="Numeris"/>
                              <w:tag w:val="nr_ee4442406921485f86d540678f5d6f59"/>
                              <w:lock w:val="sdtLocked"/>
                              <w:richText/>
                            </w:sdtPr>
                            <w:sdtContent>
                              <w:r>
                                <w:rPr>
                                  <w:szCs w:val="24"/>
                                  <w:lang w:eastAsia="lt-LT"/>
                                </w:rPr>
                                <w:t>2</w:t>
                              </w:r>
                            </w:sdtContent>
                          </w:sdt>
                          <w:r>
                            <w:rPr>
                              <w:szCs w:val="24"/>
                              <w:lang w:eastAsia="lt-LT"/>
                            </w:rPr>
                            <w:t xml:space="preserve">. Baudą priverstinai išieško Valstybinė mokesčių inspekcija </w:t>
                          </w:r>
                          <w:r>
                            <w:rPr>
                              <w:iCs/>
                              <w:szCs w:val="24"/>
                              <w:lang w:eastAsia="lt-LT"/>
                            </w:rPr>
                            <w:t>Mokesčių administravimo įstatyme</w:t>
                          </w:r>
                          <w:r>
                            <w:rPr>
                              <w:szCs w:val="24"/>
                              <w:lang w:eastAsia="lt-LT"/>
                            </w:rPr>
                            <w:t xml:space="preserve"> nustatyta tvarka </w:t>
                          </w:r>
                          <w:r>
                            <w:rPr>
                              <w:szCs w:val="24"/>
                            </w:rPr>
                            <w:t xml:space="preserve">ir antstolis </w:t>
                          </w:r>
                          <w:r>
                            <w:rPr>
                              <w:bCs/>
                              <w:szCs w:val="24"/>
                              <w:lang w:eastAsia="lt-LT"/>
                            </w:rPr>
                            <w:t>Civilinio proceso k</w:t>
                          </w:r>
                          <w:r>
                            <w:rPr>
                              <w:szCs w:val="24"/>
                            </w:rPr>
                            <w:t>odekse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09eeee2a569e4b89b4159bec5962774e"/>
                        <w:lock w:val="sdtLocked"/>
                        <w:richText/>
                      </w:sdtPr>
                      <w:sdtContent>
                        <w:p>
                          <w:pPr>
                            <w:spacing w:line="400" w:lineRule="atLeast"/>
                            <w:ind w:firstLine="720"/>
                            <w:jc w:val="both"/>
                            <w:rPr>
                              <w:bCs/>
                              <w:szCs w:val="24"/>
                            </w:rPr>
                          </w:pPr>
                          <w:sdt>
                            <w:sdtPr>
                              <w:alias w:val="Numeris"/>
                              <w:tag w:val="nr_09eeee2a569e4b89b4159bec5962774e"/>
                              <w:lock w:val="sdtLocked"/>
                              <w:richText/>
                            </w:sdtPr>
                            <w:sdtContent>
                              <w:r>
                                <w:t>5</w:t>
                              </w:r>
                            </w:sdtContent>
                          </w:sdt>
                          <w:r>
                            <w:t xml:space="preserve">. Nesumokėta bauda ar jos dalis gali būti pakartotinai perduota antstoliui priverstinai išieškoti, kai pasikeičia baudos pripažinimo beviltiška sąlygos – atsiranda turto ar pajamų, iš kurių gali būti vykdomas išieškojimas.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79"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ce4da80f138b43949a31b08a5c2bf494"/>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2026-05-21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7"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8" w:tgtFrame="_blank" w:history="1">
                <w:r>
                  <w:rPr>
                    <w:color w:val="0000FF" w:themeColor="hyperlink"/>
                    <w:kern w:val="2"/>
                    <w:szCs w:val="24"/>
                    <w:u w:val="single"/>
                  </w:rPr>
                  <w:t>(EEB) Nr. 2847/93</w:t>
                </w:r>
              </w:hyperlink>
              <w:r>
                <w:rPr>
                  <w:kern w:val="2"/>
                  <w:szCs w:val="24"/>
                </w:rPr>
                <w:t xml:space="preserve">, </w:t>
              </w:r>
              <w:hyperlink r:id="rId29" w:tgtFrame="_blank" w:history="1">
                <w:r>
                  <w:rPr>
                    <w:color w:val="0000FF" w:themeColor="hyperlink"/>
                    <w:kern w:val="2"/>
                    <w:szCs w:val="24"/>
                    <w:u w:val="single"/>
                  </w:rPr>
                  <w:t>(EB) Nr. 1936/2001</w:t>
                </w:r>
              </w:hyperlink>
              <w:r>
                <w:rPr>
                  <w:kern w:val="2"/>
                  <w:szCs w:val="24"/>
                </w:rPr>
                <w:t xml:space="preserve"> ir </w:t>
              </w:r>
              <w:hyperlink r:id="rId30" w:tgtFrame="_blank" w:history="1">
                <w:r>
                  <w:rPr>
                    <w:color w:val="0000FF" w:themeColor="hyperlink"/>
                    <w:kern w:val="2"/>
                    <w:szCs w:val="24"/>
                    <w:u w:val="single"/>
                  </w:rPr>
                  <w:t>(EB) Nr. 601/2004</w:t>
                </w:r>
              </w:hyperlink>
              <w:r>
                <w:rPr>
                  <w:kern w:val="2"/>
                  <w:szCs w:val="24"/>
                </w:rPr>
                <w:t xml:space="preserve"> bei panaikinantis reglamentus </w:t>
              </w:r>
              <w:hyperlink r:id="rId31" w:tgtFrame="_blank" w:history="1">
                <w:r>
                  <w:rPr>
                    <w:color w:val="0000FF" w:themeColor="hyperlink"/>
                    <w:kern w:val="2"/>
                    <w:szCs w:val="24"/>
                    <w:u w:val="single"/>
                  </w:rPr>
                  <w:t>(EB) Nr. 1093/94</w:t>
                </w:r>
              </w:hyperlink>
              <w:r>
                <w:rPr>
                  <w:kern w:val="2"/>
                  <w:szCs w:val="24"/>
                </w:rPr>
                <w:t xml:space="preserve"> ir </w:t>
              </w:r>
              <w:hyperlink r:id="rId32"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3"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4" w:tgtFrame="_blank" w:history="1">
                <w:r>
                  <w:rPr>
                    <w:color w:val="0000FF" w:themeColor="hyperlink"/>
                    <w:kern w:val="2"/>
                    <w:szCs w:val="24"/>
                    <w:u w:val="single"/>
                  </w:rPr>
                  <w:t>(EB) Nr. 847/96</w:t>
                </w:r>
              </w:hyperlink>
              <w:r>
                <w:rPr>
                  <w:kern w:val="2"/>
                  <w:szCs w:val="24"/>
                </w:rPr>
                <w:t xml:space="preserve">, </w:t>
              </w:r>
              <w:hyperlink r:id="rId35" w:tgtFrame="_blank" w:history="1">
                <w:r>
                  <w:rPr>
                    <w:color w:val="0000FF" w:themeColor="hyperlink"/>
                    <w:kern w:val="2"/>
                    <w:szCs w:val="24"/>
                    <w:u w:val="single"/>
                  </w:rPr>
                  <w:t>(EB) Nr. 2371/2002</w:t>
                </w:r>
              </w:hyperlink>
              <w:r>
                <w:rPr>
                  <w:kern w:val="2"/>
                  <w:szCs w:val="24"/>
                </w:rPr>
                <w:t xml:space="preserve">, </w:t>
              </w:r>
              <w:hyperlink r:id="rId36" w:tgtFrame="_blank" w:history="1">
                <w:r>
                  <w:rPr>
                    <w:color w:val="0000FF" w:themeColor="hyperlink"/>
                    <w:kern w:val="2"/>
                    <w:szCs w:val="24"/>
                    <w:u w:val="single"/>
                  </w:rPr>
                  <w:t>(EB) Nr. 811/2004</w:t>
                </w:r>
              </w:hyperlink>
              <w:r>
                <w:rPr>
                  <w:kern w:val="2"/>
                  <w:szCs w:val="24"/>
                </w:rPr>
                <w:t xml:space="preserve">, </w:t>
              </w:r>
              <w:hyperlink r:id="rId37" w:tgtFrame="_blank" w:history="1">
                <w:r>
                  <w:rPr>
                    <w:color w:val="0000FF" w:themeColor="hyperlink"/>
                    <w:kern w:val="2"/>
                    <w:szCs w:val="24"/>
                    <w:u w:val="single"/>
                  </w:rPr>
                  <w:t>(EB) Nr. 768/2005</w:t>
                </w:r>
              </w:hyperlink>
              <w:r>
                <w:rPr>
                  <w:kern w:val="2"/>
                  <w:szCs w:val="24"/>
                </w:rPr>
                <w:t xml:space="preserve">, </w:t>
              </w:r>
              <w:hyperlink r:id="rId38" w:tgtFrame="_blank" w:history="1">
                <w:r>
                  <w:rPr>
                    <w:color w:val="0000FF" w:themeColor="hyperlink"/>
                    <w:kern w:val="2"/>
                    <w:szCs w:val="24"/>
                    <w:u w:val="single"/>
                  </w:rPr>
                  <w:t>(EB) Nr. 2115/2005</w:t>
                </w:r>
              </w:hyperlink>
              <w:r>
                <w:rPr>
                  <w:kern w:val="2"/>
                  <w:szCs w:val="24"/>
                </w:rPr>
                <w:t xml:space="preserve">, </w:t>
              </w:r>
              <w:hyperlink r:id="rId39" w:tgtFrame="_blank" w:history="1">
                <w:r>
                  <w:rPr>
                    <w:color w:val="0000FF" w:themeColor="hyperlink"/>
                    <w:kern w:val="2"/>
                    <w:szCs w:val="24"/>
                    <w:u w:val="single"/>
                  </w:rPr>
                  <w:t>(EB) Nr. 2166/2005</w:t>
                </w:r>
              </w:hyperlink>
              <w:r>
                <w:rPr>
                  <w:kern w:val="2"/>
                  <w:szCs w:val="24"/>
                </w:rPr>
                <w:t xml:space="preserve">, </w:t>
              </w:r>
              <w:hyperlink r:id="rId40" w:tgtFrame="_blank" w:history="1">
                <w:r>
                  <w:rPr>
                    <w:color w:val="0000FF" w:themeColor="hyperlink"/>
                    <w:kern w:val="2"/>
                    <w:szCs w:val="24"/>
                    <w:u w:val="single"/>
                  </w:rPr>
                  <w:t>(EB) Nr. 388/2006</w:t>
                </w:r>
              </w:hyperlink>
              <w:r>
                <w:rPr>
                  <w:kern w:val="2"/>
                  <w:szCs w:val="24"/>
                </w:rPr>
                <w:t xml:space="preserve">, </w:t>
              </w:r>
              <w:hyperlink r:id="rId41" w:tgtFrame="_blank" w:history="1">
                <w:r>
                  <w:rPr>
                    <w:color w:val="0000FF" w:themeColor="hyperlink"/>
                    <w:kern w:val="2"/>
                    <w:szCs w:val="24"/>
                    <w:u w:val="single"/>
                  </w:rPr>
                  <w:t>(EB) Nr. 509/2007</w:t>
                </w:r>
              </w:hyperlink>
              <w:r>
                <w:rPr>
                  <w:kern w:val="2"/>
                  <w:szCs w:val="24"/>
                </w:rPr>
                <w:t xml:space="preserve">, </w:t>
              </w:r>
              <w:hyperlink r:id="rId42" w:tgtFrame="_blank" w:history="1">
                <w:r>
                  <w:rPr>
                    <w:color w:val="0000FF" w:themeColor="hyperlink"/>
                    <w:kern w:val="2"/>
                    <w:szCs w:val="24"/>
                    <w:u w:val="single"/>
                  </w:rPr>
                  <w:t>(EB) Nr. 676/2007</w:t>
                </w:r>
              </w:hyperlink>
              <w:r>
                <w:rPr>
                  <w:kern w:val="2"/>
                  <w:szCs w:val="24"/>
                </w:rPr>
                <w:t xml:space="preserve">, </w:t>
              </w:r>
              <w:hyperlink r:id="rId43" w:tgtFrame="_blank" w:history="1">
                <w:r>
                  <w:rPr>
                    <w:color w:val="0000FF" w:themeColor="hyperlink"/>
                    <w:kern w:val="2"/>
                    <w:szCs w:val="24"/>
                    <w:u w:val="single"/>
                  </w:rPr>
                  <w:t>(EB) Nr. 1098/2007</w:t>
                </w:r>
              </w:hyperlink>
              <w:r>
                <w:rPr>
                  <w:kern w:val="2"/>
                  <w:szCs w:val="24"/>
                </w:rPr>
                <w:t xml:space="preserve">, </w:t>
              </w:r>
              <w:hyperlink r:id="rId44" w:tgtFrame="_blank" w:history="1">
                <w:r>
                  <w:rPr>
                    <w:color w:val="0000FF" w:themeColor="hyperlink"/>
                    <w:kern w:val="2"/>
                    <w:szCs w:val="24"/>
                    <w:u w:val="single"/>
                  </w:rPr>
                  <w:t>(EB) Nr. 1300/2008</w:t>
                </w:r>
              </w:hyperlink>
              <w:r>
                <w:rPr>
                  <w:kern w:val="2"/>
                  <w:szCs w:val="24"/>
                </w:rPr>
                <w:t xml:space="preserve">, </w:t>
              </w:r>
              <w:hyperlink r:id="rId45" w:tgtFrame="_blank" w:history="1">
                <w:r>
                  <w:rPr>
                    <w:color w:val="0000FF" w:themeColor="hyperlink"/>
                    <w:kern w:val="2"/>
                    <w:szCs w:val="24"/>
                    <w:u w:val="single"/>
                  </w:rPr>
                  <w:t>(EB) Nr. 1342/2008</w:t>
                </w:r>
              </w:hyperlink>
              <w:r>
                <w:rPr>
                  <w:kern w:val="2"/>
                  <w:szCs w:val="24"/>
                </w:rPr>
                <w:t xml:space="preserve"> ir panaikinantis reglamentus </w:t>
              </w:r>
              <w:hyperlink r:id="rId46" w:tgtFrame="_blank" w:history="1">
                <w:r>
                  <w:rPr>
                    <w:color w:val="0000FF" w:themeColor="hyperlink"/>
                    <w:kern w:val="2"/>
                    <w:szCs w:val="24"/>
                    <w:u w:val="single"/>
                  </w:rPr>
                  <w:t>(EEB) Nr. 2847/93</w:t>
                </w:r>
              </w:hyperlink>
              <w:r>
                <w:rPr>
                  <w:kern w:val="2"/>
                  <w:szCs w:val="24"/>
                </w:rPr>
                <w:t xml:space="preserve">, </w:t>
              </w:r>
              <w:hyperlink r:id="rId47" w:tgtFrame="_blank" w:history="1">
                <w:r>
                  <w:rPr>
                    <w:color w:val="0000FF" w:themeColor="hyperlink"/>
                    <w:kern w:val="2"/>
                    <w:szCs w:val="24"/>
                    <w:u w:val="single"/>
                  </w:rPr>
                  <w:t>(EB) Nr. 1627/94</w:t>
                </w:r>
              </w:hyperlink>
              <w:r>
                <w:rPr>
                  <w:kern w:val="2"/>
                  <w:szCs w:val="24"/>
                </w:rPr>
                <w:t xml:space="preserve"> ir </w:t>
              </w:r>
              <w:hyperlink r:id="rId48"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2"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3" w:tgtFrame="_blank" w:history="1">
                <w:r>
                  <w:rPr>
                    <w:color w:val="0000FF" w:themeColor="hyperlink"/>
                    <w:szCs w:val="24"/>
                    <w:u w:val="single"/>
                  </w:rPr>
                  <w:t>77/799/EEB</w:t>
                </w:r>
              </w:hyperlink>
              <w:r>
                <w:rPr>
                  <w:szCs w:val="24"/>
                </w:rPr>
                <w:t xml:space="preserve"> su paskutiniais pakeitimais, padarytais 2023 m. spalio 17 d. Tarybos direktyva </w:t>
              </w:r>
              <w:hyperlink r:id="rId54"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49" w:tgtFrame="_blank" w:history="1">
                <w:r>
                  <w:rPr>
                    <w:color w:val="0000FF" w:themeColor="hyperlink"/>
                    <w:szCs w:val="24"/>
                    <w:u w:val="single"/>
                  </w:rPr>
                  <w:t>(ES) 2017/852</w:t>
                </w:r>
              </w:hyperlink>
              <w:r>
                <w:rPr>
                  <w:color w:val="000000"/>
                  <w:szCs w:val="24"/>
                </w:rPr>
                <w:t xml:space="preserve"> dėl gyvsidabrio, kuriuo panaikinamas Reglamentas </w:t>
              </w:r>
              <w:hyperlink r:id="rId50"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1"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4"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25"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26"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p."/>
            <w:tag w:val="part_408eaf7139f64033824109eab0826676"/>
            <w:lock w:val="sdtLocked"/>
            <w:richText/>
          </w:sdtPr>
          <w:sdtContent>
            <w:p>
              <w:pPr>
                <w:spacing w:line="360" w:lineRule="auto"/>
                <w:ind w:firstLine="720"/>
                <w:jc w:val="both"/>
              </w:pPr>
              <w:sdt>
                <w:sdtPr>
                  <w:alias w:val="Numeris"/>
                  <w:tag w:val="nr_408eaf7139f64033824109eab0826676"/>
                  <w:lock w:val="sdtLocked"/>
                  <w:richText/>
                </w:sdtPr>
                <w:sdtContent>
                  <w:r>
                    <w:rPr>
                      <w:bCs/>
                      <w:szCs w:val="24"/>
                    </w:rPr>
                    <w:t>118</w:t>
                  </w:r>
                  <w:r>
                    <w:rPr>
                      <w:bCs/>
                      <w:szCs w:val="24"/>
                      <w:vertAlign w:val="superscript"/>
                    </w:rPr>
                    <w:t>2</w:t>
                  </w:r>
                </w:sdtContent>
              </w:sdt>
              <w:r>
                <w:rPr>
                  <w:bCs/>
                  <w:szCs w:val="24"/>
                </w:rPr>
                <w:t xml:space="preserve">. </w:t>
              </w:r>
              <w:r>
                <w:rPr>
                  <w:bCs/>
                  <w:szCs w:val="24"/>
                  <w:lang w:eastAsia="lt-LT"/>
                </w:rPr>
                <w:t xml:space="preserve">2023 m. gegužės 10 d. Europos Parlamento ir Tarybos direktyva </w:t>
              </w:r>
              <w:hyperlink r:id="rId165" w:tgtFrame="_blank" w:history="1">
                <w:r>
                  <w:rPr>
                    <w:bCs/>
                    <w:color w:val="0000FF" w:themeColor="hyperlink"/>
                    <w:szCs w:val="24"/>
                    <w:u w:val="single"/>
                    <w:lang w:eastAsia="lt-LT"/>
                  </w:rPr>
                  <w:t>(ES) 2023/970</w:t>
                </w:r>
              </w:hyperlink>
              <w:r>
                <w:rPr>
                  <w:bCs/>
                  <w:szCs w:val="24"/>
                  <w:lang w:eastAsia="lt-LT"/>
                </w:rPr>
                <w:t>, kuria, nustatant darbo užmokesčio skaidrumo ir vykdymo užtikrinimo mechanizmus, griežčiau taikomas vienodo vyrų ir moterų darbo užmokesčio už vienodą arba vienodos vertės darbą principas.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3 d."/>
            <w:tag w:val="part_cd7fc789feb74333a32e9b1e9913f167"/>
            <w:lock w:val="sdtLocked"/>
            <w:richText/>
          </w:sdtPr>
          <w:sdtContent>
            <w:p>
              <w:pPr>
                <w:spacing w:line="360" w:lineRule="auto"/>
                <w:ind w:firstLine="720"/>
                <w:jc w:val="both"/>
              </w:pPr>
              <w:sdt>
                <w:sdtPr>
                  <w:alias w:val="Numeris"/>
                  <w:tag w:val="nr_cd7fc789feb74333a32e9b1e9913f167"/>
                  <w:lock w:val="sdtLocked"/>
                  <w:richText/>
                </w:sdtPr>
                <w:sdtContent>
                  <w:r>
                    <w:rPr>
                      <w:bCs/>
                      <w:szCs w:val="24"/>
                    </w:rPr>
                    <w:t>118</w:t>
                  </w:r>
                  <w:r>
                    <w:rPr>
                      <w:bCs/>
                      <w:szCs w:val="24"/>
                      <w:vertAlign w:val="superscript"/>
                    </w:rPr>
                    <w:t>3</w:t>
                  </w:r>
                </w:sdtContent>
              </w:sdt>
              <w:r>
                <w:rPr>
                  <w:bCs/>
                  <w:szCs w:val="24"/>
                </w:rPr>
                <w:t>.</w:t>
              </w:r>
              <w:r>
                <w:rPr>
                  <w:szCs w:val="24"/>
                </w:rPr>
                <w:t xml:space="preserve"> </w:t>
              </w:r>
              <w:r>
                <w:rPr>
                  <w:bCs/>
                  <w:szCs w:val="24"/>
                </w:rPr>
                <w:t xml:space="preserve">2023 m. liepos 12 d. Europos Parlamento ir Tarybos reglamentas </w:t>
              </w:r>
              <w:hyperlink r:id="rId105"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6" w:tgtFrame="_blank" w:history="1">
                <w:r>
                  <w:rPr>
                    <w:bCs/>
                    <w:color w:val="0000FF" w:themeColor="hyperlink"/>
                    <w:szCs w:val="24"/>
                    <w:u w:val="single"/>
                  </w:rPr>
                  <w:t>2008/98/EB</w:t>
                </w:r>
              </w:hyperlink>
              <w:r>
                <w:rPr>
                  <w:bCs/>
                  <w:szCs w:val="24"/>
                </w:rPr>
                <w:t xml:space="preserve"> bei Reglamentas </w:t>
              </w:r>
              <w:hyperlink r:id="rId107" w:tgtFrame="_blank" w:history="1">
                <w:r>
                  <w:rPr>
                    <w:bCs/>
                    <w:color w:val="0000FF" w:themeColor="hyperlink"/>
                    <w:szCs w:val="24"/>
                    <w:u w:val="single"/>
                  </w:rPr>
                  <w:t>(ES) 2019/1020</w:t>
                </w:r>
              </w:hyperlink>
              <w:r>
                <w:rPr>
                  <w:bCs/>
                  <w:szCs w:val="24"/>
                </w:rPr>
                <w:t xml:space="preserve"> ir panaikinama Direktyva </w:t>
              </w:r>
              <w:hyperlink r:id="rId108"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4 d."/>
            <w:tag w:val="part_69b122ec22d644298b35091925038776"/>
            <w:lock w:val="sdtLocked"/>
            <w:richText/>
          </w:sdtPr>
          <w:sdtContent>
            <w:p>
              <w:pPr>
                <w:spacing w:line="360" w:lineRule="auto"/>
                <w:ind w:firstLine="720"/>
                <w:jc w:val="both"/>
                <w:textAlignment w:val="baseline"/>
              </w:pPr>
              <w:sdt>
                <w:sdtPr>
                  <w:alias w:val="Numeris"/>
                  <w:tag w:val="nr_69b122ec22d644298b35091925038776"/>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gegužės 31 d. Europos Parlamento ir Tarybos reglamentas </w:t>
              </w:r>
              <w:hyperlink r:id="rId127"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28"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29"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5 d."/>
            <w:tag w:val="part_a7bf426e31b94dce85005f1339423be2"/>
            <w:lock w:val="sdtLocked"/>
            <w:richText/>
          </w:sdtPr>
          <w:sdtContent>
            <w:p>
              <w:pPr>
                <w:spacing w:line="360" w:lineRule="auto"/>
                <w:ind w:firstLine="720"/>
                <w:jc w:val="both"/>
                <w:textAlignment w:val="baseline"/>
              </w:pPr>
              <w:sdt>
                <w:sdtPr>
                  <w:alias w:val="Numeris"/>
                  <w:tag w:val="nr_a7bf426e31b94dce85005f1339423be2"/>
                  <w:lock w:val="sdtLocked"/>
                  <w:richText/>
                </w:sdtPr>
                <w:sdtContent>
                  <w:r>
                    <w:rPr>
                      <w:bCs/>
                      <w:color w:val="000000"/>
                      <w:szCs w:val="24"/>
                    </w:rPr>
                    <w:t>118</w:t>
                  </w:r>
                  <w:r>
                    <w:rPr>
                      <w:bCs/>
                      <w:color w:val="000000"/>
                      <w:szCs w:val="24"/>
                      <w:vertAlign w:val="superscript"/>
                    </w:rPr>
                    <w:t>5</w:t>
                  </w:r>
                </w:sdtContent>
              </w:sdt>
              <w:r>
                <w:rPr>
                  <w:bCs/>
                  <w:color w:val="000000"/>
                  <w:szCs w:val="24"/>
                </w:rPr>
                <w:t xml:space="preserve">. 2023 m. rugpjūčio 17 d. Komisijos įgyvendinimo reglamentas </w:t>
              </w:r>
              <w:hyperlink r:id="rId130"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1"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2"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80"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1" w:tgtFrame="_blank" w:history="1">
                <w:r>
                  <w:rPr>
                    <w:bCs/>
                    <w:color w:val="0000FF" w:themeColor="hyperlink"/>
                    <w:szCs w:val="24"/>
                    <w:u w:val="single"/>
                  </w:rPr>
                  <w:t>(ES) 2019/1937</w:t>
                </w:r>
              </w:hyperlink>
              <w:r>
                <w:rPr>
                  <w:bCs/>
                  <w:szCs w:val="24"/>
                </w:rPr>
                <w:t xml:space="preserve"> ir panaikinamas Reglamentas </w:t>
              </w:r>
              <w:hyperlink r:id="rId82"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3"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4"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2 d."/>
            <w:tag w:val="part_7d48b9a21265473c82330a0819d9a518"/>
            <w:lock w:val="sdtLocked"/>
            <w:richText/>
          </w:sdtPr>
          <w:sdtContent>
            <w:p>
              <w:pPr>
                <w:spacing w:line="360" w:lineRule="auto"/>
                <w:ind w:firstLine="720"/>
                <w:jc w:val="both"/>
                <w:textAlignment w:val="baseline"/>
              </w:pPr>
              <w:sdt>
                <w:sdtPr>
                  <w:alias w:val="Numeris"/>
                  <w:tag w:val="nr_7d48b9a21265473c82330a0819d9a518"/>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balandžio 11 d. Europos Parlamento ir Tarybos reglamentas </w:t>
              </w:r>
              <w:hyperlink r:id="rId157" w:tgtFrame="_blank" w:history="1">
                <w:r>
                  <w:rPr>
                    <w:bCs/>
                    <w:color w:val="0000FF" w:themeColor="hyperlink"/>
                    <w:szCs w:val="24"/>
                    <w:u w:val="single"/>
                  </w:rPr>
                  <w:t>(ES) 2024/1157</w:t>
                </w:r>
              </w:hyperlink>
              <w:r>
                <w:rPr>
                  <w:bCs/>
                  <w:color w:val="000000"/>
                  <w:szCs w:val="24"/>
                </w:rPr>
                <w:t xml:space="preserve"> dėl atliekų vežimo, kuriuo iš dalies keičiami reglamentai </w:t>
              </w:r>
              <w:hyperlink r:id="rId158" w:tgtFrame="_blank" w:history="1">
                <w:r>
                  <w:rPr>
                    <w:bCs/>
                    <w:color w:val="0000FF" w:themeColor="hyperlink"/>
                    <w:szCs w:val="24"/>
                    <w:u w:val="single"/>
                  </w:rPr>
                  <w:t>(ES) Nr. 1257/2013</w:t>
                </w:r>
              </w:hyperlink>
              <w:r>
                <w:rPr>
                  <w:bCs/>
                  <w:color w:val="000000"/>
                  <w:szCs w:val="24"/>
                </w:rPr>
                <w:t xml:space="preserve"> ir </w:t>
              </w:r>
              <w:hyperlink r:id="rId159" w:tgtFrame="_blank" w:history="1">
                <w:r>
                  <w:rPr>
                    <w:bCs/>
                    <w:color w:val="0000FF" w:themeColor="hyperlink"/>
                    <w:szCs w:val="24"/>
                    <w:u w:val="single"/>
                  </w:rPr>
                  <w:t>(ES) 2020/1056</w:t>
                </w:r>
              </w:hyperlink>
              <w:r>
                <w:rPr>
                  <w:bCs/>
                  <w:color w:val="000000"/>
                  <w:szCs w:val="24"/>
                </w:rPr>
                <w:t xml:space="preserve"> ir panaikinamas Reglamentas </w:t>
              </w:r>
              <w:hyperlink r:id="rId160" w:tgtFrame="_blank" w:history="1">
                <w:r>
                  <w:rPr>
                    <w:bCs/>
                    <w:color w:val="0000FF" w:themeColor="hyperlink"/>
                    <w:szCs w:val="24"/>
                    <w:u w:val="single"/>
                  </w:rPr>
                  <w:t>(EB) Nr. 1013/2006</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9-3 d."/>
            <w:tag w:val="part_d279c3f72b284b96bcacaa04b5101a40"/>
            <w:lock w:val="sdtLocked"/>
            <w:richText/>
          </w:sdtPr>
          <w:sdtContent>
            <w:p>
              <w:pPr>
                <w:spacing w:line="360" w:lineRule="auto"/>
                <w:ind w:firstLine="720"/>
                <w:jc w:val="both"/>
                <w:textAlignment w:val="baseline"/>
              </w:pPr>
              <w:sdt>
                <w:sdtPr>
                  <w:alias w:val="Numeris"/>
                  <w:tag w:val="nr_d279c3f72b284b96bcacaa04b5101a40"/>
                  <w:lock w:val="sdtLocked"/>
                  <w:richText/>
                </w:sdtPr>
                <w:sdtContent>
                  <w:r>
                    <w:rPr>
                      <w:bCs/>
                      <w:color w:val="000000"/>
                      <w:szCs w:val="24"/>
                    </w:rPr>
                    <w:t>119</w:t>
                  </w:r>
                  <w:r>
                    <w:rPr>
                      <w:bCs/>
                      <w:color w:val="000000"/>
                      <w:szCs w:val="24"/>
                      <w:vertAlign w:val="superscript"/>
                    </w:rPr>
                    <w:t>3</w:t>
                  </w:r>
                </w:sdtContent>
              </w:sdt>
              <w:r>
                <w:rPr>
                  <w:bCs/>
                  <w:color w:val="000000"/>
                  <w:szCs w:val="24"/>
                </w:rPr>
                <w:t xml:space="preserve">. 2024 m. gruodžio 19 d. Europos Parlamento ir Tarybos reglamentas </w:t>
              </w:r>
              <w:hyperlink r:id="rId135" w:tgtFrame="_blank" w:history="1">
                <w:r>
                  <w:rPr>
                    <w:bCs/>
                    <w:color w:val="0000FF" w:themeColor="hyperlink"/>
                    <w:szCs w:val="24"/>
                    <w:u w:val="single"/>
                  </w:rPr>
                  <w:t>(ES) Nr. 2024/3234</w:t>
                </w:r>
              </w:hyperlink>
              <w:r>
                <w:rPr>
                  <w:bCs/>
                  <w:color w:val="000000"/>
                  <w:szCs w:val="24"/>
                </w:rPr>
                <w:t xml:space="preserve">,  kuriuo iš dalies keičiamas Reglamentas </w:t>
              </w:r>
              <w:hyperlink r:id="rId136"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3"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4"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5"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6"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7" w:tgtFrame="_blank" w:history="1">
                <w:r>
                  <w:rPr>
                    <w:bCs/>
                    <w:color w:val="0000FF" w:themeColor="hyperlink"/>
                    <w:szCs w:val="24"/>
                    <w:u w:val="single"/>
                    <w:lang w:eastAsia="lt-LT"/>
                  </w:rPr>
                  <w:t>(EB) Nr. 1967/2006</w:t>
                </w:r>
              </w:hyperlink>
              <w:r>
                <w:rPr>
                  <w:bCs/>
                  <w:szCs w:val="24"/>
                  <w:lang w:eastAsia="lt-LT"/>
                </w:rPr>
                <w:t xml:space="preserve"> bei </w:t>
              </w:r>
              <w:hyperlink r:id="rId98"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99" w:tgtFrame="_blank" w:history="1">
                <w:r>
                  <w:rPr>
                    <w:bCs/>
                    <w:color w:val="0000FF" w:themeColor="hyperlink"/>
                    <w:szCs w:val="24"/>
                    <w:u w:val="single"/>
                    <w:lang w:eastAsia="lt-LT"/>
                  </w:rPr>
                  <w:t>(ES) 2016/1139</w:t>
                </w:r>
              </w:hyperlink>
              <w:r>
                <w:rPr>
                  <w:bCs/>
                  <w:szCs w:val="24"/>
                  <w:lang w:eastAsia="lt-LT"/>
                </w:rPr>
                <w:t xml:space="preserve">, </w:t>
              </w:r>
              <w:hyperlink r:id="rId100" w:tgtFrame="_blank" w:history="1">
                <w:r>
                  <w:rPr>
                    <w:bCs/>
                    <w:color w:val="0000FF" w:themeColor="hyperlink"/>
                    <w:szCs w:val="24"/>
                    <w:u w:val="single"/>
                    <w:lang w:eastAsia="lt-LT"/>
                  </w:rPr>
                  <w:t>(ES) 2017/2403</w:t>
                </w:r>
              </w:hyperlink>
              <w:r>
                <w:rPr>
                  <w:bCs/>
                  <w:szCs w:val="24"/>
                  <w:lang w:eastAsia="lt-LT"/>
                </w:rPr>
                <w:t xml:space="preserve"> bei </w:t>
              </w:r>
              <w:hyperlink r:id="rId101"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123 d."/>
            <w:tag w:val="part_32688511395e4c91a37c5a685d1f718c"/>
            <w:lock w:val="sdtLocked"/>
            <w:richText/>
          </w:sdtPr>
          <w:sdtContent>
            <w:p>
              <w:pPr>
                <w:spacing w:line="360" w:lineRule="auto"/>
                <w:ind w:firstLine="720"/>
                <w:jc w:val="both"/>
              </w:pPr>
              <w:sdt>
                <w:sdtPr>
                  <w:alias w:val="Numeris"/>
                  <w:tag w:val="nr_32688511395e4c91a37c5a685d1f718c"/>
                  <w:lock w:val="sdtLocked"/>
                  <w:richText/>
                </w:sdtPr>
                <w:sdtContent>
                  <w:r>
                    <w:rPr>
                      <w:bCs/>
                      <w:szCs w:val="24"/>
                      <w:lang w:eastAsia="lt-LT"/>
                    </w:rPr>
                    <w:t>123</w:t>
                  </w:r>
                </w:sdtContent>
              </w:sdt>
              <w:r>
                <w:rPr>
                  <w:bCs/>
                  <w:szCs w:val="24"/>
                  <w:lang w:eastAsia="lt-LT"/>
                </w:rPr>
                <w:t xml:space="preserve">. </w:t>
              </w:r>
              <w:r>
                <w:rPr>
                  <w:bCs/>
                  <w:szCs w:val="24"/>
                </w:rPr>
                <w:t xml:space="preserve">2024 m. balandžio 29 d. Europos Parlamento ir Tarybos reglamentas </w:t>
              </w:r>
              <w:hyperlink r:id="rId162" w:tgtFrame="_blank" w:history="1">
                <w:r>
                  <w:rPr>
                    <w:bCs/>
                    <w:color w:val="0000FF" w:themeColor="hyperlink"/>
                    <w:szCs w:val="24"/>
                    <w:u w:val="single"/>
                  </w:rPr>
                  <w:t>(ES) 2024/1309</w:t>
                </w:r>
              </w:hyperlink>
              <w:r>
                <w:rPr>
                  <w:bCs/>
                  <w:szCs w:val="24"/>
                </w:rPr>
                <w:t xml:space="preserve"> dėl priemonių gigabitinių elektroninių ryšių tinklų diegimo sąnaudoms mažinti, kuriuo iš dalies keičiamas Reglamentas </w:t>
              </w:r>
              <w:hyperlink r:id="rId163" w:tgtFrame="_blank" w:history="1">
                <w:r>
                  <w:rPr>
                    <w:bCs/>
                    <w:color w:val="0000FF" w:themeColor="hyperlink"/>
                    <w:szCs w:val="24"/>
                    <w:u w:val="single"/>
                  </w:rPr>
                  <w:t>(ES) 2015/2120</w:t>
                </w:r>
              </w:hyperlink>
              <w:r>
                <w:rPr>
                  <w:bCs/>
                  <w:szCs w:val="24"/>
                </w:rPr>
                <w:t xml:space="preserve"> ir panaikinama Direktyva </w:t>
              </w:r>
              <w:hyperlink r:id="rId164" w:tgtFrame="_blank" w:history="1">
                <w:r>
                  <w:rPr>
                    <w:bCs/>
                    <w:color w:val="0000FF" w:themeColor="hyperlink"/>
                    <w:szCs w:val="24"/>
                    <w:u w:val="single"/>
                  </w:rPr>
                  <w:t>2014/61/ES</w:t>
                </w:r>
              </w:hyperlink>
              <w:r>
                <w:rPr>
                  <w:bCs/>
                  <w:szCs w:val="24"/>
                </w:rPr>
                <w:t xml:space="preserve"> (Gigabitinės infrastruktūros aktas).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b7b803d5c11f180c9c618618421ed">
                <w:r w:rsidRPr="00532B9F">
                  <w:rPr>
                    <w:rFonts w:ascii="Times New Roman" w:eastAsia="MS Mincho" w:hAnsi="Times New Roman"/>
                    <w:sz w:val="20"/>
                    <w:i/>
                    <w:iCs/>
                    <w:color w:val="0000FF" w:themeColor="hyperlink"/>
                    <w:u w:val="single"/>
                  </w:rPr>
                  <w:t>XV-816</w:t>
                </w:r>
              </w:fldSimple>
              <w:r>
                <w:rPr>
                  <w:rFonts w:ascii="Times New Roman" w:eastAsia="MS Mincho" w:hAnsi="Times New Roman"/>
                  <w:sz w:val="20"/>
                  <w:i/>
                  <w:iCs/>
                </w:rPr>
                <w:t>,
2026-04-16,
paskelbta TAR 2026-04-21, i. k. 2026-06394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450b0ca0311f08918e1adc7c5b1ec">
            <w:r w:rsidRPr="00532B9F">
              <w:rPr>
                <w:rFonts w:ascii="Times New Roman" w:eastAsia="MS Mincho" w:hAnsi="Times New Roman"/>
                <w:sz w:val="20"/>
                <w:iCs/>
                <w:color w:val="0000FF" w:themeColor="hyperlink"/>
                <w:u w:val="single"/>
              </w:rPr>
              <w:t>XV-531</w:t>
            </w:r>
          </w:fldSimple>
          <w:r>
            <w:rPr>
              <w:rFonts w:ascii="Times New Roman" w:eastAsia="MS Mincho" w:hAnsi="Times New Roman"/>
              <w:sz w:val="20"/>
              <w:iCs/>
            </w:rPr>
            <w:t>,
2025-11-13,
paskelbta TAR 2025-11-25, i. k. 2025-19763                </w:t>
          </w:r>
        </w:p>
        <w:p>
          <w:pPr>
            <w:jc w:val="both"/>
            <w:rPr>
              <w:rFonts w:ascii="Times New Roman" w:hAnsi="Times New Roman"/>
            </w:rPr>
          </w:pPr>
          <w:r>
            <w:rPr>
              <w:rFonts w:ascii="Times New Roman" w:hAnsi="Times New Roman"/>
              <w:sz w:val="20"/>
            </w:rPr>
            <w:t>Lietuvos Respublikos administracinių nusižengimų kodekso 195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0bebb2389a11f180c9c618618421ed">
            <w:r w:rsidRPr="00532B9F">
              <w:rPr>
                <w:rFonts w:ascii="Times New Roman" w:eastAsia="MS Mincho" w:hAnsi="Times New Roman"/>
                <w:sz w:val="20"/>
                <w:iCs/>
                <w:color w:val="0000FF" w:themeColor="hyperlink"/>
                <w:u w:val="single"/>
              </w:rPr>
              <w:t>XV-801</w:t>
            </w:r>
          </w:fldSimple>
          <w:r>
            <w:rPr>
              <w:rFonts w:ascii="Times New Roman" w:eastAsia="MS Mincho" w:hAnsi="Times New Roman"/>
              <w:sz w:val="20"/>
              <w:iCs/>
            </w:rPr>
            <w:t>,
2026-04-09,
paskelbta TAR 2026-04-15, i. k. 2026-06072                </w:t>
          </w:r>
        </w:p>
        <w:p>
          <w:pPr>
            <w:jc w:val="both"/>
            <w:rPr>
              <w:rFonts w:ascii="Times New Roman" w:hAnsi="Times New Roman"/>
            </w:rPr>
          </w:pPr>
          <w:r>
            <w:rPr>
              <w:rFonts w:ascii="Times New Roman" w:hAnsi="Times New Roman"/>
              <w:sz w:val="20"/>
            </w:rPr>
            <w:t>Lietuvos Respublikos administracinių nusižengimų kodekso 547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41cf72cf8b11f08918e1adc7c5b1ec">
            <w:r w:rsidRPr="00532B9F">
              <w:rPr>
                <w:rFonts w:ascii="Times New Roman" w:eastAsia="MS Mincho" w:hAnsi="Times New Roman"/>
                <w:sz w:val="20"/>
                <w:iCs/>
                <w:color w:val="0000FF" w:themeColor="hyperlink"/>
                <w:u w:val="single"/>
              </w:rPr>
              <w:t>XV-549</w:t>
            </w:r>
          </w:fldSimple>
          <w:r>
            <w:rPr>
              <w:rFonts w:ascii="Times New Roman" w:eastAsia="MS Mincho" w:hAnsi="Times New Roman"/>
              <w:sz w:val="20"/>
              <w:iCs/>
            </w:rPr>
            <w:t>,
2025-11-18,
paskelbta TAR 2025-12-02, i. k. 2025-20533                </w:t>
          </w:r>
        </w:p>
        <w:p>
          <w:pPr>
            <w:jc w:val="both"/>
            <w:rPr>
              <w:rFonts w:ascii="Times New Roman" w:hAnsi="Times New Roman"/>
            </w:rPr>
          </w:pPr>
          <w:r>
            <w:rPr>
              <w:rFonts w:ascii="Times New Roman" w:hAnsi="Times New Roman"/>
              <w:sz w:val="20"/>
            </w:rPr>
            <w:t>Lietuvos Respublikos administracinių nusižengimų kodekso 314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61be322c3d11f1a552c76556910e9c">
            <w:r w:rsidRPr="00532B9F">
              <w:rPr>
                <w:rFonts w:ascii="Times New Roman" w:eastAsia="MS Mincho" w:hAnsi="Times New Roman"/>
                <w:sz w:val="20"/>
                <w:iCs/>
                <w:color w:val="0000FF" w:themeColor="hyperlink"/>
                <w:u w:val="single"/>
              </w:rPr>
              <w:t>XV-782</w:t>
            </w:r>
          </w:fldSimple>
          <w:r>
            <w:rPr>
              <w:rFonts w:ascii="Times New Roman" w:eastAsia="MS Mincho" w:hAnsi="Times New Roman"/>
              <w:sz w:val="20"/>
              <w:iCs/>
            </w:rPr>
            <w:t>,
2026-03-26,
paskelbta TAR 2026-03-30, i. k. 2026-05185                </w:t>
          </w:r>
        </w:p>
        <w:p>
          <w:pPr>
            <w:jc w:val="both"/>
            <w:rPr>
              <w:rFonts w:ascii="Times New Roman" w:hAnsi="Times New Roman"/>
            </w:rPr>
          </w:pPr>
          <w:r>
            <w:rPr>
              <w:rFonts w:ascii="Times New Roman" w:hAnsi="Times New Roman"/>
              <w:sz w:val="20"/>
            </w:rPr>
            <w:t>Lietuvos Respublikos administracinių nusižengimų kodekso 283, 589 straipsnių pakeitimo ir 112, 113-1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ab7b803d5c11f180c9c618618421ed">
            <w:r w:rsidRPr="00532B9F">
              <w:rPr>
                <w:rFonts w:ascii="Times New Roman" w:eastAsia="MS Mincho" w:hAnsi="Times New Roman"/>
                <w:sz w:val="20"/>
                <w:iCs/>
                <w:color w:val="0000FF" w:themeColor="hyperlink"/>
                <w:u w:val="single"/>
              </w:rPr>
              <w:t>XV-816</w:t>
            </w:r>
          </w:fldSimple>
          <w:r>
            <w:rPr>
              <w:rFonts w:ascii="Times New Roman" w:eastAsia="MS Mincho" w:hAnsi="Times New Roman"/>
              <w:sz w:val="20"/>
              <w:iCs/>
            </w:rPr>
            <w:t>,
2026-04-16,
paskelbta TAR 2026-04-21, i. k. 2026-06394                </w:t>
          </w:r>
        </w:p>
        <w:p>
          <w:pPr>
            <w:jc w:val="both"/>
            <w:rPr>
              <w:rFonts w:ascii="Times New Roman" w:hAnsi="Times New Roman"/>
            </w:rPr>
          </w:pPr>
          <w:r>
            <w:rPr>
              <w:rFonts w:ascii="Times New Roman" w:hAnsi="Times New Roman"/>
              <w:sz w:val="20"/>
            </w:rPr>
            <w:t>Lietuvos Respublikos administracinių nusižengimų kodekso 476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faa2584311f180c9c618618421ed">
            <w:r w:rsidRPr="00532B9F">
              <w:rPr>
                <w:rFonts w:ascii="Times New Roman" w:eastAsia="MS Mincho" w:hAnsi="Times New Roman"/>
                <w:sz w:val="20"/>
                <w:iCs/>
                <w:color w:val="0000FF" w:themeColor="hyperlink"/>
                <w:u w:val="single"/>
              </w:rPr>
              <w:t>XV-970</w:t>
            </w:r>
          </w:fldSimple>
          <w:r>
            <w:rPr>
              <w:rFonts w:ascii="Times New Roman" w:eastAsia="MS Mincho" w:hAnsi="Times New Roman"/>
              <w:sz w:val="20"/>
              <w:iCs/>
            </w:rPr>
            <w:t>,
2026-05-21,
paskelbta TAR 2026-05-25, i. k. 2026-08788                </w:t>
          </w:r>
        </w:p>
        <w:p>
          <w:pPr>
            <w:jc w:val="both"/>
            <w:rPr>
              <w:rFonts w:ascii="Times New Roman" w:hAnsi="Times New Roman"/>
            </w:rPr>
          </w:pPr>
          <w:r>
            <w:rPr>
              <w:rFonts w:ascii="Times New Roman" w:hAnsi="Times New Roman"/>
              <w:sz w:val="20"/>
            </w:rPr>
            <w:t>Lietuvos Respublikos administracinių nusižengimų kodekso 99,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113d80665c11f1b53dfa020e517810">
            <w:r w:rsidRPr="00532B9F">
              <w:rPr>
                <w:rFonts w:ascii="Times New Roman" w:eastAsia="MS Mincho" w:hAnsi="Times New Roman"/>
                <w:sz w:val="20"/>
                <w:iCs/>
                <w:color w:val="0000FF" w:themeColor="hyperlink"/>
                <w:u w:val="single"/>
              </w:rPr>
              <w:t>XV-988</w:t>
            </w:r>
          </w:fldSimple>
          <w:r>
            <w:rPr>
              <w:rFonts w:ascii="Times New Roman" w:eastAsia="MS Mincho" w:hAnsi="Times New Roman"/>
              <w:sz w:val="20"/>
              <w:iCs/>
            </w:rPr>
            <w:t>,
2026-06-04,
paskelbta TAR 2026-06-12, i. k. 2026-10325                </w:t>
          </w:r>
        </w:p>
        <w:p>
          <w:pPr>
            <w:jc w:val="both"/>
            <w:rPr>
              <w:rFonts w:ascii="Times New Roman" w:hAnsi="Times New Roman"/>
            </w:rPr>
          </w:pPr>
          <w:r>
            <w:rPr>
              <w:rFonts w:ascii="Times New Roman" w:hAnsi="Times New Roman"/>
              <w:sz w:val="20"/>
            </w:rPr>
            <w:t>Lietuvos Respublikos administracinių nusižengimų kodekso 120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PINIGIENĖ Augustė">
    <w15:presenceInfo w15:providerId="AD" w15:userId="S::auguste.papinigiene@lrs.lt::36a802f6-07cb-45db-9517-d1af74e1216a"/>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2A46E3"/>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98.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7R2403&amp;locale=lt"/>
  <Relationship Id="rId101" Type="http://schemas.openxmlformats.org/officeDocument/2006/relationships/hyperlink" TargetMode="External" Target="http://eur-lex.europa.eu/legal-content/LIT/TXT/?uri=CELEX:32019R0473&amp;locale=lt"/>
  <Relationship Id="rId102" Type="http://schemas.openxmlformats.org/officeDocument/2006/relationships/hyperlink" TargetMode="External" Target="http://eur-lex.europa.eu/legal-content/LIT/TXT/?uri=CELEX:32021R0782&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1R0782&amp;locale=lt"/>
  <Relationship Id="rId105" Type="http://schemas.openxmlformats.org/officeDocument/2006/relationships/hyperlink" TargetMode="External" Target="http://eur-lex.europa.eu/legal-content/LIT/TXT/?uri=CELEX:32023R1542&amp;locale=lt"/>
  <Relationship Id="rId106" Type="http://schemas.openxmlformats.org/officeDocument/2006/relationships/hyperlink" TargetMode="External" Target="http://eur-lex.europa.eu/legal-content/LIT/TXT/?uri=CELEX:32008L0098&amp;locale=lt"/>
  <Relationship Id="rId107" Type="http://schemas.openxmlformats.org/officeDocument/2006/relationships/hyperlink" TargetMode="External" Target="http://eur-lex.europa.eu/legal-content/LIT/TXT/?uri=CELEX:32019R1020&amp;locale=lt"/>
  <Relationship Id="rId108" Type="http://schemas.openxmlformats.org/officeDocument/2006/relationships/hyperlink" TargetMode="External" Target="http://eur-lex.europa.eu/legal-content/LIT/TXT/?uri=CELEX:32006L0066&amp;locale=lt"/>
  <Relationship Id="rId109" Type="http://schemas.openxmlformats.org/officeDocument/2006/relationships/hyperlink" TargetMode="External" Target="http://eur-lex.europa.eu/legal-content/LIT/TXT/?uri=CELEX:32023R0956&amp;locale=lt"/>
  <Relationship Id="rId11" Type="http://schemas.openxmlformats.org/officeDocument/2006/relationships/settings" Target="settings.xml"/>
  <Relationship Id="rId110" Type="http://schemas.openxmlformats.org/officeDocument/2006/relationships/hyperlink" TargetMode="External" Target="http://eur-lex.europa.eu/legal-content/LIT/TXT/?uri=CELEX:32023R0956&amp;locale=lt"/>
  <Relationship Id="rId111" Type="http://schemas.openxmlformats.org/officeDocument/2006/relationships/hyperlink" TargetMode="External" Target="http://eur-lex.europa.eu/legal-content/LIT/TXT/?uri=CELEX:33115R2023&amp;locale=lt"/>
  <Relationship Id="rId112" Type="http://schemas.openxmlformats.org/officeDocument/2006/relationships/hyperlink" TargetMode="External" Target="http://eur-lex.europa.eu/legal-content/LIT/TXT/?uri=CELEX:33115R2023&amp;locale=lt"/>
  <Relationship Id="rId113" Type="http://schemas.openxmlformats.org/officeDocument/2006/relationships/hyperlink" TargetMode="External" Target="http://eur-lex.europa.eu/legal-content/LIT/TXT/?uri=CELEX:33115R2023&amp;locale=lt"/>
  <Relationship Id="rId114" Type="http://schemas.openxmlformats.org/officeDocument/2006/relationships/hyperlink" TargetMode="External" Target="http://eur-lex.europa.eu/legal-content/LIT/TXT/?uri=CELEX:33115R2023&amp;locale=lt"/>
  <Relationship Id="rId115" Type="http://schemas.openxmlformats.org/officeDocument/2006/relationships/hyperlink" TargetMode="External" Target="http://eur-lex.europa.eu/legal-content/LIT/TXT/?uri=CELEX:33115R2023&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2017R0852&amp;locale=lt"/>
  <Relationship Id="rId12" Type="http://schemas.openxmlformats.org/officeDocument/2006/relationships/styles" Target="styles.xml"/>
  <Relationship Id="rId120" Type="http://schemas.openxmlformats.org/officeDocument/2006/relationships/hyperlink" TargetMode="External" Target="http://eur-lex.europa.eu/legal-content/LIT/TXT/?uri=CELEX:32024R0590&amp;locale=lt"/>
  <Relationship Id="rId121" Type="http://schemas.openxmlformats.org/officeDocument/2006/relationships/hyperlink" TargetMode="External" Target="http://eur-lex.europa.eu/legal-content/LIT/TXT/?uri=CELEX:32024R0590&amp;locale=lt"/>
  <Relationship Id="rId122" Type="http://schemas.openxmlformats.org/officeDocument/2006/relationships/hyperlink" TargetMode="External" Target="http://eur-lex.europa.eu/legal-content/LIT/TXT/?uri=CELEX:32024R0590&amp;locale=lt"/>
  <Relationship Id="rId123" Type="http://schemas.openxmlformats.org/officeDocument/2006/relationships/hyperlink" TargetMode="External" Target="http://eur-lex.europa.eu/legal-content/LIT/TXT/?uri=CELEX:32024R0590&amp;locale=lt"/>
  <Relationship Id="rId124" Type="http://schemas.openxmlformats.org/officeDocument/2006/relationships/hyperlink" TargetMode="External" Target="http://eur-lex.europa.eu/legal-content/LIT/TXT/?uri=CELEX:32024R0590&amp;locale=lt"/>
  <Relationship Id="rId125" Type="http://schemas.openxmlformats.org/officeDocument/2006/relationships/hyperlink" TargetMode="External" Target="http://eur-lex.europa.eu/legal-content/LIT/TXT/?uri=CELEX:32023R0956&amp;locale=lt"/>
  <Relationship Id="rId126" Type="http://schemas.openxmlformats.org/officeDocument/2006/relationships/hyperlink" TargetMode="External" Target="http://eur-lex.europa.eu/legal-content/LIT/TXT/?uri=CELEX:32025R2083&amp;locale=lt"/>
  <Relationship Id="rId127" Type="http://schemas.openxmlformats.org/officeDocument/2006/relationships/hyperlink" TargetMode="External" Target="http://eur-lex.europa.eu/legal-content/LIT/TXT/?uri=CELEX:33115R2023&amp;locale=lt"/>
  <Relationship Id="rId128" Type="http://schemas.openxmlformats.org/officeDocument/2006/relationships/hyperlink" TargetMode="External" Target="http://eur-lex.europa.eu/legal-content/LIT/TXT/?uri=CELEX:32010R0995&amp;locale=lt"/>
  <Relationship Id="rId129" Type="http://schemas.openxmlformats.org/officeDocument/2006/relationships/hyperlink" TargetMode="External" Target="http://eur-lex.europa.eu/legal-content/LIT/TXT/?uri=CELEX:32024R3234&amp;locale=lt"/>
  <Relationship Id="rId13" Type="http://schemas.openxmlformats.org/officeDocument/2006/relationships/theme" Target="theme/theme1.xml"/>
  <Relationship Id="rId130" Type="http://schemas.openxmlformats.org/officeDocument/2006/relationships/hyperlink" TargetMode="External" Target="http://eur-lex.europa.eu/legal-content/LIT/TXT/?uri=CELEX:32023R1773&amp;locale=lt"/>
  <Relationship Id="rId131" Type="http://schemas.openxmlformats.org/officeDocument/2006/relationships/hyperlink" TargetMode="External" Target="http://eur-lex.europa.eu/legal-content/LIT/TXT/?uri=CELEX:32023R0956&amp;locale=lt"/>
  <Relationship Id="rId132" Type="http://schemas.openxmlformats.org/officeDocument/2006/relationships/hyperlink" TargetMode="External" Target="http://eur-lex.europa.eu/legal-content/LIT/TXT/?uri=CELEX:32024R2469&amp;locale=lt"/>
  <Relationship Id="rId133" Type="http://schemas.openxmlformats.org/officeDocument/2006/relationships/hyperlink" TargetMode="External" Target="http://eur-lex.europa.eu/legal-content/LIT/TXT/?uri=CELEX:32024R0590&amp;locale=lt"/>
  <Relationship Id="rId134" Type="http://schemas.openxmlformats.org/officeDocument/2006/relationships/hyperlink" TargetMode="External" Target="http://eur-lex.europa.eu/legal-content/LIT/TXT/?uri=CELEX:32009R1005&amp;locale=lt"/>
  <Relationship Id="rId135" Type="http://schemas.openxmlformats.org/officeDocument/2006/relationships/hyperlink" TargetMode="External" Target="http://eur-lex.europa.eu/legal-content/LIT/TXT/?uri=CELEX:33234R2024&amp;locale=lt"/>
  <Relationship Id="rId136" Type="http://schemas.openxmlformats.org/officeDocument/2006/relationships/hyperlink" TargetMode="External" Target="http://eur-lex.europa.eu/legal-content/LIT/TXT/?uri=CELEX:32023R1115&amp;locale=lt"/>
  <Relationship Id="rId137" Type="http://schemas.openxmlformats.org/officeDocument/2006/relationships/hyperlink" TargetMode="External" Target="http://eur-lex.europa.eu/legal-content/LIT/TXT/?uri=CELEX:33157R2024&amp;locale=lt"/>
  <Relationship Id="rId138" Type="http://schemas.openxmlformats.org/officeDocument/2006/relationships/hyperlink" TargetMode="External" Target="http://eur-lex.europa.eu/legal-content/LIT/TXT/?uri=CELEX:33157R2024&amp;locale=lt"/>
  <Relationship Id="rId139" Type="http://schemas.openxmlformats.org/officeDocument/2006/relationships/hyperlink" TargetMode="External" Target="http://eur-lex.europa.eu/legal-content/LIT/TXT/?uri=CELEX:33157R2024&amp;locale=lt"/>
  <Relationship Id="rId14" Type="http://schemas.openxmlformats.org/officeDocument/2006/relationships/webSettings" Target="webSettings.xml"/>
  <Relationship Id="rId140" Type="http://schemas.openxmlformats.org/officeDocument/2006/relationships/hyperlink" TargetMode="External" Target="http://eur-lex.europa.eu/legal-content/LIT/TXT/?uri=CELEX:33157R2024&amp;locale=lt"/>
  <Relationship Id="rId141" Type="http://schemas.openxmlformats.org/officeDocument/2006/relationships/hyperlink" TargetMode="External" Target="http://eur-lex.europa.eu/legal-content/LIT/TXT/?uri=CELEX:32024R1157&amp;locale=lt"/>
  <Relationship Id="rId142" Type="http://schemas.openxmlformats.org/officeDocument/2006/relationships/hyperlink" TargetMode="External" Target="http://eur-lex.europa.eu/legal-content/LIT/TXT/?uri=CELEX:33157R2024&amp;locale=lt"/>
  <Relationship Id="rId143" Type="http://schemas.openxmlformats.org/officeDocument/2006/relationships/hyperlink" TargetMode="External" Target="http://eur-lex.europa.eu/legal-content/LIT/TXT/?uri=CELEX:32024R1157&amp;locale=lt"/>
  <Relationship Id="rId144" Type="http://schemas.openxmlformats.org/officeDocument/2006/relationships/hyperlink" TargetMode="External" Target="http://eur-lex.europa.eu/legal-content/LIT/TXT/?uri=CELEX:33157R2024&amp;locale=lt"/>
  <Relationship Id="rId145" Type="http://schemas.openxmlformats.org/officeDocument/2006/relationships/hyperlink" TargetMode="External" Target="http://eur-lex.europa.eu/legal-content/LIT/TXT/?uri=CELEX:33157R2024&amp;locale=lt"/>
  <Relationship Id="rId146" Type="http://schemas.openxmlformats.org/officeDocument/2006/relationships/hyperlink" TargetMode="External" Target="http://eur-lex.europa.eu/legal-content/LIT/TXT/?uri=CELEX:33157R2024&amp;locale=lt"/>
  <Relationship Id="rId147" Type="http://schemas.openxmlformats.org/officeDocument/2006/relationships/hyperlink" TargetMode="External" Target="http://eur-lex.europa.eu/legal-content/LIT/TXT/?uri=CELEX:33157R2024&amp;locale=lt"/>
  <Relationship Id="rId148" Type="http://schemas.openxmlformats.org/officeDocument/2006/relationships/hyperlink" TargetMode="External" Target="http://eur-lex.europa.eu/legal-content/LIT/TXT/?uri=CELEX:33157R2024&amp;locale=lt"/>
  <Relationship Id="rId149" Type="http://schemas.openxmlformats.org/officeDocument/2006/relationships/hyperlink" TargetMode="External" Target="http://eur-lex.europa.eu/legal-content/LIT/TXT/?uri=CELEX:33157R2024&amp;locale=lt"/>
  <Relationship Id="rId15" Type="http://schemas.openxmlformats.org/officeDocument/2006/relationships/image" Target="media/image2.png"/>
  <Relationship Id="rId150" Type="http://schemas.openxmlformats.org/officeDocument/2006/relationships/hyperlink" TargetMode="External" Target="http://eur-lex.europa.eu/legal-content/LIT/TXT/?uri=CELEX:33157R2024&amp;locale=lt"/>
  <Relationship Id="rId151" Type="http://schemas.openxmlformats.org/officeDocument/2006/relationships/hyperlink" TargetMode="External" Target="http://eur-lex.europa.eu/legal-content/LIT/TXT/?uri=CELEX:33157R2024&amp;locale=lt"/>
  <Relationship Id="rId152" Type="http://schemas.openxmlformats.org/officeDocument/2006/relationships/hyperlink" TargetMode="External" Target="http://eur-lex.europa.eu/legal-content/LIT/TXT/?uri=CELEX:33157R2024&amp;locale=lt"/>
  <Relationship Id="rId153" Type="http://schemas.openxmlformats.org/officeDocument/2006/relationships/hyperlink" TargetMode="External" Target="http://eur-lex.europa.eu/legal-content/LIT/TXT/?uri=CELEX:33157R2024&amp;locale=lt"/>
  <Relationship Id="rId154" Type="http://schemas.openxmlformats.org/officeDocument/2006/relationships/hyperlink" TargetMode="External" Target="http://eur-lex.europa.eu/legal-content/LIT/TXT/?uri=CELEX:33157R2024&amp;locale=lt"/>
  <Relationship Id="rId155" Type="http://schemas.openxmlformats.org/officeDocument/2006/relationships/hyperlink" TargetMode="External" Target="http://eur-lex.europa.eu/legal-content/LIT/TXT/?uri=CELEX:33157R2024&amp;locale=lt"/>
  <Relationship Id="rId156" Type="http://schemas.openxmlformats.org/officeDocument/2006/relationships/hyperlink" TargetMode="External" Target="http://eur-lex.europa.eu/legal-content/LIT/TXT/?uri=CELEX:33157R2024&amp;locale=lt"/>
  <Relationship Id="rId157" Type="http://schemas.openxmlformats.org/officeDocument/2006/relationships/hyperlink" TargetMode="External" Target="http://eur-lex.europa.eu/legal-content/LIT/TXT/?uri=CELEX:32024R1157&amp;locale=lt"/>
  <Relationship Id="rId158" Type="http://schemas.openxmlformats.org/officeDocument/2006/relationships/hyperlink" TargetMode="External" Target="http://eur-lex.europa.eu/legal-content/LIT/TXT/?uri=CELEX:32013R1257&amp;locale=lt"/>
  <Relationship Id="rId159" Type="http://schemas.openxmlformats.org/officeDocument/2006/relationships/hyperlink" TargetMode="External" Target="http://eur-lex.europa.eu/legal-content/LIT/TXT/?uri=CELEX:32020R1056&amp;locale=lt"/>
  <Relationship Id="rId16" Type="http://schemas.openxmlformats.org/officeDocument/2006/relationships/header" Target="header1162.xml"/>
  <Relationship Id="rId160" Type="http://schemas.openxmlformats.org/officeDocument/2006/relationships/hyperlink" TargetMode="External" Target="http://eur-lex.europa.eu/legal-content/LIT/TXT/?uri=CELEX:32006R1013&amp;locale=lt"/>
  <Relationship Id="rId161" Type="http://schemas.openxmlformats.org/officeDocument/2006/relationships/hyperlink" TargetMode="External" Target="http://eur-lex.europa.eu/legal-content/LIT/TXT/?uri=CELEX:32024R1309&amp;locale=lt"/>
  <Relationship Id="rId162" Type="http://schemas.openxmlformats.org/officeDocument/2006/relationships/hyperlink" TargetMode="External" Target="http://eur-lex.europa.eu/legal-content/LIT/TXT/?uri=CELEX:32024R1309&amp;locale=lt"/>
  <Relationship Id="rId163" Type="http://schemas.openxmlformats.org/officeDocument/2006/relationships/hyperlink" TargetMode="External" Target="http://eur-lex.europa.eu/legal-content/LIT/TXT/?uri=CELEX:32015R2120&amp;locale=lt"/>
  <Relationship Id="rId164" Type="http://schemas.openxmlformats.org/officeDocument/2006/relationships/hyperlink" TargetMode="External" Target="http://eur-lex.europa.eu/legal-content/LIT/TXT/?uri=CELEX:32014L0061&amp;locale=lt"/>
  <Relationship Id="rId165" Type="http://schemas.openxmlformats.org/officeDocument/2006/relationships/hyperlink" TargetMode="External" Target="http://eur-lex.europa.eu/legal-content/LIT/TXT/?uri=CELEX:32023L0970&amp;locale=lt"/>
  <Relationship Id="rId166" Type="http://schemas.openxmlformats.org/officeDocument/2006/relationships/customXml" Target="../customXml/item2.xml"/>
  <Relationship Id="rId17" Type="http://schemas.openxmlformats.org/officeDocument/2006/relationships/header" Target="header1163.xml"/>
  <Relationship Id="rId18" Type="http://schemas.openxmlformats.org/officeDocument/2006/relationships/footer" Target="footer1162.xml"/>
  <Relationship Id="rId19" Type="http://schemas.openxmlformats.org/officeDocument/2006/relationships/footer" Target="footer1163.xml"/>
  <Relationship Id="rId2" Type="http://schemas.openxmlformats.org/officeDocument/2006/relationships/header" Target="header599.xml"/>
  <Relationship Id="rId20" Type="http://schemas.openxmlformats.org/officeDocument/2006/relationships/header" Target="header1164.xml"/>
  <Relationship Id="rId21" Type="http://schemas.openxmlformats.org/officeDocument/2006/relationships/footer" Target="footer1164.xml"/>
  <Relationship Id="rId22" Type="http://schemas.openxmlformats.org/officeDocument/2006/relationships/hyperlink" TargetMode="External" Target="http://eur-lex.europa.eu/legal-content/LIT/TXT/?uri=CELEX:33157R2024&amp;locale=lt"/>
  <Relationship Id="rId23" Type="http://schemas.openxmlformats.org/officeDocument/2006/relationships/hyperlink" TargetMode="External" Target="http://eur-lex.europa.eu/legal-content/LIT/TXT/?uri=CELEX:32009R1224&amp;locale=lt"/>
  <Relationship Id="rId24" Type="http://schemas.openxmlformats.org/officeDocument/2006/relationships/hyperlink" TargetMode="External" Target="http://eur-lex.europa.eu/legal-content/LIT/TXT/?uri=CELEX:32024R0590&amp;locale=lt"/>
  <Relationship Id="rId25" Type="http://schemas.openxmlformats.org/officeDocument/2006/relationships/hyperlink" TargetMode="External" Target="http://eur-lex.europa.eu/legal-content/LIT/TXT/?uri=CELEX:32021R0782&amp;locale=lt"/>
  <Relationship Id="rId26" Type="http://schemas.openxmlformats.org/officeDocument/2006/relationships/hyperlink" TargetMode="External" Target="http://eur-lex.europa.eu/legal-content/LIT/TXT/?uri=CELEX:32024R1309&amp;locale=lt"/>
  <Relationship Id="rId27" Type="http://schemas.openxmlformats.org/officeDocument/2006/relationships/hyperlink" TargetMode="External" Target="http://eur-lex.europa.eu/legal-content/LIT/TXT/?uri=CELEX:32008R1005&amp;locale=lt"/>
  <Relationship Id="rId28" Type="http://schemas.openxmlformats.org/officeDocument/2006/relationships/hyperlink" TargetMode="External" Target="http://eur-lex.europa.eu/legal-content/LIT/TXT/?uri=CELEX:31993R2847&amp;locale=lt"/>
  <Relationship Id="rId29" Type="http://schemas.openxmlformats.org/officeDocument/2006/relationships/hyperlink" TargetMode="External" Target="http://eur-lex.europa.eu/legal-content/LIT/TXT/?uri=CELEX:32001R1936&amp;locale=lt"/>
  <Relationship Id="rId3" Type="http://schemas.openxmlformats.org/officeDocument/2006/relationships/footer" Target="footer598.xml"/>
  <Relationship Id="rId30" Type="http://schemas.openxmlformats.org/officeDocument/2006/relationships/hyperlink" TargetMode="External" Target="http://eur-lex.europa.eu/legal-content/LIT/TXT/?uri=CELEX:32004R0601&amp;locale=lt"/>
  <Relationship Id="rId31" Type="http://schemas.openxmlformats.org/officeDocument/2006/relationships/hyperlink" TargetMode="External" Target="http://eur-lex.europa.eu/legal-content/LIT/TXT/?uri=CELEX:31994R1093&amp;locale=lt"/>
  <Relationship Id="rId32" Type="http://schemas.openxmlformats.org/officeDocument/2006/relationships/hyperlink" TargetMode="External" Target="http://eur-lex.europa.eu/legal-content/LIT/TXT/?uri=CELEX:31999R1447&amp;locale=lt"/>
  <Relationship Id="rId33" Type="http://schemas.openxmlformats.org/officeDocument/2006/relationships/hyperlink" TargetMode="External" Target="http://eur-lex.europa.eu/legal-content/LIT/TXT/?uri=CELEX:32009R1224&amp;locale=lt"/>
  <Relationship Id="rId34" Type="http://schemas.openxmlformats.org/officeDocument/2006/relationships/hyperlink" TargetMode="External" Target="http://eur-lex.europa.eu/legal-content/LIT/TXT/?uri=CELEX:31996R0847&amp;locale=lt"/>
  <Relationship Id="rId35" Type="http://schemas.openxmlformats.org/officeDocument/2006/relationships/hyperlink" TargetMode="External" Target="http://eur-lex.europa.eu/legal-content/LIT/TXT/?uri=CELEX:32002R2371&amp;locale=lt"/>
  <Relationship Id="rId36" Type="http://schemas.openxmlformats.org/officeDocument/2006/relationships/hyperlink" TargetMode="External" Target="http://eur-lex.europa.eu/legal-content/LIT/TXT/?uri=CELEX:32004R0811&amp;locale=lt"/>
  <Relationship Id="rId37" Type="http://schemas.openxmlformats.org/officeDocument/2006/relationships/hyperlink" TargetMode="External" Target="http://eur-lex.europa.eu/legal-content/LIT/TXT/?uri=CELEX:32005R0768&amp;locale=lt"/>
  <Relationship Id="rId38" Type="http://schemas.openxmlformats.org/officeDocument/2006/relationships/hyperlink" TargetMode="External" Target="http://eur-lex.europa.eu/legal-content/LIT/TXT/?uri=CELEX:32005R2115&amp;locale=lt"/>
  <Relationship Id="rId39" Type="http://schemas.openxmlformats.org/officeDocument/2006/relationships/hyperlink" TargetMode="External" Target="http://eur-lex.europa.eu/legal-content/LIT/TXT/?uri=CELEX:32005R2166&amp;locale=lt"/>
  <Relationship Id="rId4" Type="http://schemas.openxmlformats.org/officeDocument/2006/relationships/footer" Target="footer599.xml"/>
  <Relationship Id="rId40" Type="http://schemas.openxmlformats.org/officeDocument/2006/relationships/hyperlink" TargetMode="External" Target="http://eur-lex.europa.eu/legal-content/LIT/TXT/?uri=CELEX:32006R0388&amp;locale=lt"/>
  <Relationship Id="rId41" Type="http://schemas.openxmlformats.org/officeDocument/2006/relationships/hyperlink" TargetMode="External" Target="http://eur-lex.europa.eu/legal-content/LIT/TXT/?uri=CELEX:32007R0509&amp;locale=lt"/>
  <Relationship Id="rId42" Type="http://schemas.openxmlformats.org/officeDocument/2006/relationships/hyperlink" TargetMode="External" Target="http://eur-lex.europa.eu/legal-content/LIT/TXT/?uri=CELEX:32007R0676&amp;locale=lt"/>
  <Relationship Id="rId43" Type="http://schemas.openxmlformats.org/officeDocument/2006/relationships/hyperlink" TargetMode="External" Target="http://eur-lex.europa.eu/legal-content/LIT/TXT/?uri=CELEX:32007R1098&amp;locale=lt"/>
  <Relationship Id="rId44" Type="http://schemas.openxmlformats.org/officeDocument/2006/relationships/hyperlink" TargetMode="External" Target="http://eur-lex.europa.eu/legal-content/LIT/TXT/?uri=CELEX:32008R1300&amp;locale=lt"/>
  <Relationship Id="rId45" Type="http://schemas.openxmlformats.org/officeDocument/2006/relationships/hyperlink" TargetMode="External" Target="http://eur-lex.europa.eu/legal-content/LIT/TXT/?uri=CELEX:32008R1342&amp;locale=lt"/>
  <Relationship Id="rId46" Type="http://schemas.openxmlformats.org/officeDocument/2006/relationships/hyperlink" TargetMode="External" Target="http://eur-lex.europa.eu/legal-content/LIT/TXT/?uri=CELEX:31993R2847&amp;locale=lt"/>
  <Relationship Id="rId47" Type="http://schemas.openxmlformats.org/officeDocument/2006/relationships/hyperlink" TargetMode="External" Target="http://eur-lex.europa.eu/legal-content/LIT/TXT/?uri=CELEX:31994R1627&amp;locale=lt"/>
  <Relationship Id="rId48" Type="http://schemas.openxmlformats.org/officeDocument/2006/relationships/hyperlink" TargetMode="External" Target="http://eur-lex.europa.eu/legal-content/LIT/TXT/?uri=CELEX:32006R1966&amp;locale=lt"/>
  <Relationship Id="rId49" Type="http://schemas.openxmlformats.org/officeDocument/2006/relationships/hyperlink" TargetMode="External" Target="http://eur-lex.europa.eu/legal-content/LIT/TXT/?uri=CELEX:32017R0852&amp;locale=lt"/>
  <Relationship Id="rId5" Type="http://schemas.openxmlformats.org/officeDocument/2006/relationships/header" Target="header600.xml"/>
  <Relationship Id="rId50" Type="http://schemas.openxmlformats.org/officeDocument/2006/relationships/hyperlink" TargetMode="External" Target="http://eur-lex.europa.eu/legal-content/LIT/TXT/?uri=CELEX:32008R1102&amp;locale=lt"/>
  <Relationship Id="rId51" Type="http://schemas.openxmlformats.org/officeDocument/2006/relationships/hyperlink" TargetMode="External" Target="http://eur-lex.europa.eu/legal-content/LIT/TXT/?uri=CELEX:32024R1849&amp;locale=lt"/>
  <Relationship Id="rId52" Type="http://schemas.openxmlformats.org/officeDocument/2006/relationships/hyperlink" TargetMode="External" Target="http://eur-lex.europa.eu/legal-content/LIT/TXT/?uri=CELEX:32011L0016&amp;locale=lt"/>
  <Relationship Id="rId53" Type="http://schemas.openxmlformats.org/officeDocument/2006/relationships/hyperlink" TargetMode="External" Target="http://eur-lex.europa.eu/legal-content/LIT/TXT/?uri=CELEX:31977L0799&amp;locale=lt"/>
  <Relationship Id="rId54" Type="http://schemas.openxmlformats.org/officeDocument/2006/relationships/hyperlink" TargetMode="External" Target="http://eur-lex.europa.eu/legal-content/LIT/TXT/?uri=CELEX:32023L2226&amp;locale=lt"/>
  <Relationship Id="rId55" Type="http://schemas.openxmlformats.org/officeDocument/2006/relationships/hyperlink" TargetMode="External" Target="http://eur-lex.europa.eu/legal-content/LIT/TXT/?uri=CELEX:32012R0965&amp;locale=lt"/>
  <Relationship Id="rId56" Type="http://schemas.openxmlformats.org/officeDocument/2006/relationships/hyperlink" TargetMode="External" Target="http://eur-lex.europa.eu/legal-content/LIT/TXT/?uri=CELEX:3947R2019&amp;locale=lt"/>
  <Relationship Id="rId57" Type="http://schemas.openxmlformats.org/officeDocument/2006/relationships/hyperlink" TargetMode="External" Target="http://eur-lex.europa.eu/legal-content/LIT/TXT/?uri=CELEX:3947R2019&amp;locale=lt"/>
  <Relationship Id="rId58" Type="http://schemas.openxmlformats.org/officeDocument/2006/relationships/hyperlink" TargetMode="External" Target="http://eur-lex.europa.eu/legal-content/LIT/TXT/?uri=CELEX:32011R1178&amp;locale=lt"/>
  <Relationship Id="rId59" Type="http://schemas.openxmlformats.org/officeDocument/2006/relationships/hyperlink" TargetMode="External" Target="http://eur-lex.europa.eu/legal-content/LIT/TXT/?uri=CELEX:32014R1321&amp;locale=lt"/>
  <Relationship Id="rId6" Type="http://schemas.openxmlformats.org/officeDocument/2006/relationships/footer" Target="footer600.xml"/>
  <Relationship Id="rId60" Type="http://schemas.openxmlformats.org/officeDocument/2006/relationships/hyperlink" TargetMode="External" Target="http://eur-lex.europa.eu/legal-content/LIT/TXT/?uri=CELEX:3340R2015&amp;locale=lt"/>
  <Relationship Id="rId61" Type="http://schemas.openxmlformats.org/officeDocument/2006/relationships/hyperlink" TargetMode="External" Target="http://eur-lex.europa.eu/legal-content/LIT/TXT/?uri=CELEX:31139R2018&amp;locale=lt"/>
  <Relationship Id="rId62" Type="http://schemas.openxmlformats.org/officeDocument/2006/relationships/hyperlink" TargetMode="External" Target="http://eur-lex.europa.eu/legal-content/LIT/TXT/?uri=CELEX:32011R1178&amp;locale=lt"/>
  <Relationship Id="rId63" Type="http://schemas.openxmlformats.org/officeDocument/2006/relationships/hyperlink" TargetMode="External" Target="http://eur-lex.europa.eu/legal-content/LIT/TXT/?uri=CELEX:32014R1321&amp;locale=lt"/>
  <Relationship Id="rId64" Type="http://schemas.openxmlformats.org/officeDocument/2006/relationships/hyperlink" TargetMode="External" Target="http://eur-lex.europa.eu/legal-content/LIT/TXT/?uri=CELEX:3340R2015&amp;locale=lt"/>
  <Relationship Id="rId65" Type="http://schemas.openxmlformats.org/officeDocument/2006/relationships/hyperlink" TargetMode="External" Target="http://eur-lex.europa.eu/legal-content/LIT/TXT/?uri=CELEX:31139R2018&amp;locale=lt"/>
  <Relationship Id="rId66" Type="http://schemas.openxmlformats.org/officeDocument/2006/relationships/hyperlink" TargetMode="External" Target="http://eur-lex.europa.eu/legal-content/LIT/TXT/?uri=CELEX:32012R0923&amp;locale=lt"/>
  <Relationship Id="rId67" Type="http://schemas.openxmlformats.org/officeDocument/2006/relationships/hyperlink" TargetMode="External" Target="http://eur-lex.europa.eu/legal-content/LIT/TXT/?uri=CELEX:32011R1035&amp;locale=lt"/>
  <Relationship Id="rId68" Type="http://schemas.openxmlformats.org/officeDocument/2006/relationships/hyperlink" TargetMode="External" Target="http://eur-lex.europa.eu/legal-content/LIT/TXT/?uri=CELEX:32007R1265&amp;locale=lt"/>
  <Relationship Id="rId69" Type="http://schemas.openxmlformats.org/officeDocument/2006/relationships/hyperlink" TargetMode="External" Target="http://eur-lex.europa.eu/legal-content/LIT/TXT/?uri=CELEX:32006R1794&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0730&amp;locale=lt"/>
  <Relationship Id="rId71" Type="http://schemas.openxmlformats.org/officeDocument/2006/relationships/hyperlink" TargetMode="External" Target="http://eur-lex.europa.eu/legal-content/LIT/TXT/?uri=CELEX:32006R1033&amp;locale=lt"/>
  <Relationship Id="rId72" Type="http://schemas.openxmlformats.org/officeDocument/2006/relationships/hyperlink" TargetMode="External" Target="http://eur-lex.europa.eu/legal-content/LIT/TXT/?uri=CELEX:32010R0255&amp;locale=lt"/>
  <Relationship Id="rId73" Type="http://schemas.openxmlformats.org/officeDocument/2006/relationships/hyperlink" TargetMode="External" Target="http://eur-lex.europa.eu/legal-content/LIT/TXT/?uri=CELEX:31997R0338&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1997R0338&amp;locale=lt"/>
  <Relationship Id="rId76" Type="http://schemas.openxmlformats.org/officeDocument/2006/relationships/hyperlink" TargetMode="External" Target="http://eur-lex.europa.eu/legal-content/LIT/TXT/?uri=CELEX:33143R2014&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3143R2014&amp;locale=lt"/>
  <Relationship Id="rId79" Type="http://schemas.openxmlformats.org/officeDocument/2006/relationships/hyperlink" TargetMode="External" Target="http://eur-lex.europa.eu/legal-content/LIT/TXT/?uri=CELEX:31997R0338&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0573&amp;locale=lt"/>
  <Relationship Id="rId81" Type="http://schemas.openxmlformats.org/officeDocument/2006/relationships/hyperlink" TargetMode="External" Target="http://eur-lex.europa.eu/legal-content/LIT/TXT/?uri=CELEX:32019L1937&amp;locale=lt"/>
  <Relationship Id="rId82" Type="http://schemas.openxmlformats.org/officeDocument/2006/relationships/hyperlink" TargetMode="External" Target="http://eur-lex.europa.eu/legal-content/LIT/TXT/?uri=CELEX:32014R0517&amp;locale=lt"/>
  <Relationship Id="rId83" Type="http://schemas.openxmlformats.org/officeDocument/2006/relationships/hyperlink" TargetMode="External" Target="http://eur-lex.europa.eu/legal-content/LIT/TXT/?uri=CELEX:32024L1226&amp;locale=lt"/>
  <Relationship Id="rId84" Type="http://schemas.openxmlformats.org/officeDocument/2006/relationships/hyperlink" TargetMode="External" Target="http://eur-lex.europa.eu/legal-content/LIT/TXT/?uri=CELEX:32018L1673&amp;locale=lt"/>
  <Relationship Id="rId85" Type="http://schemas.openxmlformats.org/officeDocument/2006/relationships/hyperlink" TargetMode="External" Target="http://eur-lex.europa.eu/legal-content/LIT/TXT/?uri=CELEX:32009R1224&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09R1224&amp;locale=lt"/>
  <Relationship Id="rId95" Type="http://schemas.openxmlformats.org/officeDocument/2006/relationships/hyperlink" TargetMode="External" Target="http://eur-lex.europa.eu/legal-content/LIT/TXT/?uri=CELEX:32023R2842&amp;locale=lt"/>
  <Relationship Id="rId96" Type="http://schemas.openxmlformats.org/officeDocument/2006/relationships/hyperlink" TargetMode="External" Target="http://eur-lex.europa.eu/legal-content/LIT/TXT/?uri=CELEX:32009R1224&amp;locale=lt"/>
  <Relationship Id="rId97" Type="http://schemas.openxmlformats.org/officeDocument/2006/relationships/hyperlink" TargetMode="External" Target="http://eur-lex.europa.eu/legal-content/LIT/TXT/?uri=CELEX:32006R1967&amp;locale=lt"/>
  <Relationship Id="rId98" Type="http://schemas.openxmlformats.org/officeDocument/2006/relationships/hyperlink" TargetMode="External" Target="http://eur-lex.europa.eu/legal-content/LIT/TXT/?uri=CELEX:32008R1005&amp;locale=lt"/>
  <Relationship Id="rId99" Type="http://schemas.openxmlformats.org/officeDocument/2006/relationships/hyperlink" TargetMode="External" Target="http://eur-lex.europa.eu/legal-content/LIT/TXT/?uri=CELEX:32016R1139&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32f25c6f5574d168f3d12d4d2039b2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119ad5cb73c8492da5db1481bb2b9ed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Lietuvos Respublikos darbo kodekse nurodytos informacijos apie darbuotojų darbo užmokestį nepateikimas, darbo užmokesčio nustatymo, apskaičiavimo ir mokėjimo tvarkos pažeidimas" DocPartId="6e813bd30c26437fb61e194e684d6d75" PartId="9370d45cffe3442594acf2f565ee277d">
          <Part Type="strDalis" Nr="1" Abbr="99 str. 1 d." DocPartId="c4c35aec5ff6405896177bf7933ab574" PartId="1199dd89825d49ecb50445f29944fa64"/>
          <Part Type="strDalis" Nr="2" Abbr="99 str. 2 d." DocPartId="483414eead5f4cbdaf91d0e6fec683d8" PartId="d0162ae26e5042e5b446981d45fd2ef1"/>
          <Part Type="strDalis" Nr="3" Abbr="99 str. 3 d." DocPartId="8781cefc103546abbf55fb8dd06ee188" PartId="47e66ff0eb9c403182c3140da0ec5286"/>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a5a7ea9e3ccc41b8b2fbde3027c64df2"/>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3e511dc0c3d34f5e8c97a2f8336a01e0"/>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f480a0ba3f9246b48dc7ee896e21af7a"/>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7d23507cc400485788861c589686c0fe">
          <Part Type="strDalis" Nr="1" Abbr="195 str. 1 d." DocPartId="5d9f7fe8743f4d2aa8ab420bb2aaab9e" PartId="acad09f9b4054c5ea7bfaece465a1bcc"/>
          <Part Type="strDalis" Nr="2" Abbr="195 str. 2 d." DocPartId="a90f9c530fe743938aee0c393f8da196" PartId="60a036664c624904894c256c55d736bc"/>
        </Part>
        <Part Type="straipsnis" Nr="196" Abbr="196 str." Title="Neteisėtas banko paslapties atskleidimas" DocPartId="7a6f6dcc9d674e58809c22e5d72b1251" PartId="60e93299f5ff4553a3ff69e56553186b">
          <Part Type="strDalis" Nr="1" Abbr="196 str. 1 d." DocPartId="615c9fc1aef3411da62c8f943baf6575" PartId="9b69720403d44b83b7814895d0a3590f"/>
          <Part Type="strDalis" Nr="2" Abbr="196 str. 2 d." DocPartId="dc7fa88ea12744cfaf419bd70df5fc93" PartId="08d4817e2b67418d8808e5ef15b46fa9"/>
        </Part>
        <Part Type="straipsnis" Nr="196-1" Abbr="196-1 str." Title="Lietuvos Respublikos privalomojo turto ir verslo vertinimo įstatymo ir (arba) kitų teisės aktų, nustatančių reikalavimą atlikti privalomąjį turto arba verslo vertinimą, pažeidimas" DocPartId="7bbd34f7bfff48c7834f10c623f13900" PartId="017840b155be417ca9ca4ad388b52340">
          <Part Type="strDalis" Nr="1" Abbr="196-1 str. 1 d." DocPartId="2270234de0c64bf1abd97550db4cc084" PartId="0586fa291f9247fe91e2c2c0a654831c"/>
          <Part Type="strDalis" Nr="2" Abbr="196-1 str. 2 d." DocPartId="f64086515d1a48eb918d5f743e054d73" PartId="d8f0aae61c0248778f214d7b7cbeaeb3"/>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e3142037fcf942ed9dbadd5a3e8f0c88">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3f1fb4eb2f3a4daba069ae4b8e3bc8e4"/>
          <Part Type="strDalis" Nr="5" Abbr="242 str. 5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739e326b684f4caca9e4dfaff1a4f835"/>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Reglamente (ES) Nr. 2024/1157 nustatytų su atliekų įvežimu, importu, išvežimu, eksportu susijusių reikalavimų pažeidimas" DocPartId="f0e3849ae88c4fddb1cb07175cc32dae" PartId="f2f09b1af91c4aa587f6d9a6d824604c">
          <Part Type="strDalis" Nr="1" Abbr="251 str. 1 d." DocPartId="08e8e52ce5204befbaa895dacd90ab37" PartId="ab91d21f39d94625ae6708baeb83a7de"/>
          <Part Type="strDalis" Nr="2" Abbr="251 str. 2 d." DocPartId="709c34a246a6480eaf69942493265d43" PartId="b9e63b66aaaf4ec1b3039e957612dc56"/>
          <Part Type="strDalis" Nr="3" Abbr="251 str. 3 d." DocPartId="a1697b2873a745aebf50692eeb142547" PartId="c273db92fbe3403498a17136d66f4cbb"/>
          <Part Type="strDalis" Nr="4" Abbr="251 str. 4 d." DocPartId="14b4cda95a24475a9e0d74e166065d6b" PartId="2bfbee8b8f12497ba5c39a3cf4a9cb77"/>
          <Part Type="strDalis" Nr="5" Abbr="251 str. 5 d." DocPartId="2b2f452e517d4e75803ad1b12cb58fff" PartId="3376e9d324c94dc08ca1a17cdce9d89d"/>
          <Part Type="strDalis" Nr="6" Abbr="251 str. 6 d." DocPartId="2fc427a1b9be414185fa2fe4fdb38058" PartId="1299511a701844c9b126f60147c2d93a"/>
          <Part Type="strDalis" Nr="7" Abbr="251 str. 7 d." DocPartId="08c217c14d4c4fcab4a1a3b4955793b5" PartId="68d0ecbdf8bb482089df11e0d0fe504e"/>
          <Part Type="strDalis" Nr="8" Abbr="251 str. 8 d." DocPartId="9eb6a636ddc84cb9b39dd963dad30ee9" PartId="85b75df82152485fafdae1bc1828952c"/>
          <Part Type="strDalis" Nr="9" Abbr="251 str. 9 d." DocPartId="2be3e3742cfd408b8180bde247f291ab" PartId="571d62c16160476aad2d71ff3c8699c7"/>
          <Part Type="strDalis" Nr="10" Abbr="251 str. 10 d." DocPartId="60e2bdd6653d42329f50fa63b432573d" PartId="5008fd7ff6df47c59dba43ee9294d123"/>
          <Part Type="strDalis" Nr="11" Abbr="251 str. 11 d." DocPartId="57b7dbbe61bf4aada1c51b2bf26a6751" PartId="1d01cb4704074a1b85dac3bae741e452"/>
          <Part Type="strDalis" Nr="12" Abbr="251 str. 12 d." DocPartId="fc329e04183942a59f681e8cdcb31dc9" PartId="238d654ae5a943d1bc9720adf690e6a3"/>
          <Part Type="strDalis" Nr="13" Abbr="251 str. 13 d." DocPartId="3ecce174d8ff40a1909d0a89ca9e38dc" PartId="c828a1e16e524cf7be9f9f4e75c13a0a"/>
          <Part Type="strDalis" Nr="14" Abbr="251 str. 14 d." DocPartId="2e4d772e23b54095b64e327480eecc7f" PartId="c70f899757c94901aaab48aac7ea74df"/>
          <Part Type="strDalis" Nr="15" Abbr="251 str. 15 d." DocPartId="d29f359a1d97436f8e1a67d53e7463c3" PartId="93a68d9d2f794b678ed56709566b88c6"/>
          <Part Type="strDalis" Nr="16" Abbr="251 str. 16 d." DocPartId="2393fc5e407142c0b22e4c5c8845f576" PartId="e2e34870b1884d11ba991fabee709334"/>
          <Part Type="strDalis" Nr="17" Abbr="251 str. 17 d." DocPartId="4fdfdd6d8ff947698f14c97b80790dce" PartId="608e11eca1a8478bb014ce89767a2c20"/>
          <Part Type="strDalis" Nr="18" Abbr="251 str. 18 d." DocPartId="754eceb7d22445aaa65fa13e7eb7023b" PartId="1688a33959b54cb391429c85b1504746"/>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kvartalinių stulpų ir ženklų, informacinių stendų, priešgaisrinių ir rekreacinių įrenginių gadinimas, naikinimas ar savavališkas perkėlimas" DocPartId="cefebcd481964a0b89db9307eae93c98" PartId="4e6ca85386914db39e856306864e90bd">
          <Part Type="strDalis" Nr="1" Abbr="283 str. 1 d." DocPartId="765e8a80be654931acf22891b058b811" PartId="92bbdbf0c2bf46728998b79dc320d985"/>
          <Part Type="strDalis" Nr="2" Abbr="283 str. 2 d." DocPartId="47c7ffa65bc242918de87c8a48613907" PartId="0282f00445a84a0aa0995bacf51848aa"/>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ir Reglamento (ES) 2024/1309 nuostatų pažeidimas" DocPartId="a2b6bdf47036484a81677c5ab8c92e76" PartId="063c00800bcf46d89f886b5f32fc05d9">
          <Part Type="strDalis" Nr="1" Abbr="476 str. 1 d." DocPartId="6ce0114caa674312b7633aed17d900d7" PartId="25116e6ee47b4790a543899387ebfdc9"/>
          <Part Type="strDalis" Nr="2" Abbr="476 str. 2 d." DocPartId="33f10ec90c5b43458746bc4b3fae6f7b" PartId="2da8bc18c7864b039c87428056af300e"/>
          <Part Type="strDalis" Nr="3" Abbr="476 str. 3 d." DocPartId="5647eee9ff7741c5a86a31d65008bc61" PartId="d79f922d7f0e4c90b7bf20d261b00dbc"/>
          <Part Type="strDalis" Nr="4" Abbr="476 str. 4 d." DocPartId="8910cd11a1204a5cb763096ade61b538" PartId="6113d8e33bff4504a592d29f6688ddbc"/>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0efc4bfd7ea743cf9bab454b78b84059">
          <Part Type="strDalis" Nr="1" Abbr="547 str. 1 d." DocPartId="d38e6e4d78154a1aa04afb56119da710" PartId="35c32b860bca46b898ba83b3720a797d"/>
          <Part Type="strDalis" Nr="2" Abbr="547 str. 2 d." DocPartId="f084ca1fa5944a7fbc357c06f47fce0b" PartId="fc4727f473874d57ae6b8714f840632a"/>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fbcd8d0d210c484693fd9c7d385182c7"/>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3cf5a4e2e6c54847961fcc51c231123d"/>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ef03eb30a8cb4e53ad8b6d12d3b55646"/>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ebcb5ac553b34911a3e24c89387a0622"/>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bf38264aeabe4bd9bd30db2400ff905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1f7a03cce30d442997fb89b0810a387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7e8e87f2901644e9af2b96aed627113d"/>
            <Part Type="strPunktas" Nr="83" Abbr="589 str. 1 d. 83 p." DocPartId="883c09b53f0c4016aed8124b5fc92b90" PartId="212ccc7f4f0f4f91975993a687b515a7"/>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62add346545141f881dfaec9d706ed09"/>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0d1dc210ef1540b1a053b44925445c51"/>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0d3a9c30685b40e18cec3cc1dfc63376"/>
          <Part Type="strDalis" Nr="2" Abbr="676 str. 2 d." DocPartId="0ecfafdadcd94a2b8ca87921ce5808f6" PartId="ee4442406921485f86d540678f5d6f59"/>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09eeee2a569e4b89b4159bec5962774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ce4da80f138b43949a31b08a5c2bf494"/>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punktas" Nr="118-2" Abbr="pr. 118-2 p." DocPartId="0c179a3749954dec9fd8bef27650d315" PartId="408eaf7139f64033824109eab0826676"/>
    <Part Type="strDalis" Nr="118-3" Abbr="pr. 118-3 d." DocPartId="1218085ea1ad42eb98094143795a609e" PartId="cd7fc789feb74333a32e9b1e9913f167"/>
    <Part Type="strDalis" Nr="118-4" Abbr="pr. 118-4 d." DocPartId="eb0116cf1dbe462da487276913fc3126" PartId="69b122ec22d644298b35091925038776"/>
    <Part Type="strDalis" Nr="118-5" Abbr="pr. 118-5 d." DocPartId="8169ec9851af499c97860259eeaa73f4" PartId="a7bf426e31b94dce85005f1339423be2"/>
    <Part Type="strDalis" Nr="119" Abbr="119 d." DocPartId="2595569f911c4249a69bb203d2953201" PartId="2a22ada319bc48b4bd0992f1f4710580"/>
    <Part Type="strDalis" Nr="119-1" Abbr="119-1 d." DocPartId="d5d4784babcd4e32b6b88fed04b50c45" PartId="101f41553ce84bc4ac542c83b10125e4"/>
    <Part Type="strDalis" Nr="119-2" Abbr="119-2 d." DocPartId="e66f03aa65384a73b4f5cb6fc9fe9cbb" PartId="7d48b9a21265473c82330a0819d9a518"/>
    <Part Type="strDalis" Nr="119-3" Abbr="pr. 119-3 d." DocPartId="27cff253f1b54e1ebe4e5b314d044bd4" PartId="d279c3f72b284b96bcacaa04b5101a4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Type="strDalis" Nr="123" Abbr="123 d." DocPartId="7ed9dd2b6f9141dcbb9af396499a27ec" PartId="32688511395e4c91a37c5a685d1f718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customXml/itemProps2.xml><?xml version="1.0" encoding="utf-8"?>
<ds:datastoreItem xmlns:ds="http://schemas.openxmlformats.org/officeDocument/2006/customXml" ds:itemID="{355C07D3-1ED5-4166-9667-40CEC95D127A}">
  <ds:schemaRefs>
    <ds:schemaRef ds:uri="http://lrs.lt/TAIS/DocParts"/>
  </ds:schemaRefs>
</ds:datastoreItem>
</file>

<file path=customXml/itemProps3.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976</TotalTime>
  <Pages>484</Pages>
  <Words>788637</Words>
  <Characters>449524</Characters>
  <Application>Microsoft Office Word</Application>
  <DocSecurity>0</DocSecurity>
  <Lines>3746</Lines>
  <Paragraphs>2471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1235690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PAPINIGIENĖ Augustė</lastModifiedBy>
  <lastPrinted>2015-07-03T07:36:00Z</lastPrinted>
  <dcterms:modified xsi:type="dcterms:W3CDTF">2026-06-15T10:54:00Z</dcterms:modified>
  <revision>452</revision>
</coreProperties>
</file>