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2025-05-21 iki 2025-06-20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94b734193804416c8034899ff4639440"/>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94b734193804416c8034899ff4639440"/>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e43495f5025d4234ba576b2056d67a55"/>
                        <w:lock w:val="sdtLocked"/>
                        <w:richText/>
                      </w:sdtPr>
                      <w:sdtContent>
                        <w:p>
                          <w:pPr>
                            <w:tabs>
                              <w:tab w:val="left" w:pos="1134"/>
                            </w:tabs>
                            <w:spacing w:line="360" w:lineRule="auto"/>
                            <w:ind w:firstLine="720"/>
                            <w:jc w:val="both"/>
                            <w:rPr>
                              <w:rFonts w:ascii="TimesLT" w:hAnsi="TimesLT"/>
                            </w:rPr>
                          </w:pPr>
                          <w:sdt>
                            <w:sdtPr>
                              <w:alias w:val="Numeris"/>
                              <w:tag w:val="nr_e43495f5025d4234ba576b2056d67a55"/>
                              <w:lock w:val="sdtLocked"/>
                              <w:richText/>
                            </w:sdtPr>
                            <w:sdtContent>
                              <w:r>
                                <w:rPr>
                                  <w:rFonts w:ascii="TimesLT" w:hAnsi="TimesLT"/>
                                  <w:iCs/>
                                  <w:szCs w:val="24"/>
                                  <w:lang w:eastAsia="lt-LT"/>
                                </w:rPr>
                                <w:t>4</w:t>
                              </w:r>
                            </w:sdtContent>
                          </w:sdt>
                          <w:r>
                            <w:rPr>
                              <w:rFonts w:ascii="TimesLT" w:hAnsi="TimesLT"/>
                              <w:iCs/>
                              <w:szCs w:val="24"/>
                              <w:lang w:eastAsia="lt-LT"/>
                            </w:rPr>
                            <w:t>.</w:t>
                          </w:r>
                          <w:r>
                            <w:rPr>
                              <w:rFonts w:ascii="TimesLT" w:hAnsi="TimesLT"/>
                              <w:szCs w:val="24"/>
                            </w:rPr>
                            <w:t xml:space="preserve"> Socialines,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6 dalyse, </w:t>
                          </w:r>
                          <w:r>
                            <w:rPr>
                              <w:rFonts w:ascii="TimesLT" w:hAnsi="TimesLT"/>
                            </w:rPr>
                            <w:t>nevykdymas</w:t>
                          </w:r>
                        </w:p>
                        <w:p>
                          <w:pPr>
                            <w:tabs>
                              <w:tab w:val="left" w:pos="1134"/>
                            </w:tabs>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14c669a719ab4ba6ae4ac4bda47771bd"/>
                        <w:lock w:val="sdtLocked"/>
                        <w:richText/>
                      </w:sdtPr>
                      <w:sdtContent>
                        <w:p>
                          <w:pPr>
                            <w:tabs>
                              <w:tab w:val="left" w:pos="1134"/>
                            </w:tabs>
                            <w:spacing w:line="360" w:lineRule="auto"/>
                            <w:ind w:firstLine="720"/>
                            <w:jc w:val="both"/>
                            <w:rPr>
                              <w:rFonts w:ascii="TimesLT" w:hAnsi="TimesLT"/>
                            </w:rPr>
                          </w:pPr>
                          <w:sdt>
                            <w:sdtPr>
                              <w:alias w:val="Numeris"/>
                              <w:tag w:val="nr_14c669a719ab4ba6ae4ac4bda47771bd"/>
                              <w:lock w:val="sdtLocked"/>
                              <w:richText/>
                            </w:sdtPr>
                            <w:sdtContent>
                              <w:r>
                                <w:rPr>
                                  <w:rFonts w:ascii="TimesLT" w:hAnsi="TimesLT"/>
                                </w:rPr>
                                <w:t>6</w:t>
                              </w:r>
                            </w:sdtContent>
                          </w:sdt>
                          <w:r>
                            <w:rPr>
                              <w:rFonts w:ascii="TimesLT" w:hAnsi="TimesLT"/>
                            </w:rPr>
                            <w:t>. S</w:t>
                          </w:r>
                          <w:r>
                            <w:rPr>
                              <w:rFonts w:ascii="TimesLT" w:hAnsi="TimesLT"/>
                              <w:szCs w:val="24"/>
                            </w:rPr>
                            <w:t xml:space="preserve">ocialines, kultūros, švietimo, sporto ir sveikatos priežiūros paslaugas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rFonts w:ascii="TimesLT" w:hAnsi="TimesLT"/>
                              <w:iCs/>
                              <w:szCs w:val="24"/>
                              <w:lang w:eastAsia="lt-LT"/>
                            </w:rPr>
                            <w:t xml:space="preserve">juridinių asmenų, pasitelkiančių asmenis teikti paslaugas, </w:t>
                          </w:r>
                          <w:r>
                            <w:rPr>
                              <w:rFonts w:ascii="TimesLT" w:hAnsi="TimesLT"/>
                              <w:szCs w:val="24"/>
                            </w:rPr>
                            <w:t>jei šios paslaugos ar juridinių asmenų, kuriems teikiamos paslaugos, veikla tiesioginiais ir reguliariais kontaktais susijusios su vaikais</w:t>
                          </w:r>
                          <w:r>
                            <w:rPr>
                              <w:rFonts w:ascii="TimesLT" w:hAnsi="TimesLT"/>
                              <w:iCs/>
                              <w:szCs w:val="24"/>
                              <w:lang w:eastAsia="lt-LT"/>
                            </w:rPr>
                            <w:t xml:space="preserve">, </w:t>
                          </w:r>
                          <w:r>
                            <w:rPr>
                              <w:rFonts w:ascii="TimesLT" w:hAnsi="TimesLT"/>
                              <w:szCs w:val="24"/>
                            </w:rPr>
                            <w:t xml:space="preserve">priimančiųjų organizacijų pareigos, nurodytos Vaiko teisių apsaugos pagrindų įstatymo 30 straipsnio 5, 6 dalyse, </w:t>
                          </w:r>
                          <w:r>
                            <w:rPr>
                              <w:rFonts w:ascii="TimesLT" w:hAnsi="TimesLT"/>
                            </w:rPr>
                            <w:t>nevykdymas</w:t>
                          </w:r>
                          <w:r>
                            <w:rPr>
                              <w:rFonts w:ascii="TimesLT" w:hAnsi="TimesLT"/>
                              <w:szCs w:val="24"/>
                            </w:rPr>
                            <w:t xml:space="preserve"> arba pareigų, nurodytų Vaiko teisių apsaugos pagrindų įstatymo 30 straipsnio 9 dalyje, nevykdymas, jei šioje dalyje nurodytose </w:t>
                          </w:r>
                          <w:r>
                            <w:rPr>
                              <w:rFonts w:ascii="TimesLT" w:hAnsi="TimesLT"/>
                            </w:rPr>
                            <w:t>įstaigose, įmonėse, organizacijose dirba, užsiima savanoriška veikla, atlieka praktiką, stažuojasi ar teikia paslaugas asmuo,</w:t>
                          </w:r>
                          <w:r>
                            <w:rPr>
                              <w:rFonts w:ascii="TimesLT" w:hAnsi="TimesLT"/>
                              <w:szCs w:val="24"/>
                            </w:rPr>
                            <w:t xml:space="preserve"> kuris apkaltinamuoju teismo nuosprendžiu pripažintas kaltu dėl nusikalstamų veikų, nurodytų Vaiko teisių apsaugos pagrindų įstatymo 30 straipsnio 1 dalyje, arba asmuo, kuris yra padaręs Vaiko teisių apsaugos pagrindų įstatymo 30 straipsnio 1 dalyje nurodytas nusikalstamas veikas, bet atleistas nuo baudžiamosios atsakomybės Vaiko teisių apsaugos pagrindų įstatymo 30 straipsnio 1 dalyje nurodytais pagrindais, </w:t>
                          </w:r>
                        </w:p>
                        <w:p>
                          <w:pPr>
                            <w:tabs>
                              <w:tab w:val="left" w:pos="1134"/>
                            </w:tabs>
                            <w:spacing w:line="360" w:lineRule="auto"/>
                            <w:ind w:firstLine="720"/>
                            <w:jc w:val="both"/>
                            <w:rPr>
                              <w:rFonts w:ascii="TimesLT" w:hAnsi="TimesLT"/>
                            </w:rPr>
                          </w:pPr>
                          <w:r>
                            <w:rPr>
                              <w:rFonts w:ascii="TimesLT" w:hAnsi="TimesLT"/>
                            </w:rPr>
                            <w:t>užtraukia baudą nuo trijų tūkstančių iki penkių tūkstančių eurų.</w:t>
                          </w:r>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1125cc0a7e65451ba19914f7d62c9ef2"/>
                        <w:lock w:val="sdtLocked"/>
                        <w:richText/>
                      </w:sdtPr>
                      <w:sdtContent>
                        <w:p>
                          <w:pPr>
                            <w:spacing w:line="360" w:lineRule="auto"/>
                            <w:ind w:firstLine="720"/>
                            <w:jc w:val="both"/>
                            <w:rPr>
                              <w:rFonts w:ascii="TimesLT" w:hAnsi="TimesLT"/>
                            </w:rPr>
                          </w:pPr>
                          <w:sdt>
                            <w:sdtPr>
                              <w:alias w:val="Numeris"/>
                              <w:tag w:val="nr_1125cc0a7e65451ba19914f7d62c9ef2"/>
                              <w:lock w:val="sdtLocked"/>
                              <w:richText/>
                            </w:sdtPr>
                            <w:sdtContent>
                              <w:r>
                                <w:rPr>
                                  <w:rFonts w:ascii="TimesLT" w:hAnsi="TimesLT"/>
                                  <w:szCs w:val="24"/>
                                </w:rPr>
                                <w:t>8</w:t>
                              </w:r>
                            </w:sdtContent>
                          </w:sdt>
                          <w:r>
                            <w:rPr>
                              <w:rFonts w:ascii="TimesLT" w:hAnsi="TimesLT"/>
                              <w:szCs w:val="24"/>
                            </w:rPr>
                            <w:t xml:space="preserve">. </w:t>
                          </w:r>
                          <w:r>
                            <w:rPr>
                              <w:rFonts w:ascii="TimesLT" w:hAnsi="TimesLT"/>
                              <w:iCs/>
                            </w:rPr>
                            <w:t>Asmens, besiverčiančio individualia veikla, teikiančio paslaugas ar vykdančio bet kokią kitą veiklą, jei ši veikla</w:t>
                          </w:r>
                          <w:r>
                            <w:rPr>
                              <w:rFonts w:ascii="TimesLT" w:hAnsi="TimesLT"/>
                              <w:szCs w:val="24"/>
                            </w:rPr>
                            <w:t xml:space="preserve"> ar paslaugos tiesioginiais ir reguliariais kontaktais susijusios su vaikais</w:t>
                          </w:r>
                          <w:r>
                            <w:rPr>
                              <w:rFonts w:ascii="TimesLT" w:hAnsi="TimesLT"/>
                            </w:rPr>
                            <w:t>, pareigos, nurodytos Vaiko teisių apsaugos pagrindų įstatymo 30 straipsnio 6 dalyje, ir pareigos, nurodytos Vaiko teisių apsaugos pagrindų įstatymo 30 straipsnio 7 dalyje, nevykdymas</w:t>
                          </w:r>
                        </w:p>
                        <w:p>
                          <w:pPr>
                            <w:spacing w:line="360" w:lineRule="auto"/>
                            <w:ind w:firstLine="720"/>
                            <w:jc w:val="both"/>
                            <w:rPr>
                              <w:rFonts w:ascii="TimesLT" w:hAnsi="TimesLT"/>
                            </w:rPr>
                          </w:pPr>
                          <w:r>
                            <w:rPr>
                              <w:rFonts w:ascii="TimesLT" w:hAnsi="TimesLT"/>
                            </w:rPr>
                            <w:t>užtraukia baudą nuo trijų šimtų iki penkių šimtų eurų.</w:t>
                          </w:r>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0"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1"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2"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3"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4"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5"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3"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4"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5"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6"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7"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38"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39"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ff0f3a6aba7e4b529315185577f0ace8"/>
                            <w:lock w:val="sdtLocked"/>
                            <w:richText/>
                          </w:sdtPr>
                          <w:sdtContent>
                            <w:p>
                              <w:pPr>
                                <w:spacing w:line="360" w:lineRule="auto"/>
                                <w:ind w:firstLine="720"/>
                                <w:jc w:val="both"/>
                                <w:textAlignment w:val="baseline"/>
                                <w:rPr>
                                  <w:szCs w:val="24"/>
                                </w:rPr>
                              </w:pPr>
                              <w:sdt>
                                <w:sdtPr>
                                  <w:alias w:val="Numeris"/>
                                  <w:tag w:val="nr_ff0f3a6aba7e4b529315185577f0ace8"/>
                                  <w:lock w:val="sdtLocked"/>
                                  <w:richText/>
                                </w:sdtPr>
                                <w:sdtContent>
                                  <w:r>
                                    <w:rPr>
                                      <w:szCs w:val="24"/>
                                      <w:lang w:eastAsia="lt-LT"/>
                                    </w:rPr>
                                    <w:t>63</w:t>
                                  </w:r>
                                </w:sdtContent>
                              </w:sdt>
                              <w:r>
                                <w:rPr>
                                  <w:szCs w:val="24"/>
                                  <w:lang w:eastAsia="lt-LT"/>
                                </w:rPr>
                                <w:t>) Lietuvos transporto saugos administracijos – dėl šio kodekso 101 straipsnio 5, 6 dalyse, 139 straipsnio 1, 2, 3, 4, 5, 6 dalyse, 150, 256, 307 straipsniuose, 369 straipsnio 5, 6 dalyse, 370, 370</w:t>
                              </w:r>
                              <w:r>
                                <w:rPr>
                                  <w:szCs w:val="24"/>
                                  <w:vertAlign w:val="superscript"/>
                                  <w:lang w:eastAsia="lt-LT"/>
                                </w:rPr>
                                <w:t>1</w:t>
                              </w:r>
                              <w:r>
                                <w:rPr>
                                  <w:szCs w:val="24"/>
                                  <w:lang w:eastAsia="lt-LT"/>
                                </w:rPr>
                                <w:t xml:space="preserve">, 372, 373, 374, 375, 376, 377, 378, 379, 380, 381, 382, 383, 384, 385, 386, 387, 388, 389, 390, 391, 392, 393, 394, 395, 396, 397, 398 straipsniuose, 401 straipsnio 2, 3, 4, 5, 6, 7, 8, 9, 10, 11, 12, 13, 14, 15, 16, 17, 18, 19, 20, 21, 22, 23, 25, 26 dalyse, </w:t>
                              </w:r>
                              <w:r>
                                <w:rPr>
                                  <w:bCs/>
                                  <w:szCs w:val="24"/>
                                  <w:lang w:eastAsia="lt-LT"/>
                                </w:rPr>
                                <w:t>401</w:t>
                              </w:r>
                              <w:r>
                                <w:rPr>
                                  <w:bCs/>
                                  <w:szCs w:val="24"/>
                                  <w:vertAlign w:val="superscript"/>
                                  <w:lang w:eastAsia="lt-LT"/>
                                </w:rPr>
                                <w:t>1</w:t>
                              </w:r>
                              <w:r>
                                <w:rPr>
                                  <w:bCs/>
                                  <w:szCs w:val="24"/>
                                  <w:lang w:eastAsia="lt-LT"/>
                                </w:rPr>
                                <w:t>,</w:t>
                              </w:r>
                              <w:r>
                                <w:rPr>
                                  <w:szCs w:val="24"/>
                                  <w:lang w:eastAsia="lt-LT"/>
                                </w:rPr>
                                <w:t xml:space="preserve"> 402, 403, 404, 405, 406, 407, 409, 410, 411, 413 straipsniuose, 415 straipsnio 2 dalyje, 425 straipsnyje, 426 straipsnio 4 dalyje, 429 straipsnyje, 431 straipsnio 1, 2, 3, 4 dalyse, 434 straipsnio 1, 2, 3 dalyse, 435, 436, 437, 438, 439, 440, 441, 442, 443, 444, 445, 446, 447, 448, 449, 449</w:t>
                              </w:r>
                              <w:r>
                                <w:rPr>
                                  <w:szCs w:val="24"/>
                                  <w:vertAlign w:val="superscript"/>
                                  <w:lang w:eastAsia="lt-LT"/>
                                </w:rPr>
                                <w:t>1</w:t>
                              </w:r>
                              <w:r>
                                <w:rPr>
                                  <w:szCs w:val="24"/>
                                  <w:lang w:eastAsia="lt-LT"/>
                                </w:rPr>
                                <w:t>, 450, 451, 452, 453, 454, 455, 456, 457, 458 straipsniuose, 459 straipsnio 1, 2, 3, 4, 5, 6, 7, 9, 10 dalyse, 460, 461, 462,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6"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cc64bc3e6dbd416cb82da3b356c23b21"/>
            <w:lock w:val="sdtLocked"/>
            <w:richText/>
          </w:sdtPr>
          <w:sdtContent>
            <w:p>
              <w:pPr>
                <w:spacing w:line="360" w:lineRule="auto"/>
                <w:ind w:firstLine="720"/>
                <w:jc w:val="both"/>
              </w:pPr>
              <w:sdt>
                <w:sdtPr>
                  <w:alias w:val="Numeris"/>
                  <w:tag w:val="nr_cc64bc3e6dbd416cb82da3b356c23b21"/>
                  <w:lock w:val="sdtLocked"/>
                  <w:richText/>
                </w:sdtPr>
                <w:sdtContent>
                  <w:r>
                    <w:rPr>
                      <w:bCs/>
                      <w:lang w:eastAsia="lt-LT"/>
                    </w:rPr>
                    <w:t>117</w:t>
                  </w:r>
                  <w:r>
                    <w:rPr>
                      <w:bCs/>
                      <w:vertAlign w:val="superscript"/>
                      <w:lang w:eastAsia="lt-LT"/>
                    </w:rPr>
                    <w:t>1</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7"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8" w:tgtFrame="_blank" w:history="1">
                <w:r>
                  <w:rPr>
                    <w:bCs/>
                    <w:color w:val="0000FF" w:themeColor="hyperlink"/>
                    <w:szCs w:val="24"/>
                    <w:u w:val="single"/>
                  </w:rPr>
                  <w:t>(ES) 2019/1937</w:t>
                </w:r>
              </w:hyperlink>
              <w:r>
                <w:rPr>
                  <w:bCs/>
                  <w:szCs w:val="24"/>
                </w:rPr>
                <w:t xml:space="preserve"> ir panaikinamas Reglamentas </w:t>
              </w:r>
              <w:hyperlink r:id="rId49"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0"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1"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D594ED"/>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2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1078.xml"/>
  <Relationship Id="rId17" Type="http://schemas.openxmlformats.org/officeDocument/2006/relationships/header" Target="header1079.xml"/>
  <Relationship Id="rId18" Type="http://schemas.openxmlformats.org/officeDocument/2006/relationships/footer" Target="footer1078.xml"/>
  <Relationship Id="rId19" Type="http://schemas.openxmlformats.org/officeDocument/2006/relationships/footer" Target="footer1079.xml"/>
  <Relationship Id="rId2" Type="http://schemas.openxmlformats.org/officeDocument/2006/relationships/header" Target="header530.xml"/>
  <Relationship Id="rId20" Type="http://schemas.openxmlformats.org/officeDocument/2006/relationships/header" Target="header1080.xml"/>
  <Relationship Id="rId21" Type="http://schemas.openxmlformats.org/officeDocument/2006/relationships/footer" Target="footer1080.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529.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530.xml"/>
  <Relationship Id="rId40"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3143R2014&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2024R0573&amp;locale=lt"/>
  <Relationship Id="rId48" Type="http://schemas.openxmlformats.org/officeDocument/2006/relationships/hyperlink" TargetMode="External" Target="http://eur-lex.europa.eu/legal-content/LIT/TXT/?uri=CELEX:32019L1937&amp;locale=lt"/>
  <Relationship Id="rId49" Type="http://schemas.openxmlformats.org/officeDocument/2006/relationships/hyperlink" TargetMode="External" Target="http://eur-lex.europa.eu/legal-content/LIT/TXT/?uri=CELEX:32014R0517&amp;locale=lt"/>
  <Relationship Id="rId5" Type="http://schemas.openxmlformats.org/officeDocument/2006/relationships/header" Target="header531.xml"/>
  <Relationship Id="rId50" Type="http://schemas.openxmlformats.org/officeDocument/2006/relationships/hyperlink" TargetMode="External" Target="http://eur-lex.europa.eu/legal-content/LIT/TXT/?uri=CELEX:32024L1226&amp;locale=lt"/>
  <Relationship Id="rId51" Type="http://schemas.openxmlformats.org/officeDocument/2006/relationships/hyperlink" TargetMode="External" Target="http://eur-lex.europa.eu/legal-content/LIT/TXT/?uri=CELEX:32018L1673&amp;locale=lt"/>
  <Relationship Id="rId52" Type="http://schemas.openxmlformats.org/officeDocument/2006/relationships/customXml" Target="../customXml/item1.xml"/>
  <Relationship Id="rId6" Type="http://schemas.openxmlformats.org/officeDocument/2006/relationships/footer" Target="footer53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94b734193804416c8034899ff4639440">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e43495f5025d4234ba576b2056d67a55"/>
          <Part Type="strDalis" Nr="5" Abbr="72 str. 5 d." DocPartId="c33a17b5a7464bafa42a7633d88ee9cd" PartId="aea3837c37394de2890b0c801c13328c"/>
          <Part Type="strDalis" Nr="6" Abbr="72 str. 6 d." DocPartId="eba29944b410401f9ca9a8881ff8856e" PartId="14c669a719ab4ba6ae4ac4bda47771bd"/>
          <Part Type="strDalis" Nr="7" Abbr="72 str. 7 d." DocPartId="0144fe17f71a492eaaae1fe50c3f7aff" PartId="d55249372d5c4cd69effbf6af2efa665"/>
          <Part Type="strDalis" Nr="8" Abbr="72 str. 8 d." DocPartId="a3ef08d56a414bdc896a4eafcbf40b2b" PartId="1125cc0a7e65451ba19914f7d62c9ef2"/>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ff0f3a6aba7e4b529315185577f0ace8"/>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0efe564c0004a07970ab4e98cfbf2bd"/>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a1623b4fd62e45dfbd30cdd103541174" PartId="cc64bc3e6dbd416cb82da3b356c23b21"/>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3615C93-140A-4054-8AB9-797D44B58301}">
  <ds:schemaRefs>
    <ds:schemaRef ds:uri="http://lrs.lt/TAIS/DocParts"/>
  </ds:schemaRefs>
</ds:datastoreItem>
</file>

<file path=customXml/itemProps3.xml><?xml version="1.0" encoding="utf-8"?>
<ds:datastoreItem xmlns:ds="http://schemas.openxmlformats.org/officeDocument/2006/customXml" ds:itemID="{6935D82C-AEDB-4525-ABF0-9F84AF7F3AE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861</TotalTime>
  <Pages>478</Pages>
  <Words>146379</Words>
  <Characters>1060125</Characters>
  <Application>Microsoft Office Word</Application>
  <DocSecurity>0</DocSecurity>
  <Lines>8834</Lines>
  <Paragraphs>2408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1204096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2025-05-22T10:41:00Z</dcterms:modified>
  <revision>416</revision>
</coreProperties>
</file>