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62.xml" ContentType="application/vnd.openxmlformats-officedocument.wordprocessingml.footer+xml"/>
  <Override PartName="/word/footer1163.xml" ContentType="application/vnd.openxmlformats-officedocument.wordprocessingml.footer+xml"/>
  <Override PartName="/word/footer1164.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62.xml" ContentType="application/vnd.openxmlformats-officedocument.wordprocessingml.header+xml"/>
  <Override PartName="/word/header1163.xml" ContentType="application/vnd.openxmlformats-officedocument.wordprocessingml.header+xml"/>
  <Override PartName="/word/header1164.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2026-06-13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9370d45cffe3442594acf2f565ee277d"/>
                    <w:lock w:val="sdtLocked"/>
                    <w:richText/>
                  </w:sdtPr>
                  <w:sdtContent>
                    <w:p>
                      <w:pPr>
                        <w:spacing w:line="360" w:lineRule="auto"/>
                        <w:ind w:left="2268" w:hanging="1548"/>
                        <w:jc w:val="both"/>
                        <w:rPr>
                          <w:szCs w:val="24"/>
                        </w:rPr>
                      </w:pPr>
                      <w:sdt>
                        <w:sdtPr>
                          <w:alias w:val="Numeris"/>
                          <w:tag w:val="nr_9370d45cffe3442594acf2f565ee277d"/>
                          <w:lock w:val="sdtLocked"/>
                          <w:richText/>
                        </w:sdtPr>
                        <w:sdtContent>
                          <w:r>
                            <w:rPr>
                              <w:b/>
                              <w:szCs w:val="24"/>
                            </w:rPr>
                            <w:t>99</w:t>
                          </w:r>
                        </w:sdtContent>
                      </w:sdt>
                      <w:r>
                        <w:rPr>
                          <w:b/>
                          <w:szCs w:val="24"/>
                        </w:rPr>
                        <w:t xml:space="preserve"> straipsnis. </w:t>
                      </w:r>
                      <w:sdt>
                        <w:sdtPr>
                          <w:alias w:val="Pavadinimas"/>
                          <w:tag w:val="title_9370d45cffe3442594acf2f565ee277d"/>
                          <w:lock w:val="sdtLocked"/>
                          <w:richText/>
                        </w:sdtPr>
                        <w:sdtContent>
                          <w:r>
                            <w:rPr>
                              <w:b/>
                              <w:szCs w:val="24"/>
                            </w:rPr>
                            <w:t xml:space="preserve">Darbo užmokesčio </w:t>
                          </w:r>
                          <w:r>
                            <w:rPr>
                              <w:b/>
                              <w:bCs/>
                              <w:szCs w:val="24"/>
                            </w:rPr>
                            <w:t>nustatymo</w:t>
                          </w:r>
                          <w:r>
                            <w:rPr>
                              <w:b/>
                              <w:szCs w:val="24"/>
                            </w:rPr>
                            <w:t>, apskaičiavimo ir mokėjimo tvarkos pažeidimas</w:t>
                          </w:r>
                          <w:r>
                            <w:rPr>
                              <w:szCs w:val="24"/>
                            </w:rPr>
                            <w:t xml:space="preserve"> </w:t>
                          </w:r>
                        </w:sdtContent>
                      </w:sdt>
                    </w:p>
                    <w:sdt>
                      <w:sdtPr>
                        <w:alias w:val="99 str. 1 d."/>
                        <w:tag w:val="part_1199dd89825d49ecb50445f29944fa64"/>
                        <w:lock w:val="sdtLocked"/>
                        <w:richText/>
                      </w:sdtPr>
                      <w:sdtContent>
                        <w:p>
                          <w:pPr>
                            <w:spacing w:line="360" w:lineRule="auto"/>
                            <w:ind w:firstLine="720"/>
                            <w:jc w:val="both"/>
                            <w:rPr>
                              <w:szCs w:val="24"/>
                              <w:lang w:eastAsia="lt-LT"/>
                            </w:rPr>
                          </w:pPr>
                          <w:sdt>
                            <w:sdtPr>
                              <w:alias w:val="Numeris"/>
                              <w:tag w:val="nr_1199dd89825d49ecb50445f29944fa64"/>
                              <w:lock w:val="sdtLocked"/>
                              <w:richText/>
                            </w:sdtPr>
                            <w:sdtContent>
                              <w:r>
                                <w:rPr>
                                  <w:szCs w:val="24"/>
                                  <w:lang w:eastAsia="lt-LT"/>
                                </w:rPr>
                                <w:t>1</w:t>
                              </w:r>
                            </w:sdtContent>
                          </w:sdt>
                          <w:r>
                            <w:rPr>
                              <w:szCs w:val="24"/>
                              <w:lang w:eastAsia="lt-LT"/>
                            </w:rPr>
                            <w:t xml:space="preserve">. Lietuvos Respublikos darbo kodekse, Lietuvos Respublikos valstybinio socialinio draudimo įstatyme, kolektyvinėje arba darbo sutartyje, </w:t>
                          </w:r>
                          <w:r>
                            <w:rPr>
                              <w:bCs/>
                              <w:szCs w:val="24"/>
                              <w:lang w:eastAsia="lt-LT"/>
                            </w:rPr>
                            <w:t>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w:t>
                          </w:r>
                        </w:p>
                        <w:p>
                          <w:pPr>
                            <w:spacing w:line="360" w:lineRule="auto"/>
                            <w:ind w:firstLine="720"/>
                            <w:jc w:val="both"/>
                            <w:rPr>
                              <w:szCs w:val="24"/>
                              <w:lang w:eastAsia="lt-LT"/>
                            </w:rPr>
                          </w:pPr>
                          <w:r>
                            <w:rPr>
                              <w:szCs w:val="24"/>
                              <w:lang w:eastAsia="lt-LT"/>
                            </w:rPr>
                            <w:t xml:space="preserve">užtraukia baudą darbdaviams ar kitiems atsakingiems asmenims nuo </w:t>
                          </w:r>
                          <w:r>
                            <w:rPr>
                              <w:bCs/>
                              <w:szCs w:val="24"/>
                              <w:lang w:eastAsia="lt-LT"/>
                            </w:rPr>
                            <w:t>penkių</w:t>
                          </w:r>
                          <w:r>
                            <w:rPr>
                              <w:szCs w:val="24"/>
                              <w:lang w:eastAsia="lt-LT"/>
                            </w:rPr>
                            <w:t xml:space="preserve"> šimtų iki vieno tūkstančio keturių šimtų penkiasdešimt eurų.</w:t>
                          </w:r>
                        </w:p>
                      </w:sdtContent>
                    </w:sdt>
                    <w:sdt>
                      <w:sdtPr>
                        <w:alias w:val="99 str. 2 d."/>
                        <w:tag w:val="part_d0162ae26e5042e5b446981d45fd2ef1"/>
                        <w:lock w:val="sdtLocked"/>
                        <w:richText/>
                      </w:sdtPr>
                      <w:sdtContent>
                        <w:p>
                          <w:pPr>
                            <w:spacing w:line="360" w:lineRule="auto"/>
                            <w:ind w:firstLine="720"/>
                            <w:jc w:val="both"/>
                            <w:rPr>
                              <w:szCs w:val="24"/>
                              <w:lang w:eastAsia="lt-LT"/>
                            </w:rPr>
                          </w:pPr>
                          <w:sdt>
                            <w:sdtPr>
                              <w:alias w:val="Numeris"/>
                              <w:tag w:val="nr_d0162ae26e5042e5b446981d45fd2e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vieno tūkstančio keturių šimtų </w:t>
                          </w:r>
                          <w:r>
                            <w:rPr>
                              <w:bCs/>
                              <w:szCs w:val="24"/>
                              <w:lang w:eastAsia="lt-LT"/>
                            </w:rPr>
                            <w:t>penkiasdešimt</w:t>
                          </w:r>
                          <w:r>
                            <w:rPr>
                              <w:szCs w:val="24"/>
                              <w:lang w:eastAsia="lt-LT"/>
                            </w:rPr>
                            <w:t xml:space="preserve"> iki trijų tūkstančių eurų.</w:t>
                          </w:r>
                        </w:p>
                      </w:sdtContent>
                    </w:sdt>
                    <w:sdt>
                      <w:sdtPr>
                        <w:alias w:val="99 str. 3 d."/>
                        <w:tag w:val="part_47e66ff0eb9c403182c3140da0ec5286"/>
                        <w:lock w:val="sdtLocked"/>
                        <w:richText/>
                      </w:sdtPr>
                      <w:sdtContent>
                        <w:p>
                          <w:pPr>
                            <w:spacing w:line="360" w:lineRule="auto"/>
                            <w:ind w:firstLine="720"/>
                            <w:jc w:val="both"/>
                            <w:rPr>
                              <w:szCs w:val="24"/>
                              <w:lang w:eastAsia="lt-LT"/>
                            </w:rPr>
                          </w:pPr>
                          <w:sdt>
                            <w:sdtPr>
                              <w:alias w:val="Numeris"/>
                              <w:tag w:val="nr_47e66ff0eb9c403182c3140da0ec5286"/>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w:t>
                          </w:r>
                          <w:r>
                            <w:rPr>
                              <w:bCs/>
                              <w:szCs w:val="24"/>
                              <w:lang w:eastAsia="lt-LT"/>
                            </w:rPr>
                            <w:t>, 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lang w:eastAsia="lt-LT"/>
                            </w:rPr>
                          </w:pPr>
                          <w:r>
                            <w:rPr>
                              <w:szCs w:val="24"/>
                              <w:lang w:eastAsia="lt-LT"/>
                            </w:rP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f480a0ba3f9246b48dc7ee896e21af7a"/>
                        <w:lock w:val="sdtLocked"/>
                        <w:richText/>
                      </w:sdtPr>
                      <w:sdtContent>
                        <w:p>
                          <w:pPr>
                            <w:spacing w:line="360" w:lineRule="auto"/>
                            <w:ind w:firstLine="720"/>
                            <w:jc w:val="both"/>
                            <w:rPr>
                              <w:szCs w:val="24"/>
                            </w:rPr>
                          </w:pPr>
                          <w:sdt>
                            <w:sdtPr>
                              <w:alias w:val="Numeris"/>
                              <w:tag w:val="nr_f480a0ba3f9246b48dc7ee896e21af7a"/>
                              <w:lock w:val="sdtLocked"/>
                              <w:richText/>
                            </w:sdtPr>
                            <w:sdtContent>
                              <w:r>
                                <w:rPr>
                                  <w:szCs w:val="24"/>
                                </w:rPr>
                                <w:t>1</w:t>
                              </w:r>
                            </w:sdtContent>
                          </w:sdt>
                          <w:r>
                            <w:rPr>
                              <w:szCs w:val="24"/>
                            </w:rPr>
                            <w:t>. Kreditorių teisių pažeidimas (kreditorių reikalavimų tenkinimo eilės ir tvarkos pažeidimas, kreditorių susirinkimų nesušaukimas įstatymuose numatytais atvejais)</w:t>
                          </w:r>
                        </w:p>
                        <w:p>
                          <w:pPr>
                            <w:spacing w:line="360" w:lineRule="auto"/>
                            <w:ind w:firstLine="720"/>
                            <w:jc w:val="both"/>
                            <w:rPr>
                              <w:bCs/>
                              <w:szCs w:val="24"/>
                            </w:rPr>
                          </w:pPr>
                          <w:r>
                            <w:rPr>
                              <w:szCs w:val="24"/>
                            </w:rPr>
                            <w:t>užtraukia</w:t>
                          </w:r>
                          <w:r>
                            <w:rPr>
                              <w:bCs/>
                              <w:szCs w:val="24"/>
                            </w:rPr>
                            <w:t xml:space="preserve"> baudą juridinių asmenų vadovams ar kitiems atsakingiems asmenims</w:t>
                          </w:r>
                          <w:r>
                            <w:rPr>
                              <w:b/>
                              <w:bCs/>
                              <w:szCs w:val="24"/>
                            </w:rPr>
                            <w:t xml:space="preserve"> </w:t>
                          </w:r>
                          <w:r>
                            <w:rPr>
                              <w:bCs/>
                              <w:szCs w:val="24"/>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13d80665c11f1b53dfa020e517810">
                            <w:r w:rsidRPr="00532B9F">
                              <w:rPr>
                                <w:rFonts w:ascii="Times New Roman" w:eastAsia="MS Mincho" w:hAnsi="Times New Roman"/>
                                <w:sz w:val="20"/>
                                <w:i/>
                                <w:iCs/>
                                <w:color w:val="0000FF" w:themeColor="hyperlink"/>
                                <w:u w:val="single"/>
                              </w:rPr>
                              <w:t>XV-988</w:t>
                            </w:r>
                          </w:fldSimple>
                          <w:r>
                            <w:rPr>
                              <w:rFonts w:ascii="Times New Roman" w:eastAsia="MS Mincho" w:hAnsi="Times New Roman"/>
                              <w:sz w:val="20"/>
                              <w:i/>
                              <w:iCs/>
                            </w:rPr>
                            <w:t>,
2026-06-04,
paskelbta TAR 2026-06-12, i. k. 2026-10325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7d23507cc400485788861c589686c0fe"/>
                    <w:lock w:val="sdtLocked"/>
                    <w:richText/>
                  </w:sdtPr>
                  <w:sdtContent>
                    <w:p>
                      <w:pPr>
                        <w:spacing w:line="360" w:lineRule="auto"/>
                        <w:ind w:left="2552" w:hanging="1832"/>
                        <w:jc w:val="both"/>
                        <w:rPr>
                          <w:color w:val="000000"/>
                          <w:szCs w:val="24"/>
                          <w:lang w:eastAsia="ko-KR"/>
                        </w:rPr>
                      </w:pPr>
                      <w:sdt>
                        <w:sdtPr>
                          <w:alias w:val="Numeris"/>
                          <w:tag w:val="nr_7d23507cc400485788861c589686c0fe"/>
                          <w:lock w:val="sdtLocked"/>
                          <w:richText/>
                        </w:sdtPr>
                        <w:sdtContent>
                          <w:r>
                            <w:rPr>
                              <w:b/>
                              <w:color w:val="000000"/>
                              <w:szCs w:val="24"/>
                              <w:lang w:eastAsia="ko-KR"/>
                            </w:rPr>
                            <w:t>195</w:t>
                          </w:r>
                        </w:sdtContent>
                      </w:sdt>
                      <w:r>
                        <w:rPr>
                          <w:b/>
                          <w:color w:val="000000"/>
                          <w:szCs w:val="24"/>
                          <w:lang w:eastAsia="ko-KR"/>
                        </w:rPr>
                        <w:t xml:space="preserve"> straipsnis. </w:t>
                      </w:r>
                      <w:sdt>
                        <w:sdtPr>
                          <w:alias w:val="Pavadinimas"/>
                          <w:tag w:val="title_7d23507cc400485788861c589686c0fe"/>
                          <w:lock w:val="sdtLocked"/>
                          <w:richText/>
                        </w:sdtPr>
                        <w:sdtContent>
                          <w:r>
                            <w:rPr>
                              <w:b/>
                              <w:color w:val="000000"/>
                              <w:szCs w:val="24"/>
                              <w:lang w:eastAsia="ko-KR"/>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acad09f9b4054c5ea7bfaece465a1bcc"/>
                        <w:lock w:val="sdtLocked"/>
                        <w:richText/>
                      </w:sdtPr>
                      <w:sdtContent>
                        <w:p>
                          <w:pPr>
                            <w:tabs>
                              <w:tab w:val="left" w:pos="993"/>
                            </w:tabs>
                            <w:spacing w:line="360" w:lineRule="auto"/>
                            <w:ind w:firstLine="720"/>
                            <w:jc w:val="both"/>
                            <w:rPr>
                              <w:color w:val="000000"/>
                              <w:szCs w:val="24"/>
                              <w:lang w:eastAsia="ko-KR"/>
                            </w:rPr>
                          </w:pPr>
                          <w:sdt>
                            <w:sdtPr>
                              <w:alias w:val="Numeris"/>
                              <w:tag w:val="nr_acad09f9b4054c5ea7bfaece465a1bcc"/>
                              <w:lock w:val="sdtLocked"/>
                              <w:richText/>
                            </w:sdtPr>
                            <w:sdtContent>
                              <w:r>
                                <w:rPr>
                                  <w:color w:val="000000"/>
                                  <w:szCs w:val="24"/>
                                  <w:lang w:eastAsia="ko-KR"/>
                                </w:rPr>
                                <w:t>1</w:t>
                              </w:r>
                            </w:sdtContent>
                          </w:sdt>
                          <w:r>
                            <w:rPr>
                              <w:color w:val="000000"/>
                              <w:szCs w:val="24"/>
                              <w:lang w:eastAsia="ko-KR"/>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arba </w:t>
                          </w:r>
                          <w:r>
                            <w:rPr>
                              <w:bCs/>
                              <w:color w:val="000000"/>
                              <w:szCs w:val="24"/>
                              <w:lang w:eastAsia="ko-KR"/>
                            </w:rPr>
                            <w:t>kitam subjektui,</w:t>
                          </w:r>
                          <w:r>
                            <w:rPr>
                              <w:color w:val="000000"/>
                              <w:szCs w:val="24"/>
                              <w:lang w:eastAsia="ko-KR"/>
                            </w:rPr>
                            <w:t xml:space="preserve"> </w:t>
                          </w:r>
                          <w:r>
                            <w:rPr>
                              <w:rFonts w:eastAsia="Batang"/>
                              <w:bCs/>
                              <w:color w:val="000000"/>
                              <w:szCs w:val="24"/>
                            </w:rPr>
                            <w:t>kuris</w:t>
                          </w:r>
                          <w:r>
                            <w:rPr>
                              <w:rFonts w:eastAsia="Batang"/>
                              <w:color w:val="000000"/>
                              <w:szCs w:val="24"/>
                            </w:rPr>
                            <w:t xml:space="preserve"> </w:t>
                          </w:r>
                          <w:r>
                            <w:rPr>
                              <w:color w:val="000000"/>
                            </w:rPr>
                            <w:t xml:space="preserve">pagal pavedimo sutartį </w:t>
                          </w:r>
                          <w:r>
                            <w:rPr>
                              <w:rFonts w:eastAsia="Batang"/>
                              <w:bCs/>
                              <w:color w:val="000000"/>
                              <w:szCs w:val="24"/>
                            </w:rPr>
                            <w:t>administruoja Finansų ministerijos perduotas perskolinamas paskolas, valstybės garantijas ir kitus turtinius įsipareigojimus,</w:t>
                          </w:r>
                          <w:r>
                            <w:rPr>
                              <w:color w:val="000000"/>
                              <w:szCs w:val="24"/>
                              <w:lang w:eastAsia="ko-KR"/>
                            </w:rPr>
                            <w:t xml:space="preserve"> pagal Lietuvos Respublikos valstybės skolos įstatymą</w:t>
                          </w:r>
                        </w:p>
                        <w:p>
                          <w:pPr>
                            <w:spacing w:line="360" w:lineRule="auto"/>
                            <w:ind w:firstLine="720"/>
                            <w:jc w:val="both"/>
                            <w:rPr>
                              <w:color w:val="000000"/>
                              <w:szCs w:val="24"/>
                              <w:lang w:eastAsia="ko-KR"/>
                            </w:rPr>
                          </w:pPr>
                          <w:r>
                            <w:rPr>
                              <w:color w:val="000000"/>
                              <w:szCs w:val="24"/>
                              <w:lang w:eastAsia="ko-KR"/>
                            </w:rPr>
                            <w:t>užtraukia baudą nuo trijų šimtų iki penkių šimtų šešiasdešimt eurų.</w:t>
                          </w:r>
                        </w:p>
                      </w:sdtContent>
                    </w:sdt>
                    <w:sdt>
                      <w:sdtPr>
                        <w:alias w:val="195 str. 2 d."/>
                        <w:tag w:val="part_60a036664c624904894c256c55d736bc"/>
                        <w:lock w:val="sdtLocked"/>
                        <w:richText/>
                      </w:sdtPr>
                      <w:sdtContent>
                        <w:p>
                          <w:pPr>
                            <w:spacing w:line="360" w:lineRule="auto"/>
                            <w:ind w:firstLine="720"/>
                            <w:jc w:val="both"/>
                            <w:rPr>
                              <w:color w:val="000000"/>
                              <w:szCs w:val="24"/>
                              <w:lang w:eastAsia="ko-KR"/>
                            </w:rPr>
                          </w:pPr>
                          <w:sdt>
                            <w:sdtPr>
                              <w:alias w:val="Numeris"/>
                              <w:tag w:val="nr_60a036664c624904894c256c55d736bc"/>
                              <w:lock w:val="sdtLocked"/>
                              <w:richText/>
                            </w:sdtPr>
                            <w:sdtContent>
                              <w:r>
                                <w:rPr>
                                  <w:color w:val="000000"/>
                                  <w:szCs w:val="24"/>
                                  <w:lang w:eastAsia="ko-KR"/>
                                </w:rPr>
                                <w:t>2</w:t>
                              </w:r>
                            </w:sdtContent>
                          </w:sdt>
                          <w:r>
                            <w:rPr>
                              <w:color w:val="000000"/>
                              <w:szCs w:val="24"/>
                              <w:lang w:eastAsia="ko-KR"/>
                            </w:rPr>
                            <w:t xml:space="preserve">. Veiksmų, kuriems atlikti pagal </w:t>
                          </w:r>
                          <w:r>
                            <w:rPr>
                              <w:bCs/>
                              <w:color w:val="000000"/>
                              <w:szCs w:val="24"/>
                              <w:lang w:eastAsia="ko-KR"/>
                            </w:rPr>
                            <w:t>Valstybės</w:t>
                          </w:r>
                          <w:r>
                            <w:rPr>
                              <w:color w:val="000000"/>
                              <w:szCs w:val="24"/>
                              <w:lang w:eastAsia="ko-KR"/>
                            </w:rPr>
                            <w:t xml:space="preserve"> skolos įstatymą reikalingas </w:t>
                          </w:r>
                          <w:r>
                            <w:rPr>
                              <w:bCs/>
                              <w:color w:val="000000"/>
                              <w:szCs w:val="24"/>
                              <w:lang w:eastAsia="ko-KR"/>
                            </w:rPr>
                            <w:t>Finansų</w:t>
                          </w:r>
                          <w:r>
                            <w:rPr>
                              <w:color w:val="000000"/>
                              <w:szCs w:val="24"/>
                              <w:lang w:eastAsia="ko-KR"/>
                            </w:rPr>
                            <w:t xml:space="preserve"> ministerijos</w:t>
                          </w:r>
                          <w:r>
                            <w:rPr>
                              <w:bCs/>
                              <w:color w:val="000000"/>
                              <w:szCs w:val="24"/>
                              <w:lang w:eastAsia="ko-KR"/>
                            </w:rPr>
                            <w:t xml:space="preserve"> </w:t>
                          </w:r>
                          <w:r>
                            <w:rPr>
                              <w:color w:val="000000"/>
                              <w:szCs w:val="24"/>
                              <w:lang w:eastAsia="ko-KR"/>
                            </w:rPr>
                            <w:t>arba</w:t>
                          </w:r>
                          <w:r>
                            <w:rPr>
                              <w:bCs/>
                              <w:color w:val="000000"/>
                              <w:szCs w:val="24"/>
                              <w:lang w:eastAsia="ko-KR"/>
                            </w:rPr>
                            <w:t xml:space="preserve"> kito subjekto, kuris pagal pavedimo sutartį administruoja Finansų ministerijos perduotas perskolinamas paskolas, valstybės garantijas ir kitus turtinius įsipareigojimus, rašytinis</w:t>
                          </w:r>
                          <w:r>
                            <w:rPr>
                              <w:color w:val="000000"/>
                              <w:szCs w:val="24"/>
                              <w:lang w:eastAsia="ko-KR"/>
                            </w:rPr>
                            <w:t xml:space="preserve"> leidimas, atlikimas neturint šio leidimo</w:t>
                          </w:r>
                        </w:p>
                        <w:p>
                          <w:pPr>
                            <w:spacing w:line="360" w:lineRule="auto"/>
                            <w:ind w:firstLine="720"/>
                            <w:jc w:val="both"/>
                            <w:rPr>
                              <w:szCs w:val="24"/>
                            </w:rPr>
                          </w:pPr>
                          <w:r>
                            <w:rPr>
                              <w:color w:val="000000"/>
                              <w:szCs w:val="24"/>
                              <w:lang w:eastAsia="ko-KR"/>
                            </w:rPr>
                            <w:t>užtraukia baudą nuo trijų šimtų iki vieno tūkstančio vieno šimto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450b0ca0311f08918e1adc7c5b1ec">
                        <w:r w:rsidRPr="00532B9F">
                          <w:rPr>
                            <w:rFonts w:ascii="Times New Roman" w:eastAsia="MS Mincho" w:hAnsi="Times New Roman"/>
                            <w:sz w:val="20"/>
                            <w:i/>
                            <w:iCs/>
                            <w:color w:val="0000FF" w:themeColor="hyperlink"/>
                            <w:u w:val="single"/>
                          </w:rPr>
                          <w:t>XV-531</w:t>
                        </w:r>
                      </w:fldSimple>
                      <w:r>
                        <w:rPr>
                          <w:rFonts w:ascii="Times New Roman" w:eastAsia="MS Mincho" w:hAnsi="Times New Roman"/>
                          <w:sz w:val="20"/>
                          <w:i/>
                          <w:iCs/>
                        </w:rPr>
                        <w:t>,
2025-11-13,
paskelbta TAR 2025-11-25, i. k. 2025-19763            </w:t>
                      </w:r>
                    </w:p>
                    <w:p/>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6"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09"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10"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1"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2"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3"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4"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2"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4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43"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4" w:tgtFrame="_blank" w:history="1">
                            <w:r>
                              <w:rPr>
                                <w:bCs/>
                                <w:color w:val="0000FF" w:themeColor="hyperlink"/>
                                <w:szCs w:val="24"/>
                                <w:u w:val="single"/>
                              </w:rPr>
                              <w:t>(ES) Nr. 2024/1157</w:t>
                            </w:r>
                          </w:hyperlink>
                          <w:r>
                            <w:rPr>
                              <w:bCs/>
                              <w:color w:val="000000"/>
                              <w:szCs w:val="24"/>
                            </w:rPr>
                            <w:t xml:space="preserve"> VII priedo dokumentą ar Reglamento </w:t>
                          </w:r>
                          <w:hyperlink r:id="rId145"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6"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7"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8"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7"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5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6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5"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6"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7"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8"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9"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20"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1"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2"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3"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4"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5"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5"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6"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7"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8"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9"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0"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1"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2"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3"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4"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6"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7"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8"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3"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4"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4"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5"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6"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7"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8"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5"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2"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3"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5"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6"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7"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8" w:tgtFrame="_blank" w:history="1">
                            <w:r>
                              <w:rPr>
                                <w:color w:val="0000FF" w:themeColor="hyperlink"/>
                                <w:szCs w:val="24"/>
                                <w:u w:val="single"/>
                                <w:lang w:eastAsia="lt-LT"/>
                              </w:rPr>
                              <w:t>(ES) Nr. 1178/2011</w:t>
                            </w:r>
                          </w:hyperlink>
                          <w:r>
                            <w:rPr>
                              <w:szCs w:val="24"/>
                              <w:lang w:eastAsia="lt-LT"/>
                            </w:rPr>
                            <w:t xml:space="preserve">, Reglamente </w:t>
                          </w:r>
                          <w:hyperlink r:id="rId59"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0"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1"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2" w:tgtFrame="_blank" w:history="1">
                            <w:r>
                              <w:rPr>
                                <w:color w:val="0000FF" w:themeColor="hyperlink"/>
                                <w:szCs w:val="24"/>
                                <w:u w:val="single"/>
                                <w:lang w:eastAsia="lt-LT"/>
                              </w:rPr>
                              <w:t>(ES) Nr. 1178/2011</w:t>
                            </w:r>
                          </w:hyperlink>
                          <w:r>
                            <w:rPr>
                              <w:szCs w:val="24"/>
                              <w:lang w:eastAsia="lt-LT"/>
                            </w:rPr>
                            <w:t xml:space="preserve">, Reglamente </w:t>
                          </w:r>
                          <w:hyperlink r:id="rId63" w:tgtFrame="_blank" w:history="1">
                            <w:r>
                              <w:rPr>
                                <w:color w:val="0000FF" w:themeColor="hyperlink"/>
                                <w:szCs w:val="24"/>
                                <w:u w:val="single"/>
                                <w:lang w:eastAsia="lt-LT"/>
                              </w:rPr>
                              <w:t>(ES) Nr. 1321/2014</w:t>
                            </w:r>
                          </w:hyperlink>
                          <w:r>
                            <w:rPr>
                              <w:szCs w:val="24"/>
                              <w:lang w:eastAsia="lt-LT"/>
                            </w:rPr>
                            <w:t xml:space="preserve">, Reglamente </w:t>
                          </w:r>
                          <w:hyperlink r:id="rId64" w:tgtFrame="_blank" w:history="1">
                            <w:r>
                              <w:rPr>
                                <w:color w:val="0000FF" w:themeColor="hyperlink"/>
                                <w:szCs w:val="24"/>
                                <w:u w:val="single"/>
                                <w:lang w:eastAsia="lt-LT"/>
                              </w:rPr>
                              <w:t>(ES) 2015/340</w:t>
                            </w:r>
                          </w:hyperlink>
                          <w:r>
                            <w:rPr>
                              <w:szCs w:val="24"/>
                              <w:lang w:eastAsia="lt-LT"/>
                            </w:rPr>
                            <w:t xml:space="preserve"> ir Reglamente </w:t>
                          </w:r>
                          <w:hyperlink r:id="rId65"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6"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7"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8"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9"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2"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7e8e87f2901644e9af2b96aed627113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pPr>
                              <w:sdt>
                                <w:sdtPr>
                                  <w:alias w:val="Numeris"/>
                                  <w:tag w:val="nr_7e8e87f2901644e9af2b96aed627113d"/>
                                  <w:lock w:val="sdtLocked"/>
                                  <w:richText/>
                                </w:sdtPr>
                                <w:sdtContent>
                                  <w:r>
                                    <w:rPr>
                                      <w:szCs w:val="24"/>
                                      <w:lang w:eastAsia="zh-CN"/>
                                    </w:rPr>
                                    <w:t>82</w:t>
                                  </w:r>
                                </w:sdtContent>
                              </w:sdt>
                              <w:r>
                                <w:rPr>
                                  <w:szCs w:val="24"/>
                                  <w:lang w:eastAsia="zh-CN"/>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zh-CN"/>
                                </w:rPr>
                                <w:t>1</w:t>
                              </w:r>
                              <w:r>
                                <w:rPr>
                                  <w:szCs w:val="24"/>
                                  <w:lang w:eastAsia="zh-CN"/>
                                </w:rPr>
                                <w:t> dalyse, 418, 419, 419</w:t>
                              </w:r>
                              <w:r>
                                <w:rPr>
                                  <w:szCs w:val="24"/>
                                  <w:vertAlign w:val="superscript"/>
                                  <w:lang w:eastAsia="zh-CN"/>
                                </w:rPr>
                                <w:t>1</w:t>
                              </w:r>
                              <w:r>
                                <w:rPr>
                                  <w:szCs w:val="24"/>
                                  <w:lang w:eastAsia="zh-CN"/>
                                </w:rPr>
                                <w:t> straipsniuose, 426 straipsnio 4 dalyje, 431 straipsnyje, 434 straipsnio 2 dalyje, 439, 445, 446, 447 straipsniuose, 448 straipsnio 1, 2, 3, 4, 5, 6, 7, 8 dalyse, 449, 449</w:t>
                              </w:r>
                              <w:r>
                                <w:rPr>
                                  <w:szCs w:val="24"/>
                                  <w:vertAlign w:val="superscript"/>
                                  <w:lang w:eastAsia="zh-CN"/>
                                </w:rPr>
                                <w:t>1</w:t>
                              </w:r>
                              <w:r>
                                <w:rPr>
                                  <w:szCs w:val="24"/>
                                  <w:lang w:eastAsia="zh-CN"/>
                                </w:rPr>
                                <w:t>, 457, 459, 484, 484</w:t>
                              </w:r>
                              <w:r>
                                <w:rPr>
                                  <w:szCs w:val="24"/>
                                  <w:vertAlign w:val="superscript"/>
                                  <w:lang w:eastAsia="zh-CN"/>
                                </w:rPr>
                                <w:t>1</w:t>
                              </w:r>
                              <w:r>
                                <w:rPr>
                                  <w:szCs w:val="24"/>
                                  <w:lang w:eastAsia="zh-CN"/>
                                </w:rPr>
                                <w:t>, 485, 488, 491, 492, 497, 498, 499, 500, 501, 502, 503, 505, 505</w:t>
                              </w:r>
                              <w:r>
                                <w:rPr>
                                  <w:szCs w:val="24"/>
                                  <w:vertAlign w:val="superscript"/>
                                  <w:lang w:eastAsia="zh-CN"/>
                                </w:rPr>
                                <w:t>1</w:t>
                              </w:r>
                              <w:r>
                                <w:rPr>
                                  <w:szCs w:val="24"/>
                                  <w:lang w:eastAsia="zh-CN"/>
                                </w:rPr>
                                <w:t>, 507, 507</w:t>
                              </w:r>
                              <w:r>
                                <w:rPr>
                                  <w:szCs w:val="24"/>
                                  <w:vertAlign w:val="superscript"/>
                                  <w:lang w:eastAsia="zh-CN"/>
                                </w:rPr>
                                <w:t>1</w:t>
                              </w:r>
                              <w:r>
                                <w:rPr>
                                  <w:szCs w:val="24"/>
                                  <w:lang w:eastAsia="zh-CN"/>
                                </w:rPr>
                                <w:t>, 516, 517</w:t>
                              </w:r>
                              <w:r>
                                <w:rPr>
                                  <w:szCs w:val="24"/>
                                  <w:vertAlign w:val="superscript"/>
                                  <w:lang w:eastAsia="zh-CN"/>
                                </w:rPr>
                                <w:t>1</w:t>
                              </w:r>
                              <w:r>
                                <w:rPr>
                                  <w:szCs w:val="24"/>
                                  <w:lang w:eastAsia="zh-CN"/>
                                </w:rPr>
                                <w:t>, 517</w:t>
                              </w:r>
                              <w:r>
                                <w:rPr>
                                  <w:szCs w:val="24"/>
                                  <w:vertAlign w:val="superscript"/>
                                  <w:lang w:eastAsia="zh-CN"/>
                                </w:rPr>
                                <w:t>2</w:t>
                              </w:r>
                              <w:r>
                                <w:rPr>
                                  <w:szCs w:val="24"/>
                                  <w:lang w:eastAsia="zh-CN"/>
                                </w:rPr>
                                <w:t>, 517</w:t>
                              </w:r>
                              <w:r>
                                <w:rPr>
                                  <w:szCs w:val="24"/>
                                  <w:vertAlign w:val="superscript"/>
                                  <w:lang w:eastAsia="zh-CN"/>
                                </w:rPr>
                                <w:t>3</w:t>
                              </w:r>
                              <w:r>
                                <w:rPr>
                                  <w:szCs w:val="24"/>
                                  <w:lang w:eastAsia="zh-CN"/>
                                </w:rPr>
                                <w:t>, 517</w:t>
                              </w:r>
                              <w:r>
                                <w:rPr>
                                  <w:szCs w:val="24"/>
                                  <w:vertAlign w:val="superscript"/>
                                  <w:lang w:eastAsia="zh-CN"/>
                                </w:rPr>
                                <w:t>4</w:t>
                              </w:r>
                              <w:r>
                                <w:rPr>
                                  <w:szCs w:val="24"/>
                                  <w:lang w:eastAsia="zh-CN"/>
                                </w:rPr>
                                <w:t>, 518, 519, 526, 526</w:t>
                              </w:r>
                              <w:r>
                                <w:rPr>
                                  <w:szCs w:val="24"/>
                                  <w:vertAlign w:val="superscript"/>
                                  <w:lang w:eastAsia="zh-CN"/>
                                </w:rPr>
                                <w:t>1</w:t>
                              </w:r>
                              <w:r>
                                <w:rPr>
                                  <w:szCs w:val="24"/>
                                  <w:lang w:eastAsia="zh-CN"/>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9"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7"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8" w:tgtFrame="_blank" w:history="1">
                <w:r>
                  <w:rPr>
                    <w:color w:val="0000FF" w:themeColor="hyperlink"/>
                    <w:kern w:val="2"/>
                    <w:szCs w:val="24"/>
                    <w:u w:val="single"/>
                  </w:rPr>
                  <w:t>(EEB) Nr. 2847/93</w:t>
                </w:r>
              </w:hyperlink>
              <w:r>
                <w:rPr>
                  <w:kern w:val="2"/>
                  <w:szCs w:val="24"/>
                </w:rPr>
                <w:t xml:space="preserve">, </w:t>
              </w:r>
              <w:hyperlink r:id="rId29" w:tgtFrame="_blank" w:history="1">
                <w:r>
                  <w:rPr>
                    <w:color w:val="0000FF" w:themeColor="hyperlink"/>
                    <w:kern w:val="2"/>
                    <w:szCs w:val="24"/>
                    <w:u w:val="single"/>
                  </w:rPr>
                  <w:t>(EB) Nr. 1936/2001</w:t>
                </w:r>
              </w:hyperlink>
              <w:r>
                <w:rPr>
                  <w:kern w:val="2"/>
                  <w:szCs w:val="24"/>
                </w:rPr>
                <w:t xml:space="preserve"> ir </w:t>
              </w:r>
              <w:hyperlink r:id="rId30" w:tgtFrame="_blank" w:history="1">
                <w:r>
                  <w:rPr>
                    <w:color w:val="0000FF" w:themeColor="hyperlink"/>
                    <w:kern w:val="2"/>
                    <w:szCs w:val="24"/>
                    <w:u w:val="single"/>
                  </w:rPr>
                  <w:t>(EB) Nr. 601/2004</w:t>
                </w:r>
              </w:hyperlink>
              <w:r>
                <w:rPr>
                  <w:kern w:val="2"/>
                  <w:szCs w:val="24"/>
                </w:rPr>
                <w:t xml:space="preserve"> bei panaikinantis reglamentus </w:t>
              </w:r>
              <w:hyperlink r:id="rId31" w:tgtFrame="_blank" w:history="1">
                <w:r>
                  <w:rPr>
                    <w:color w:val="0000FF" w:themeColor="hyperlink"/>
                    <w:kern w:val="2"/>
                    <w:szCs w:val="24"/>
                    <w:u w:val="single"/>
                  </w:rPr>
                  <w:t>(EB) Nr. 1093/94</w:t>
                </w:r>
              </w:hyperlink>
              <w:r>
                <w:rPr>
                  <w:kern w:val="2"/>
                  <w:szCs w:val="24"/>
                </w:rPr>
                <w:t xml:space="preserve"> ir </w:t>
              </w:r>
              <w:hyperlink r:id="rId32"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3"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4" w:tgtFrame="_blank" w:history="1">
                <w:r>
                  <w:rPr>
                    <w:color w:val="0000FF" w:themeColor="hyperlink"/>
                    <w:kern w:val="2"/>
                    <w:szCs w:val="24"/>
                    <w:u w:val="single"/>
                  </w:rPr>
                  <w:t>(EB) Nr. 847/96</w:t>
                </w:r>
              </w:hyperlink>
              <w:r>
                <w:rPr>
                  <w:kern w:val="2"/>
                  <w:szCs w:val="24"/>
                </w:rPr>
                <w:t xml:space="preserve">, </w:t>
              </w:r>
              <w:hyperlink r:id="rId35" w:tgtFrame="_blank" w:history="1">
                <w:r>
                  <w:rPr>
                    <w:color w:val="0000FF" w:themeColor="hyperlink"/>
                    <w:kern w:val="2"/>
                    <w:szCs w:val="24"/>
                    <w:u w:val="single"/>
                  </w:rPr>
                  <w:t>(EB) Nr. 2371/2002</w:t>
                </w:r>
              </w:hyperlink>
              <w:r>
                <w:rPr>
                  <w:kern w:val="2"/>
                  <w:szCs w:val="24"/>
                </w:rPr>
                <w:t xml:space="preserve">, </w:t>
              </w:r>
              <w:hyperlink r:id="rId36" w:tgtFrame="_blank" w:history="1">
                <w:r>
                  <w:rPr>
                    <w:color w:val="0000FF" w:themeColor="hyperlink"/>
                    <w:kern w:val="2"/>
                    <w:szCs w:val="24"/>
                    <w:u w:val="single"/>
                  </w:rPr>
                  <w:t>(EB) Nr. 811/2004</w:t>
                </w:r>
              </w:hyperlink>
              <w:r>
                <w:rPr>
                  <w:kern w:val="2"/>
                  <w:szCs w:val="24"/>
                </w:rPr>
                <w:t xml:space="preserve">, </w:t>
              </w:r>
              <w:hyperlink r:id="rId37" w:tgtFrame="_blank" w:history="1">
                <w:r>
                  <w:rPr>
                    <w:color w:val="0000FF" w:themeColor="hyperlink"/>
                    <w:kern w:val="2"/>
                    <w:szCs w:val="24"/>
                    <w:u w:val="single"/>
                  </w:rPr>
                  <w:t>(EB) Nr. 768/2005</w:t>
                </w:r>
              </w:hyperlink>
              <w:r>
                <w:rPr>
                  <w:kern w:val="2"/>
                  <w:szCs w:val="24"/>
                </w:rPr>
                <w:t xml:space="preserve">, </w:t>
              </w:r>
              <w:hyperlink r:id="rId38" w:tgtFrame="_blank" w:history="1">
                <w:r>
                  <w:rPr>
                    <w:color w:val="0000FF" w:themeColor="hyperlink"/>
                    <w:kern w:val="2"/>
                    <w:szCs w:val="24"/>
                    <w:u w:val="single"/>
                  </w:rPr>
                  <w:t>(EB) Nr. 2115/2005</w:t>
                </w:r>
              </w:hyperlink>
              <w:r>
                <w:rPr>
                  <w:kern w:val="2"/>
                  <w:szCs w:val="24"/>
                </w:rPr>
                <w:t xml:space="preserve">, </w:t>
              </w:r>
              <w:hyperlink r:id="rId39" w:tgtFrame="_blank" w:history="1">
                <w:r>
                  <w:rPr>
                    <w:color w:val="0000FF" w:themeColor="hyperlink"/>
                    <w:kern w:val="2"/>
                    <w:szCs w:val="24"/>
                    <w:u w:val="single"/>
                  </w:rPr>
                  <w:t>(EB) Nr. 2166/2005</w:t>
                </w:r>
              </w:hyperlink>
              <w:r>
                <w:rPr>
                  <w:kern w:val="2"/>
                  <w:szCs w:val="24"/>
                </w:rPr>
                <w:t xml:space="preserve">, </w:t>
              </w:r>
              <w:hyperlink r:id="rId40" w:tgtFrame="_blank" w:history="1">
                <w:r>
                  <w:rPr>
                    <w:color w:val="0000FF" w:themeColor="hyperlink"/>
                    <w:kern w:val="2"/>
                    <w:szCs w:val="24"/>
                    <w:u w:val="single"/>
                  </w:rPr>
                  <w:t>(EB) Nr. 388/2006</w:t>
                </w:r>
              </w:hyperlink>
              <w:r>
                <w:rPr>
                  <w:kern w:val="2"/>
                  <w:szCs w:val="24"/>
                </w:rPr>
                <w:t xml:space="preserve">, </w:t>
              </w:r>
              <w:hyperlink r:id="rId41" w:tgtFrame="_blank" w:history="1">
                <w:r>
                  <w:rPr>
                    <w:color w:val="0000FF" w:themeColor="hyperlink"/>
                    <w:kern w:val="2"/>
                    <w:szCs w:val="24"/>
                    <w:u w:val="single"/>
                  </w:rPr>
                  <w:t>(EB) Nr. 509/2007</w:t>
                </w:r>
              </w:hyperlink>
              <w:r>
                <w:rPr>
                  <w:kern w:val="2"/>
                  <w:szCs w:val="24"/>
                </w:rPr>
                <w:t xml:space="preserve">, </w:t>
              </w:r>
              <w:hyperlink r:id="rId42" w:tgtFrame="_blank" w:history="1">
                <w:r>
                  <w:rPr>
                    <w:color w:val="0000FF" w:themeColor="hyperlink"/>
                    <w:kern w:val="2"/>
                    <w:szCs w:val="24"/>
                    <w:u w:val="single"/>
                  </w:rPr>
                  <w:t>(EB) Nr. 676/2007</w:t>
                </w:r>
              </w:hyperlink>
              <w:r>
                <w:rPr>
                  <w:kern w:val="2"/>
                  <w:szCs w:val="24"/>
                </w:rPr>
                <w:t xml:space="preserve">, </w:t>
              </w:r>
              <w:hyperlink r:id="rId43" w:tgtFrame="_blank" w:history="1">
                <w:r>
                  <w:rPr>
                    <w:color w:val="0000FF" w:themeColor="hyperlink"/>
                    <w:kern w:val="2"/>
                    <w:szCs w:val="24"/>
                    <w:u w:val="single"/>
                  </w:rPr>
                  <w:t>(EB) Nr. 1098/2007</w:t>
                </w:r>
              </w:hyperlink>
              <w:r>
                <w:rPr>
                  <w:kern w:val="2"/>
                  <w:szCs w:val="24"/>
                </w:rPr>
                <w:t xml:space="preserve">, </w:t>
              </w:r>
              <w:hyperlink r:id="rId44" w:tgtFrame="_blank" w:history="1">
                <w:r>
                  <w:rPr>
                    <w:color w:val="0000FF" w:themeColor="hyperlink"/>
                    <w:kern w:val="2"/>
                    <w:szCs w:val="24"/>
                    <w:u w:val="single"/>
                  </w:rPr>
                  <w:t>(EB) Nr. 1300/2008</w:t>
                </w:r>
              </w:hyperlink>
              <w:r>
                <w:rPr>
                  <w:kern w:val="2"/>
                  <w:szCs w:val="24"/>
                </w:rPr>
                <w:t xml:space="preserve">, </w:t>
              </w:r>
              <w:hyperlink r:id="rId45" w:tgtFrame="_blank" w:history="1">
                <w:r>
                  <w:rPr>
                    <w:color w:val="0000FF" w:themeColor="hyperlink"/>
                    <w:kern w:val="2"/>
                    <w:szCs w:val="24"/>
                    <w:u w:val="single"/>
                  </w:rPr>
                  <w:t>(EB) Nr. 1342/2008</w:t>
                </w:r>
              </w:hyperlink>
              <w:r>
                <w:rPr>
                  <w:kern w:val="2"/>
                  <w:szCs w:val="24"/>
                </w:rPr>
                <w:t xml:space="preserve"> ir panaikinantis reglamentus </w:t>
              </w:r>
              <w:hyperlink r:id="rId46" w:tgtFrame="_blank" w:history="1">
                <w:r>
                  <w:rPr>
                    <w:color w:val="0000FF" w:themeColor="hyperlink"/>
                    <w:kern w:val="2"/>
                    <w:szCs w:val="24"/>
                    <w:u w:val="single"/>
                  </w:rPr>
                  <w:t>(EEB) Nr. 2847/93</w:t>
                </w:r>
              </w:hyperlink>
              <w:r>
                <w:rPr>
                  <w:kern w:val="2"/>
                  <w:szCs w:val="24"/>
                </w:rPr>
                <w:t xml:space="preserve">, </w:t>
              </w:r>
              <w:hyperlink r:id="rId47" w:tgtFrame="_blank" w:history="1">
                <w:r>
                  <w:rPr>
                    <w:color w:val="0000FF" w:themeColor="hyperlink"/>
                    <w:kern w:val="2"/>
                    <w:szCs w:val="24"/>
                    <w:u w:val="single"/>
                  </w:rPr>
                  <w:t>(EB) Nr. 1627/94</w:t>
                </w:r>
              </w:hyperlink>
              <w:r>
                <w:rPr>
                  <w:kern w:val="2"/>
                  <w:szCs w:val="24"/>
                </w:rPr>
                <w:t xml:space="preserve"> ir </w:t>
              </w:r>
              <w:hyperlink r:id="rId48"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2"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3" w:tgtFrame="_blank" w:history="1">
                <w:r>
                  <w:rPr>
                    <w:color w:val="0000FF" w:themeColor="hyperlink"/>
                    <w:szCs w:val="24"/>
                    <w:u w:val="single"/>
                  </w:rPr>
                  <w:t>77/799/EEB</w:t>
                </w:r>
              </w:hyperlink>
              <w:r>
                <w:rPr>
                  <w:szCs w:val="24"/>
                </w:rPr>
                <w:t xml:space="preserve"> su paskutiniais pakeitimais, padarytais 2023 m. spalio 17 d. Tarybos direktyva </w:t>
              </w:r>
              <w:hyperlink r:id="rId54"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9" w:tgtFrame="_blank" w:history="1">
                <w:r>
                  <w:rPr>
                    <w:color w:val="0000FF" w:themeColor="hyperlink"/>
                    <w:szCs w:val="24"/>
                    <w:u w:val="single"/>
                  </w:rPr>
                  <w:t>(ES) 2017/852</w:t>
                </w:r>
              </w:hyperlink>
              <w:r>
                <w:rPr>
                  <w:color w:val="000000"/>
                  <w:szCs w:val="24"/>
                </w:rPr>
                <w:t xml:space="preserve"> dėl gyvsidabrio, kuriuo panaikinamas Reglamentas </w:t>
              </w:r>
              <w:hyperlink r:id="rId50"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1"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4"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9"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30"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p."/>
            <w:tag w:val="part_408eaf7139f64033824109eab0826676"/>
            <w:lock w:val="sdtLocked"/>
            <w:richText/>
          </w:sdtPr>
          <w:sdtContent>
            <w:p>
              <w:pPr>
                <w:spacing w:line="360" w:lineRule="auto"/>
                <w:ind w:firstLine="720"/>
                <w:jc w:val="both"/>
              </w:pPr>
              <w:sdt>
                <w:sdtPr>
                  <w:alias w:val="Numeris"/>
                  <w:tag w:val="nr_408eaf7139f64033824109eab0826676"/>
                  <w:lock w:val="sdtLocked"/>
                  <w:richText/>
                </w:sdtPr>
                <w:sdtContent>
                  <w:r>
                    <w:rPr>
                      <w:bCs/>
                      <w:szCs w:val="24"/>
                    </w:rPr>
                    <w:t>118</w:t>
                  </w:r>
                  <w:r>
                    <w:rPr>
                      <w:bCs/>
                      <w:szCs w:val="24"/>
                      <w:vertAlign w:val="superscript"/>
                    </w:rPr>
                    <w:t>2</w:t>
                  </w:r>
                </w:sdtContent>
              </w:sdt>
              <w:r>
                <w:rPr>
                  <w:bCs/>
                  <w:szCs w:val="24"/>
                </w:rPr>
                <w:t xml:space="preserve">. </w:t>
              </w:r>
              <w:r>
                <w:rPr>
                  <w:bCs/>
                  <w:szCs w:val="24"/>
                  <w:lang w:eastAsia="lt-LT"/>
                </w:rPr>
                <w:t xml:space="preserve">2023 m. gegužės 10 d. Europos Parlamento ir Tarybos direktyva </w:t>
              </w:r>
              <w:hyperlink r:id="rId165" w:tgtFrame="_blank" w:history="1">
                <w:r>
                  <w:rPr>
                    <w:bCs/>
                    <w:color w:val="0000FF" w:themeColor="hyperlink"/>
                    <w:szCs w:val="24"/>
                    <w:u w:val="single"/>
                    <w:lang w:eastAsia="lt-LT"/>
                  </w:rPr>
                  <w:t>(ES) 2023/970</w:t>
                </w:r>
              </w:hyperlink>
              <w:r>
                <w:rPr>
                  <w:bCs/>
                  <w:szCs w:val="24"/>
                  <w:lang w:eastAsia="lt-LT"/>
                </w:rPr>
                <w:t>, kuria, nustatant darbo užmokesčio skaidrumo ir vykdymo užtikrinimo mechanizmus, griežčiau taikomas vienodo vyrų ir moterų darbo užmokesčio už vienodą arba vienodos vertės darbą principas.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3 d."/>
            <w:tag w:val="part_cd7fc789feb74333a32e9b1e9913f167"/>
            <w:lock w:val="sdtLocked"/>
            <w:richText/>
          </w:sdtPr>
          <w:sdtContent>
            <w:p>
              <w:pPr>
                <w:spacing w:line="360" w:lineRule="auto"/>
                <w:ind w:firstLine="720"/>
                <w:jc w:val="both"/>
              </w:pPr>
              <w:sdt>
                <w:sdtPr>
                  <w:alias w:val="Numeris"/>
                  <w:tag w:val="nr_cd7fc789feb74333a32e9b1e9913f167"/>
                  <w:lock w:val="sdtLocked"/>
                  <w:richText/>
                </w:sdtPr>
                <w:sdtContent>
                  <w:r>
                    <w:rPr>
                      <w:bCs/>
                      <w:szCs w:val="24"/>
                    </w:rPr>
                    <w:t>118</w:t>
                  </w:r>
                  <w:r>
                    <w:rPr>
                      <w:bCs/>
                      <w:szCs w:val="24"/>
                      <w:vertAlign w:val="superscript"/>
                    </w:rPr>
                    <w:t>3</w:t>
                  </w:r>
                </w:sdtContent>
              </w:sdt>
              <w:r>
                <w:rPr>
                  <w:bCs/>
                  <w:szCs w:val="24"/>
                </w:rPr>
                <w:t>.</w:t>
              </w:r>
              <w:r>
                <w:rPr>
                  <w:szCs w:val="24"/>
                </w:rPr>
                <w:t xml:space="preserve"> </w:t>
              </w:r>
              <w:r>
                <w:rPr>
                  <w:bCs/>
                  <w:szCs w:val="24"/>
                </w:rPr>
                <w:t xml:space="preserve">2023 m. liepos 12 d. Europos Parlamento ir Tarybos reglamentas </w:t>
              </w:r>
              <w:hyperlink r:id="rId105"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6" w:tgtFrame="_blank" w:history="1">
                <w:r>
                  <w:rPr>
                    <w:bCs/>
                    <w:color w:val="0000FF" w:themeColor="hyperlink"/>
                    <w:szCs w:val="24"/>
                    <w:u w:val="single"/>
                  </w:rPr>
                  <w:t>2008/98/EB</w:t>
                </w:r>
              </w:hyperlink>
              <w:r>
                <w:rPr>
                  <w:bCs/>
                  <w:szCs w:val="24"/>
                </w:rPr>
                <w:t xml:space="preserve"> bei Reglamentas </w:t>
              </w:r>
              <w:hyperlink r:id="rId107" w:tgtFrame="_blank" w:history="1">
                <w:r>
                  <w:rPr>
                    <w:bCs/>
                    <w:color w:val="0000FF" w:themeColor="hyperlink"/>
                    <w:szCs w:val="24"/>
                    <w:u w:val="single"/>
                  </w:rPr>
                  <w:t>(ES) 2019/1020</w:t>
                </w:r>
              </w:hyperlink>
              <w:r>
                <w:rPr>
                  <w:bCs/>
                  <w:szCs w:val="24"/>
                </w:rPr>
                <w:t xml:space="preserve"> ir panaikinama Direktyva </w:t>
              </w:r>
              <w:hyperlink r:id="rId108"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4 d."/>
            <w:tag w:val="part_69b122ec22d644298b35091925038776"/>
            <w:lock w:val="sdtLocked"/>
            <w:richText/>
          </w:sdtPr>
          <w:sdtContent>
            <w:p>
              <w:pPr>
                <w:spacing w:line="360" w:lineRule="auto"/>
                <w:ind w:firstLine="720"/>
                <w:jc w:val="both"/>
                <w:textAlignment w:val="baseline"/>
              </w:pPr>
              <w:sdt>
                <w:sdtPr>
                  <w:alias w:val="Numeris"/>
                  <w:tag w:val="nr_69b122ec22d644298b35091925038776"/>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gegužės 31 d. Europos Parlamento ir Tarybos reglamentas </w:t>
              </w:r>
              <w:hyperlink r:id="rId131"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2"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3"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5 d."/>
            <w:tag w:val="part_a7bf426e31b94dce85005f1339423be2"/>
            <w:lock w:val="sdtLocked"/>
            <w:richText/>
          </w:sdtPr>
          <w:sdtContent>
            <w:p>
              <w:pPr>
                <w:spacing w:line="360" w:lineRule="auto"/>
                <w:ind w:firstLine="720"/>
                <w:jc w:val="both"/>
                <w:textAlignment w:val="baseline"/>
              </w:pPr>
              <w:sdt>
                <w:sdtPr>
                  <w:alias w:val="Numeris"/>
                  <w:tag w:val="nr_a7bf426e31b94dce85005f1339423be2"/>
                  <w:lock w:val="sdtLocked"/>
                  <w:richText/>
                </w:sdtPr>
                <w:sdtContent>
                  <w:r>
                    <w:rPr>
                      <w:bCs/>
                      <w:color w:val="000000"/>
                      <w:szCs w:val="24"/>
                    </w:rPr>
                    <w:t>118</w:t>
                  </w:r>
                  <w:r>
                    <w:rPr>
                      <w:bCs/>
                      <w:color w:val="000000"/>
                      <w:szCs w:val="24"/>
                      <w:vertAlign w:val="superscript"/>
                    </w:rPr>
                    <w:t>5</w:t>
                  </w:r>
                </w:sdtContent>
              </w:sdt>
              <w:r>
                <w:rPr>
                  <w:bCs/>
                  <w:color w:val="000000"/>
                  <w:szCs w:val="24"/>
                </w:rPr>
                <w:t xml:space="preserve">. 2023 m. rugpjūčio 17 d. Komisijos įgyvendinimo reglamentas </w:t>
              </w:r>
              <w:hyperlink r:id="rId134"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5"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6"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0"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1" w:tgtFrame="_blank" w:history="1">
                <w:r>
                  <w:rPr>
                    <w:bCs/>
                    <w:color w:val="0000FF" w:themeColor="hyperlink"/>
                    <w:szCs w:val="24"/>
                    <w:u w:val="single"/>
                  </w:rPr>
                  <w:t>(ES) 2019/1937</w:t>
                </w:r>
              </w:hyperlink>
              <w:r>
                <w:rPr>
                  <w:bCs/>
                  <w:szCs w:val="24"/>
                </w:rPr>
                <w:t xml:space="preserve"> ir panaikinamas Reglamentas </w:t>
              </w:r>
              <w:hyperlink r:id="rId82"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7"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8"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61"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62" w:tgtFrame="_blank" w:history="1">
                <w:r>
                  <w:rPr>
                    <w:bCs/>
                    <w:color w:val="0000FF" w:themeColor="hyperlink"/>
                    <w:szCs w:val="24"/>
                    <w:u w:val="single"/>
                  </w:rPr>
                  <w:t>(ES) Nr. 1257/2013</w:t>
                </w:r>
              </w:hyperlink>
              <w:r>
                <w:rPr>
                  <w:bCs/>
                  <w:color w:val="000000"/>
                  <w:szCs w:val="24"/>
                </w:rPr>
                <w:t xml:space="preserve"> ir </w:t>
              </w:r>
              <w:hyperlink r:id="rId163" w:tgtFrame="_blank" w:history="1">
                <w:r>
                  <w:rPr>
                    <w:bCs/>
                    <w:color w:val="0000FF" w:themeColor="hyperlink"/>
                    <w:szCs w:val="24"/>
                    <w:u w:val="single"/>
                  </w:rPr>
                  <w:t>(ES) 2020/1056</w:t>
                </w:r>
              </w:hyperlink>
              <w:r>
                <w:rPr>
                  <w:bCs/>
                  <w:color w:val="000000"/>
                  <w:szCs w:val="24"/>
                </w:rPr>
                <w:t xml:space="preserve"> ir panaikinamas Reglamentas </w:t>
              </w:r>
              <w:hyperlink r:id="rId164"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39" w:tgtFrame="_blank" w:history="1">
                <w:r>
                  <w:rPr>
                    <w:bCs/>
                    <w:color w:val="0000FF" w:themeColor="hyperlink"/>
                    <w:szCs w:val="24"/>
                    <w:u w:val="single"/>
                  </w:rPr>
                  <w:t>(ES) Nr. 2024/3234</w:t>
                </w:r>
              </w:hyperlink>
              <w:r>
                <w:rPr>
                  <w:bCs/>
                  <w:color w:val="000000"/>
                  <w:szCs w:val="24"/>
                </w:rPr>
                <w:t xml:space="preserve">,  kuriuo iš dalies keičiamas Reglamentas </w:t>
              </w:r>
              <w:hyperlink r:id="rId140"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3"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4"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5"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6"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7" w:tgtFrame="_blank" w:history="1">
                <w:r>
                  <w:rPr>
                    <w:bCs/>
                    <w:color w:val="0000FF" w:themeColor="hyperlink"/>
                    <w:szCs w:val="24"/>
                    <w:u w:val="single"/>
                    <w:lang w:eastAsia="lt-LT"/>
                  </w:rPr>
                  <w:t>(EB) Nr. 1967/2006</w:t>
                </w:r>
              </w:hyperlink>
              <w:r>
                <w:rPr>
                  <w:bCs/>
                  <w:szCs w:val="24"/>
                  <w:lang w:eastAsia="lt-LT"/>
                </w:rPr>
                <w:t xml:space="preserve"> bei </w:t>
              </w:r>
              <w:hyperlink r:id="rId98"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9" w:tgtFrame="_blank" w:history="1">
                <w:r>
                  <w:rPr>
                    <w:bCs/>
                    <w:color w:val="0000FF" w:themeColor="hyperlink"/>
                    <w:szCs w:val="24"/>
                    <w:u w:val="single"/>
                    <w:lang w:eastAsia="lt-LT"/>
                  </w:rPr>
                  <w:t>(ES) 2016/1139</w:t>
                </w:r>
              </w:hyperlink>
              <w:r>
                <w:rPr>
                  <w:bCs/>
                  <w:szCs w:val="24"/>
                  <w:lang w:eastAsia="lt-LT"/>
                </w:rPr>
                <w:t xml:space="preserve">, </w:t>
              </w:r>
              <w:hyperlink r:id="rId100" w:tgtFrame="_blank" w:history="1">
                <w:r>
                  <w:rPr>
                    <w:bCs/>
                    <w:color w:val="0000FF" w:themeColor="hyperlink"/>
                    <w:szCs w:val="24"/>
                    <w:u w:val="single"/>
                    <w:lang w:eastAsia="lt-LT"/>
                  </w:rPr>
                  <w:t>(ES) 2017/2403</w:t>
                </w:r>
              </w:hyperlink>
              <w:r>
                <w:rPr>
                  <w:bCs/>
                  <w:szCs w:val="24"/>
                  <w:lang w:eastAsia="lt-LT"/>
                </w:rPr>
                <w:t xml:space="preserve"> bei </w:t>
              </w:r>
              <w:hyperlink r:id="rId101"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61be322c3d11f1a552c76556910e9c">
            <w:r w:rsidRPr="00532B9F">
              <w:rPr>
                <w:rFonts w:ascii="Times New Roman" w:eastAsia="MS Mincho" w:hAnsi="Times New Roman"/>
                <w:sz w:val="20"/>
                <w:iCs/>
                <w:color w:val="0000FF" w:themeColor="hyperlink"/>
                <w:u w:val="single"/>
              </w:rPr>
              <w:t>XV-782</w:t>
            </w:r>
          </w:fldSimple>
          <w:r>
            <w:rPr>
              <w:rFonts w:ascii="Times New Roman" w:eastAsia="MS Mincho" w:hAnsi="Times New Roman"/>
              <w:sz w:val="20"/>
              <w:iCs/>
            </w:rPr>
            <w:t>,
2026-03-26,
paskelbta TAR 2026-03-30, i. k. 2026-05185                </w:t>
          </w:r>
        </w:p>
        <w:p>
          <w:pPr>
            <w:jc w:val="both"/>
            <w:rPr>
              <w:rFonts w:ascii="Times New Roman" w:hAnsi="Times New Roman"/>
            </w:rPr>
          </w:pPr>
          <w:r>
            <w:rPr>
              <w:rFonts w:ascii="Times New Roman" w:hAnsi="Times New Roman"/>
              <w:sz w:val="20"/>
            </w:rPr>
            <w:t>Lietuvos Respublikos administracinių nusižengimų kodekso 283, 589 straipsnių pakeitimo ir 112, 113-1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ab7b803d5c11f180c9c618618421ed">
            <w:r w:rsidRPr="00532B9F">
              <w:rPr>
                <w:rFonts w:ascii="Times New Roman" w:eastAsia="MS Mincho" w:hAnsi="Times New Roman"/>
                <w:sz w:val="20"/>
                <w:iCs/>
                <w:color w:val="0000FF" w:themeColor="hyperlink"/>
                <w:u w:val="single"/>
              </w:rPr>
              <w:t>XV-816</w:t>
            </w:r>
          </w:fldSimple>
          <w:r>
            <w:rPr>
              <w:rFonts w:ascii="Times New Roman" w:eastAsia="MS Mincho" w:hAnsi="Times New Roman"/>
              <w:sz w:val="20"/>
              <w:iCs/>
            </w:rPr>
            <w:t>,
2026-04-16,
paskelbta TAR 2026-04-21, i. k. 2026-06394                </w:t>
          </w:r>
        </w:p>
        <w:p>
          <w:pPr>
            <w:jc w:val="both"/>
            <w:rPr>
              <w:rFonts w:ascii="Times New Roman" w:hAnsi="Times New Roman"/>
            </w:rPr>
          </w:pPr>
          <w:r>
            <w:rPr>
              <w:rFonts w:ascii="Times New Roman" w:hAnsi="Times New Roman"/>
              <w:sz w:val="20"/>
            </w:rPr>
            <w:t>Lietuvos Respublikos administracinių nusižengimų kodekso 476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faa2584311f180c9c618618421ed">
            <w:r w:rsidRPr="00532B9F">
              <w:rPr>
                <w:rFonts w:ascii="Times New Roman" w:eastAsia="MS Mincho" w:hAnsi="Times New Roman"/>
                <w:sz w:val="20"/>
                <w:iCs/>
                <w:color w:val="0000FF" w:themeColor="hyperlink"/>
                <w:u w:val="single"/>
              </w:rPr>
              <w:t>XV-970</w:t>
            </w:r>
          </w:fldSimple>
          <w:r>
            <w:rPr>
              <w:rFonts w:ascii="Times New Roman" w:eastAsia="MS Mincho" w:hAnsi="Times New Roman"/>
              <w:sz w:val="20"/>
              <w:iCs/>
            </w:rPr>
            <w:t>,
2026-05-21,
paskelbta TAR 2026-05-25, i. k. 2026-08788                </w:t>
          </w:r>
        </w:p>
        <w:p>
          <w:pPr>
            <w:jc w:val="both"/>
            <w:rPr>
              <w:rFonts w:ascii="Times New Roman" w:hAnsi="Times New Roman"/>
            </w:rPr>
          </w:pPr>
          <w:r>
            <w:rPr>
              <w:rFonts w:ascii="Times New Roman" w:hAnsi="Times New Roman"/>
              <w:sz w:val="20"/>
            </w:rPr>
            <w:t>Lietuvos Respublikos administracinių nusižengimų kodekso 99,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113d80665c11f1b53dfa020e517810">
            <w:r w:rsidRPr="00532B9F">
              <w:rPr>
                <w:rFonts w:ascii="Times New Roman" w:eastAsia="MS Mincho" w:hAnsi="Times New Roman"/>
                <w:sz w:val="20"/>
                <w:iCs/>
                <w:color w:val="0000FF" w:themeColor="hyperlink"/>
                <w:u w:val="single"/>
              </w:rPr>
              <w:t>XV-988</w:t>
            </w:r>
          </w:fldSimple>
          <w:r>
            <w:rPr>
              <w:rFonts w:ascii="Times New Roman" w:eastAsia="MS Mincho" w:hAnsi="Times New Roman"/>
              <w:sz w:val="20"/>
              <w:iCs/>
            </w:rPr>
            <w:t>,
2026-06-04,
paskelbta TAR 2026-06-12, i. k. 2026-10325                </w:t>
          </w:r>
        </w:p>
        <w:p>
          <w:pPr>
            <w:jc w:val="both"/>
            <w:rPr>
              <w:rFonts w:ascii="Times New Roman" w:hAnsi="Times New Roman"/>
            </w:rPr>
          </w:pPr>
          <w:r>
            <w:rPr>
              <w:rFonts w:ascii="Times New Roman" w:hAnsi="Times New Roman"/>
              <w:sz w:val="20"/>
            </w:rPr>
            <w:t>Lietuvos Respublikos administracinių nusižengimų kodekso 120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2A46E3"/>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8.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7R2403&amp;locale=lt"/>
  <Relationship Id="rId101" Type="http://schemas.openxmlformats.org/officeDocument/2006/relationships/hyperlink" TargetMode="External" Target="http://eur-lex.europa.eu/legal-content/LIT/TXT/?uri=CELEX:32019R0473&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3R1542&amp;locale=lt"/>
  <Relationship Id="rId106" Type="http://schemas.openxmlformats.org/officeDocument/2006/relationships/hyperlink" TargetMode="External" Target="http://eur-lex.europa.eu/legal-content/LIT/TXT/?uri=CELEX:32008L0098&amp;locale=lt"/>
  <Relationship Id="rId107" Type="http://schemas.openxmlformats.org/officeDocument/2006/relationships/hyperlink" TargetMode="External" Target="http://eur-lex.europa.eu/legal-content/LIT/TXT/?uri=CELEX:32019R1020&amp;locale=lt"/>
  <Relationship Id="rId108" Type="http://schemas.openxmlformats.org/officeDocument/2006/relationships/hyperlink" TargetMode="External" Target="http://eur-lex.europa.eu/legal-content/LIT/TXT/?uri=CELEX:32006L0066&amp;locale=lt"/>
  <Relationship Id="rId109" Type="http://schemas.openxmlformats.org/officeDocument/2006/relationships/hyperlink" TargetMode="External" Target="http://eur-lex.europa.eu/legal-content/LIT/TXT/?uri=CELEX:32023R0956&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1773&amp;locale=lt"/>
  <Relationship Id="rId111" Type="http://schemas.openxmlformats.org/officeDocument/2006/relationships/hyperlink" TargetMode="External" Target="http://eur-lex.europa.eu/legal-content/LIT/TXT/?uri=CELEX:32023R0956&amp;locale=lt"/>
  <Relationship Id="rId112" Type="http://schemas.openxmlformats.org/officeDocument/2006/relationships/hyperlink" TargetMode="External" Target="http://eur-lex.europa.eu/legal-content/LIT/TXT/?uri=CELEX:32023R1773&amp;locale=lt"/>
  <Relationship Id="rId113" Type="http://schemas.openxmlformats.org/officeDocument/2006/relationships/hyperlink" TargetMode="External" Target="http://eur-lex.europa.eu/legal-content/LIT/TXT/?uri=CELEX:32023R0956&amp;locale=lt"/>
  <Relationship Id="rId114" Type="http://schemas.openxmlformats.org/officeDocument/2006/relationships/hyperlink" TargetMode="External" Target="http://eur-lex.europa.eu/legal-content/LIT/TXT/?uri=CELEX:32023R0956&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3115R2023&amp;locale=lt"/>
  <Relationship Id="rId123" Type="http://schemas.openxmlformats.org/officeDocument/2006/relationships/hyperlink" TargetMode="External" Target="http://eur-lex.europa.eu/legal-content/LIT/TXT/?uri=CELEX:32017R0852&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4R0590&amp;locale=lt"/>
  <Relationship Id="rId129" Type="http://schemas.openxmlformats.org/officeDocument/2006/relationships/hyperlink" TargetMode="External" Target="http://eur-lex.europa.eu/legal-content/LIT/TXT/?uri=CELEX:32023R0956&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2025R2083&amp;locale=lt"/>
  <Relationship Id="rId131" Type="http://schemas.openxmlformats.org/officeDocument/2006/relationships/hyperlink" TargetMode="External" Target="http://eur-lex.europa.eu/legal-content/LIT/TXT/?uri=CELEX:33115R2023&amp;locale=lt"/>
  <Relationship Id="rId132" Type="http://schemas.openxmlformats.org/officeDocument/2006/relationships/hyperlink" TargetMode="External" Target="http://eur-lex.europa.eu/legal-content/LIT/TXT/?uri=CELEX:32010R0995&amp;locale=lt"/>
  <Relationship Id="rId133" Type="http://schemas.openxmlformats.org/officeDocument/2006/relationships/hyperlink" TargetMode="External" Target="http://eur-lex.europa.eu/legal-content/LIT/TXT/?uri=CELEX:32024R3234&amp;locale=lt"/>
  <Relationship Id="rId134" Type="http://schemas.openxmlformats.org/officeDocument/2006/relationships/hyperlink" TargetMode="External" Target="http://eur-lex.europa.eu/legal-content/LIT/TXT/?uri=CELEX:32023R1773&amp;locale=lt"/>
  <Relationship Id="rId135" Type="http://schemas.openxmlformats.org/officeDocument/2006/relationships/hyperlink" TargetMode="External" Target="http://eur-lex.europa.eu/legal-content/LIT/TXT/?uri=CELEX:32023R0956&amp;locale=lt"/>
  <Relationship Id="rId136" Type="http://schemas.openxmlformats.org/officeDocument/2006/relationships/hyperlink" TargetMode="External" Target="http://eur-lex.europa.eu/legal-content/LIT/TXT/?uri=CELEX:32024R2469&amp;locale=lt"/>
  <Relationship Id="rId137" Type="http://schemas.openxmlformats.org/officeDocument/2006/relationships/hyperlink" TargetMode="External" Target="http://eur-lex.europa.eu/legal-content/LIT/TXT/?uri=CELEX:32024R0590&amp;locale=lt"/>
  <Relationship Id="rId138" Type="http://schemas.openxmlformats.org/officeDocument/2006/relationships/hyperlink" TargetMode="External" Target="http://eur-lex.europa.eu/legal-content/LIT/TXT/?uri=CELEX:32009R1005&amp;locale=lt"/>
  <Relationship Id="rId139" Type="http://schemas.openxmlformats.org/officeDocument/2006/relationships/hyperlink" TargetMode="External" Target="http://eur-lex.europa.eu/legal-content/LIT/TXT/?uri=CELEX:33234R2024&amp;locale=lt"/>
  <Relationship Id="rId14" Type="http://schemas.openxmlformats.org/officeDocument/2006/relationships/webSettings" Target="webSettings.xml"/>
  <Relationship Id="rId140" Type="http://schemas.openxmlformats.org/officeDocument/2006/relationships/hyperlink" TargetMode="External" Target="http://eur-lex.europa.eu/legal-content/LIT/TXT/?uri=CELEX:32023R1115&amp;locale=lt"/>
  <Relationship Id="rId141" Type="http://schemas.openxmlformats.org/officeDocument/2006/relationships/hyperlink" TargetMode="External" Target="http://eur-lex.europa.eu/legal-content/LIT/TXT/?uri=CELEX:33157R2024&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3157R2024&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2024R1157&amp;locale=lt"/>
  <Relationship Id="rId146" Type="http://schemas.openxmlformats.org/officeDocument/2006/relationships/hyperlink" TargetMode="External" Target="http://eur-lex.europa.eu/legal-content/LIT/TXT/?uri=CELEX:33157R2024&amp;locale=lt"/>
  <Relationship Id="rId147" Type="http://schemas.openxmlformats.org/officeDocument/2006/relationships/hyperlink" TargetMode="External" Target="http://eur-lex.europa.eu/legal-content/LIT/TXT/?uri=CELEX:32024R1157&amp;locale=lt"/>
  <Relationship Id="rId148" Type="http://schemas.openxmlformats.org/officeDocument/2006/relationships/hyperlink" TargetMode="External" Target="http://eur-lex.europa.eu/legal-content/LIT/TXT/?uri=CELEX:33157R2024&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image" Target="media/image2.png"/>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3157R2024&amp;locale=lt"/>
  <Relationship Id="rId158" Type="http://schemas.openxmlformats.org/officeDocument/2006/relationships/hyperlink" TargetMode="External" Target="http://eur-lex.europa.eu/legal-content/LIT/TXT/?uri=CELEX:33157R2024&amp;locale=lt"/>
  <Relationship Id="rId159" Type="http://schemas.openxmlformats.org/officeDocument/2006/relationships/hyperlink" TargetMode="External" Target="http://eur-lex.europa.eu/legal-content/LIT/TXT/?uri=CELEX:33157R2024&amp;locale=lt"/>
  <Relationship Id="rId16" Type="http://schemas.openxmlformats.org/officeDocument/2006/relationships/header" Target="header1162.xml"/>
  <Relationship Id="rId160" Type="http://schemas.openxmlformats.org/officeDocument/2006/relationships/hyperlink" TargetMode="External" Target="http://eur-lex.europa.eu/legal-content/LIT/TXT/?uri=CELEX:33157R2024&amp;locale=lt"/>
  <Relationship Id="rId161" Type="http://schemas.openxmlformats.org/officeDocument/2006/relationships/hyperlink" TargetMode="External" Target="http://eur-lex.europa.eu/legal-content/LIT/TXT/?uri=CELEX:32024R1157&amp;locale=lt"/>
  <Relationship Id="rId162" Type="http://schemas.openxmlformats.org/officeDocument/2006/relationships/hyperlink" TargetMode="External" Target="http://eur-lex.europa.eu/legal-content/LIT/TXT/?uri=CELEX:32013R1257&amp;locale=lt"/>
  <Relationship Id="rId163" Type="http://schemas.openxmlformats.org/officeDocument/2006/relationships/hyperlink" TargetMode="External" Target="http://eur-lex.europa.eu/legal-content/LIT/TXT/?uri=CELEX:32020R1056&amp;locale=lt"/>
  <Relationship Id="rId164" Type="http://schemas.openxmlformats.org/officeDocument/2006/relationships/hyperlink" TargetMode="External" Target="http://eur-lex.europa.eu/legal-content/LIT/TXT/?uri=CELEX:32006R1013&amp;locale=lt"/>
  <Relationship Id="rId165" Type="http://schemas.openxmlformats.org/officeDocument/2006/relationships/hyperlink" TargetMode="External" Target="http://eur-lex.europa.eu/legal-content/LIT/TXT/?uri=CELEX:32023L0970&amp;locale=lt"/>
  <Relationship Id="rId166" Type="http://schemas.openxmlformats.org/officeDocument/2006/relationships/customXml" Target="../customXml/item2.xml"/>
  <Relationship Id="rId17" Type="http://schemas.openxmlformats.org/officeDocument/2006/relationships/header" Target="header1163.xml"/>
  <Relationship Id="rId18" Type="http://schemas.openxmlformats.org/officeDocument/2006/relationships/footer" Target="footer1162.xml"/>
  <Relationship Id="rId19" Type="http://schemas.openxmlformats.org/officeDocument/2006/relationships/footer" Target="footer1163.xml"/>
  <Relationship Id="rId2" Type="http://schemas.openxmlformats.org/officeDocument/2006/relationships/header" Target="header599.xml"/>
  <Relationship Id="rId20" Type="http://schemas.openxmlformats.org/officeDocument/2006/relationships/header" Target="header1164.xml"/>
  <Relationship Id="rId21" Type="http://schemas.openxmlformats.org/officeDocument/2006/relationships/footer" Target="footer1164.xml"/>
  <Relationship Id="rId22" Type="http://schemas.openxmlformats.org/officeDocument/2006/relationships/hyperlink" TargetMode="External" Target="http://eur-lex.europa.eu/legal-content/LIT/TXT/?uri=CELEX:33157R2024&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4R0590&amp;locale=lt"/>
  <Relationship Id="rId25" Type="http://schemas.openxmlformats.org/officeDocument/2006/relationships/hyperlink" TargetMode="External" Target="http://eur-lex.europa.eu/legal-content/LIT/TXT/?uri=CELEX:32021R0782&amp;locale=lt"/>
  <Relationship Id="rId26" Type="http://schemas.openxmlformats.org/officeDocument/2006/relationships/hyperlink" TargetMode="External" Target="http://eur-lex.europa.eu/legal-content/LIT/TXT/?uri=CELEX:32023R0956&amp;locale=lt"/>
  <Relationship Id="rId27" Type="http://schemas.openxmlformats.org/officeDocument/2006/relationships/hyperlink" TargetMode="External" Target="http://eur-lex.europa.eu/legal-content/LIT/TXT/?uri=CELEX:32008R1005&amp;locale=lt"/>
  <Relationship Id="rId28" Type="http://schemas.openxmlformats.org/officeDocument/2006/relationships/hyperlink" TargetMode="External" Target="http://eur-lex.europa.eu/legal-content/LIT/TXT/?uri=CELEX:31993R2847&amp;locale=lt"/>
  <Relationship Id="rId29" Type="http://schemas.openxmlformats.org/officeDocument/2006/relationships/hyperlink" TargetMode="External" Target="http://eur-lex.europa.eu/legal-content/LIT/TXT/?uri=CELEX:32001R1936&amp;locale=lt"/>
  <Relationship Id="rId3" Type="http://schemas.openxmlformats.org/officeDocument/2006/relationships/footer" Target="footer598.xml"/>
  <Relationship Id="rId30" Type="http://schemas.openxmlformats.org/officeDocument/2006/relationships/hyperlink" TargetMode="External" Target="http://eur-lex.europa.eu/legal-content/LIT/TXT/?uri=CELEX:32004R0601&amp;locale=lt"/>
  <Relationship Id="rId31" Type="http://schemas.openxmlformats.org/officeDocument/2006/relationships/hyperlink" TargetMode="External" Target="http://eur-lex.europa.eu/legal-content/LIT/TXT/?uri=CELEX:31994R1093&amp;locale=lt"/>
  <Relationship Id="rId32" Type="http://schemas.openxmlformats.org/officeDocument/2006/relationships/hyperlink" TargetMode="External" Target="http://eur-lex.europa.eu/legal-content/LIT/TXT/?uri=CELEX:31999R1447&amp;locale=lt"/>
  <Relationship Id="rId33" Type="http://schemas.openxmlformats.org/officeDocument/2006/relationships/hyperlink" TargetMode="External" Target="http://eur-lex.europa.eu/legal-content/LIT/TXT/?uri=CELEX:32009R1224&amp;locale=lt"/>
  <Relationship Id="rId34" Type="http://schemas.openxmlformats.org/officeDocument/2006/relationships/hyperlink" TargetMode="External" Target="http://eur-lex.europa.eu/legal-content/LIT/TXT/?uri=CELEX:31996R0847&amp;locale=lt"/>
  <Relationship Id="rId35" Type="http://schemas.openxmlformats.org/officeDocument/2006/relationships/hyperlink" TargetMode="External" Target="http://eur-lex.europa.eu/legal-content/LIT/TXT/?uri=CELEX:32002R2371&amp;locale=lt"/>
  <Relationship Id="rId36" Type="http://schemas.openxmlformats.org/officeDocument/2006/relationships/hyperlink" TargetMode="External" Target="http://eur-lex.europa.eu/legal-content/LIT/TXT/?uri=CELEX:32004R0811&amp;locale=lt"/>
  <Relationship Id="rId37" Type="http://schemas.openxmlformats.org/officeDocument/2006/relationships/hyperlink" TargetMode="External" Target="http://eur-lex.europa.eu/legal-content/LIT/TXT/?uri=CELEX:32005R0768&amp;locale=lt"/>
  <Relationship Id="rId38" Type="http://schemas.openxmlformats.org/officeDocument/2006/relationships/hyperlink" TargetMode="External" Target="http://eur-lex.europa.eu/legal-content/LIT/TXT/?uri=CELEX:32005R2115&amp;locale=lt"/>
  <Relationship Id="rId39" Type="http://schemas.openxmlformats.org/officeDocument/2006/relationships/hyperlink" TargetMode="External" Target="http://eur-lex.europa.eu/legal-content/LIT/TXT/?uri=CELEX:32005R2166&amp;locale=lt"/>
  <Relationship Id="rId4" Type="http://schemas.openxmlformats.org/officeDocument/2006/relationships/footer" Target="footer599.xml"/>
  <Relationship Id="rId40" Type="http://schemas.openxmlformats.org/officeDocument/2006/relationships/hyperlink" TargetMode="External" Target="http://eur-lex.europa.eu/legal-content/LIT/TXT/?uri=CELEX:32006R0388&amp;locale=lt"/>
  <Relationship Id="rId41" Type="http://schemas.openxmlformats.org/officeDocument/2006/relationships/hyperlink" TargetMode="External" Target="http://eur-lex.europa.eu/legal-content/LIT/TXT/?uri=CELEX:32007R0509&amp;locale=lt"/>
  <Relationship Id="rId42" Type="http://schemas.openxmlformats.org/officeDocument/2006/relationships/hyperlink" TargetMode="External" Target="http://eur-lex.europa.eu/legal-content/LIT/TXT/?uri=CELEX:32007R0676&amp;locale=lt"/>
  <Relationship Id="rId43" Type="http://schemas.openxmlformats.org/officeDocument/2006/relationships/hyperlink" TargetMode="External" Target="http://eur-lex.europa.eu/legal-content/LIT/TXT/?uri=CELEX:32007R1098&amp;locale=lt"/>
  <Relationship Id="rId44" Type="http://schemas.openxmlformats.org/officeDocument/2006/relationships/hyperlink" TargetMode="External" Target="http://eur-lex.europa.eu/legal-content/LIT/TXT/?uri=CELEX:32008R1300&amp;locale=lt"/>
  <Relationship Id="rId45" Type="http://schemas.openxmlformats.org/officeDocument/2006/relationships/hyperlink" TargetMode="External" Target="http://eur-lex.europa.eu/legal-content/LIT/TXT/?uri=CELEX:32008R1342&amp;locale=lt"/>
  <Relationship Id="rId46" Type="http://schemas.openxmlformats.org/officeDocument/2006/relationships/hyperlink" TargetMode="External" Target="http://eur-lex.europa.eu/legal-content/LIT/TXT/?uri=CELEX:31993R2847&amp;locale=lt"/>
  <Relationship Id="rId47" Type="http://schemas.openxmlformats.org/officeDocument/2006/relationships/hyperlink" TargetMode="External" Target="http://eur-lex.europa.eu/legal-content/LIT/TXT/?uri=CELEX:31994R1627&amp;locale=lt"/>
  <Relationship Id="rId48" Type="http://schemas.openxmlformats.org/officeDocument/2006/relationships/hyperlink" TargetMode="External" Target="http://eur-lex.europa.eu/legal-content/LIT/TXT/?uri=CELEX:32006R1966&amp;locale=lt"/>
  <Relationship Id="rId49" Type="http://schemas.openxmlformats.org/officeDocument/2006/relationships/hyperlink" TargetMode="External" Target="http://eur-lex.europa.eu/legal-content/LIT/TXT/?uri=CELEX:32017R0852&amp;locale=lt"/>
  <Relationship Id="rId5" Type="http://schemas.openxmlformats.org/officeDocument/2006/relationships/header" Target="header600.xml"/>
  <Relationship Id="rId50" Type="http://schemas.openxmlformats.org/officeDocument/2006/relationships/hyperlink" TargetMode="External" Target="http://eur-lex.europa.eu/legal-content/LIT/TXT/?uri=CELEX:32008R1102&amp;locale=lt"/>
  <Relationship Id="rId51" Type="http://schemas.openxmlformats.org/officeDocument/2006/relationships/hyperlink" TargetMode="External" Target="http://eur-lex.europa.eu/legal-content/LIT/TXT/?uri=CELEX:32024R1849&amp;locale=lt"/>
  <Relationship Id="rId52" Type="http://schemas.openxmlformats.org/officeDocument/2006/relationships/hyperlink" TargetMode="External" Target="http://eur-lex.europa.eu/legal-content/LIT/TXT/?uri=CELEX:32011L0016&amp;locale=lt"/>
  <Relationship Id="rId53" Type="http://schemas.openxmlformats.org/officeDocument/2006/relationships/hyperlink" TargetMode="External" Target="http://eur-lex.europa.eu/legal-content/LIT/TXT/?uri=CELEX:31977L0799&amp;locale=lt"/>
  <Relationship Id="rId54" Type="http://schemas.openxmlformats.org/officeDocument/2006/relationships/hyperlink" TargetMode="External" Target="http://eur-lex.europa.eu/legal-content/LIT/TXT/?uri=CELEX:32023L2226&amp;locale=lt"/>
  <Relationship Id="rId55" Type="http://schemas.openxmlformats.org/officeDocument/2006/relationships/hyperlink" TargetMode="External" Target="http://eur-lex.europa.eu/legal-content/LIT/TXT/?uri=CELEX:32012R0965&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2011R1178&amp;locale=lt"/>
  <Relationship Id="rId59" Type="http://schemas.openxmlformats.org/officeDocument/2006/relationships/hyperlink" TargetMode="External" Target="http://eur-lex.europa.eu/legal-content/LIT/TXT/?uri=CELEX:32014R1321&amp;locale=lt"/>
  <Relationship Id="rId6" Type="http://schemas.openxmlformats.org/officeDocument/2006/relationships/footer" Target="footer600.xml"/>
  <Relationship Id="rId60" Type="http://schemas.openxmlformats.org/officeDocument/2006/relationships/hyperlink" TargetMode="External" Target="http://eur-lex.europa.eu/legal-content/LIT/TXT/?uri=CELEX:3340R2015&amp;locale=lt"/>
  <Relationship Id="rId61" Type="http://schemas.openxmlformats.org/officeDocument/2006/relationships/hyperlink" TargetMode="External" Target="http://eur-lex.europa.eu/legal-content/LIT/TXT/?uri=CELEX:31139R2018&amp;locale=lt"/>
  <Relationship Id="rId62" Type="http://schemas.openxmlformats.org/officeDocument/2006/relationships/hyperlink" TargetMode="External" Target="http://eur-lex.europa.eu/legal-content/LIT/TXT/?uri=CELEX:32011R1178&amp;locale=lt"/>
  <Relationship Id="rId63" Type="http://schemas.openxmlformats.org/officeDocument/2006/relationships/hyperlink" TargetMode="External" Target="http://eur-lex.europa.eu/legal-content/LIT/TXT/?uri=CELEX:32014R1321&amp;locale=lt"/>
  <Relationship Id="rId64" Type="http://schemas.openxmlformats.org/officeDocument/2006/relationships/hyperlink" TargetMode="External" Target="http://eur-lex.europa.eu/legal-content/LIT/TXT/?uri=CELEX:3340R2015&amp;locale=lt"/>
  <Relationship Id="rId65" Type="http://schemas.openxmlformats.org/officeDocument/2006/relationships/hyperlink" TargetMode="External" Target="http://eur-lex.europa.eu/legal-content/LIT/TXT/?uri=CELEX:31139R2018&amp;locale=lt"/>
  <Relationship Id="rId66" Type="http://schemas.openxmlformats.org/officeDocument/2006/relationships/hyperlink" TargetMode="External" Target="http://eur-lex.europa.eu/legal-content/LIT/TXT/?uri=CELEX:32012R0923&amp;locale=lt"/>
  <Relationship Id="rId67" Type="http://schemas.openxmlformats.org/officeDocument/2006/relationships/hyperlink" TargetMode="External" Target="http://eur-lex.europa.eu/legal-content/LIT/TXT/?uri=CELEX:32011R1035&amp;locale=lt"/>
  <Relationship Id="rId68" Type="http://schemas.openxmlformats.org/officeDocument/2006/relationships/hyperlink" TargetMode="External" Target="http://eur-lex.europa.eu/legal-content/LIT/TXT/?uri=CELEX:32007R1265&amp;locale=lt"/>
  <Relationship Id="rId69" Type="http://schemas.openxmlformats.org/officeDocument/2006/relationships/hyperlink" TargetMode="External" Target="http://eur-lex.europa.eu/legal-content/LIT/TXT/?uri=CELEX:32006R1794&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0730&amp;locale=lt"/>
  <Relationship Id="rId71" Type="http://schemas.openxmlformats.org/officeDocument/2006/relationships/hyperlink" TargetMode="External" Target="http://eur-lex.europa.eu/legal-content/LIT/TXT/?uri=CELEX:32006R1033&amp;locale=lt"/>
  <Relationship Id="rId72" Type="http://schemas.openxmlformats.org/officeDocument/2006/relationships/hyperlink" TargetMode="External" Target="http://eur-lex.europa.eu/legal-content/LIT/TXT/?uri=CELEX:32010R0255&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1997R0338&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0573&amp;locale=lt"/>
  <Relationship Id="rId81" Type="http://schemas.openxmlformats.org/officeDocument/2006/relationships/hyperlink" TargetMode="External" Target="http://eur-lex.europa.eu/legal-content/LIT/TXT/?uri=CELEX:32019L1937&amp;locale=lt"/>
  <Relationship Id="rId82" Type="http://schemas.openxmlformats.org/officeDocument/2006/relationships/hyperlink" TargetMode="External" Target="http://eur-lex.europa.eu/legal-content/LIT/TXT/?uri=CELEX:32014R0517&amp;locale=lt"/>
  <Relationship Id="rId83" Type="http://schemas.openxmlformats.org/officeDocument/2006/relationships/hyperlink" TargetMode="External" Target="http://eur-lex.europa.eu/legal-content/LIT/TXT/?uri=CELEX:32024L1226&amp;locale=lt"/>
  <Relationship Id="rId84" Type="http://schemas.openxmlformats.org/officeDocument/2006/relationships/hyperlink" TargetMode="External" Target="http://eur-lex.europa.eu/legal-content/LIT/TXT/?uri=CELEX:32018L1673&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23R2842&amp;locale=lt"/>
  <Relationship Id="rId96" Type="http://schemas.openxmlformats.org/officeDocument/2006/relationships/hyperlink" TargetMode="External" Target="http://eur-lex.europa.eu/legal-content/LIT/TXT/?uri=CELEX:32009R1224&amp;locale=lt"/>
  <Relationship Id="rId97" Type="http://schemas.openxmlformats.org/officeDocument/2006/relationships/hyperlink" TargetMode="External" Target="http://eur-lex.europa.eu/legal-content/LIT/TXT/?uri=CELEX:32006R1967&amp;locale=lt"/>
  <Relationship Id="rId98" Type="http://schemas.openxmlformats.org/officeDocument/2006/relationships/hyperlink" TargetMode="External" Target="http://eur-lex.europa.eu/legal-content/LIT/TXT/?uri=CELEX:32008R1005&amp;locale=lt"/>
  <Relationship Id="rId99" Type="http://schemas.openxmlformats.org/officeDocument/2006/relationships/hyperlink" TargetMode="External" Target="http://eur-lex.europa.eu/legal-content/LIT/TXT/?uri=CELEX:32016R113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Lietuvos Respublikos darbo kodekse nurodytos informacijos apie darbuotojų darbo užmokestį nepateikimas, darbo užmokesčio nustatymo, apskaičiavimo ir mokėjimo tvarkos pažeidimas" DocPartId="6e813bd30c26437fb61e194e684d6d75" PartId="9370d45cffe3442594acf2f565ee277d">
          <Part Type="strDalis" Nr="1" Abbr="99 str. 1 d." DocPartId="c4c35aec5ff6405896177bf7933ab574" PartId="1199dd89825d49ecb50445f29944fa64"/>
          <Part Type="strDalis" Nr="2" Abbr="99 str. 2 d." DocPartId="483414eead5f4cbdaf91d0e6fec683d8" PartId="d0162ae26e5042e5b446981d45fd2ef1"/>
          <Part Type="strDalis" Nr="3" Abbr="99 str. 3 d." DocPartId="8781cefc103546abbf55fb8dd06ee188" PartId="47e66ff0eb9c403182c3140da0ec5286"/>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f480a0ba3f9246b48dc7ee896e21af7a"/>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7d23507cc400485788861c589686c0fe">
          <Part Type="strDalis" Nr="1" Abbr="195 str. 1 d." DocPartId="5d9f7fe8743f4d2aa8ab420bb2aaab9e" PartId="acad09f9b4054c5ea7bfaece465a1bcc"/>
          <Part Type="strDalis" Nr="2" Abbr="195 str. 2 d." DocPartId="a90f9c530fe743938aee0c393f8da196" PartId="60a036664c624904894c256c55d736bc"/>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ir Reglamento (ES) 2024/1309 nuostat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7e8e87f2901644e9af2b96aed627113d"/>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punktas" Nr="118-2" Abbr="pr. 118-2 p." DocPartId="0c179a3749954dec9fd8bef27650d315" PartId="408eaf7139f64033824109eab0826676"/>
    <Part Type="strDalis" Nr="118-3" Abbr="pr. 118-3 d." DocPartId="1218085ea1ad42eb98094143795a609e" PartId="cd7fc789feb74333a32e9b1e9913f167"/>
    <Part Type="strDalis" Nr="118-4" Abbr="pr. 118-4 d." DocPartId="eb0116cf1dbe462da487276913fc3126" PartId="69b122ec22d644298b35091925038776"/>
    <Part Type="strDalis" Nr="118-5" Abbr="pr. 118-5 d." DocPartId="8169ec9851af499c97860259eeaa73f4" PartId="a7bf426e31b94dce85005f1339423be2"/>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91A54EF3-C663-4224-B039-07934BC54EF1}">
  <ds:schemaRefs>
    <ds:schemaRef ds:uri="http://lrs.lt/TAIS/DocParts"/>
  </ds:schemaRefs>
</ds:datastoreItem>
</file>

<file path=customXml/itemProps3.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976</TotalTime>
  <Pages>484</Pages>
  <Words>788637</Words>
  <Characters>449524</Characters>
  <Application>Microsoft Office Word</Application>
  <DocSecurity>0</DocSecurity>
  <Lines>3746</Lines>
  <Paragraphs>2471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1235690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PAPINIGIENĖ Augustė</lastModifiedBy>
  <lastPrinted>2015-07-03T07:36:00Z</lastPrinted>
  <dcterms:modified xsi:type="dcterms:W3CDTF">2026-06-15T10:54:00Z</dcterms:modified>
  <revision>452</revision>
</coreProperties>
</file>