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2021-12-04 iki 2021-12-31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c6085bad4c044649ad1ae75278fa7269"/>
        <w:lock w:val="sdtLocked"/>
        <w:richText/>
      </w:sdtPr>
      <w:sdtContent>
        <w:p>
          <w:pPr>
            <w:ind w:firstLine="5760"/>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c6085bad4c044649ad1ae75278fa7269"/>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77fb3cea693140fa8b6eea605f6c585c"/>
                        <w:lock w:val="sdtLocked"/>
                        <w:richText/>
                      </w:sdtPr>
                      <w:sdtContent>
                        <w:p>
                          <w:pPr>
                            <w:spacing w:line="360" w:lineRule="auto"/>
                            <w:ind w:firstLine="720"/>
                            <w:jc w:val="both"/>
                            <w:rPr>
                              <w:szCs w:val="24"/>
                            </w:rPr>
                          </w:pPr>
                          <w:sdt>
                            <w:sdtPr>
                              <w:alias w:val="Numeris"/>
                              <w:tag w:val="nr_77fb3cea693140fa8b6eea605f6c585c"/>
                              <w:lock w:val="sdtLocked"/>
                              <w:richText/>
                            </w:sdtPr>
                            <w:sdtContent>
                              <w:r>
                                <w:rPr>
                                  <w:bCs/>
                                  <w:szCs w:val="24"/>
                                  <w:lang w:eastAsia="lt-LT"/>
                                </w:rPr>
                                <w:t>1</w:t>
                              </w:r>
                            </w:sdtContent>
                          </w:sdt>
                          <w:r>
                            <w:rPr>
                              <w:bCs/>
                              <w:szCs w:val="24"/>
                              <w:lang w:eastAsia="lt-LT"/>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66dab64169194e4494d2d159475ecafb"/>
                        <w:lock w:val="sdtLocked"/>
                        <w:richText/>
                      </w:sdtPr>
                      <w:sdtContent>
                        <w:p>
                          <w:pPr>
                            <w:spacing w:line="360" w:lineRule="auto"/>
                            <w:ind w:firstLine="720"/>
                            <w:jc w:val="both"/>
                            <w:rPr>
                              <w:color w:val="000000"/>
                              <w:szCs w:val="24"/>
                            </w:rPr>
                          </w:pPr>
                          <w:sdt>
                            <w:sdtPr>
                              <w:alias w:val="Numeris"/>
                              <w:tag w:val="nr_66dab64169194e4494d2d159475ecafb"/>
                              <w:lock w:val="sdtLocked"/>
                              <w:richText/>
                            </w:sdtPr>
                            <w:sdtContent>
                              <w:r>
                                <w:rPr>
                                  <w:color w:val="000000"/>
                                  <w:szCs w:val="24"/>
                                </w:rPr>
                                <w:t>4</w:t>
                              </w:r>
                            </w:sdtContent>
                          </w:sdt>
                          <w:r>
                            <w:rPr>
                              <w:color w:val="000000"/>
                              <w:szCs w:val="24"/>
                            </w:rPr>
                            <w:t>. Už šio kodekso 47 straipsnyje, 60 straipsnio 3 dalyje, 65, 122, 125, 127,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62c73b6f0d3a48b0b929145adf628298"/>
                        <w:lock w:val="sdtLocked"/>
                        <w:richText/>
                      </w:sdtPr>
                      <w:sdtContent>
                        <w:p>
                          <w:pPr>
                            <w:widowControl w:val="0"/>
                            <w:spacing w:line="360" w:lineRule="auto"/>
                            <w:ind w:firstLine="720"/>
                            <w:jc w:val="both"/>
                            <w:rPr>
                              <w:szCs w:val="24"/>
                            </w:rPr>
                          </w:pPr>
                          <w:sdt>
                            <w:sdtPr>
                              <w:alias w:val="Numeris"/>
                              <w:tag w:val="nr_62c73b6f0d3a48b0b929145adf628298"/>
                              <w:lock w:val="sdtLocked"/>
                              <w:richText/>
                            </w:sdtPr>
                            <w:sdtContent>
                              <w:r>
                                <w:rPr>
                                  <w:szCs w:val="24"/>
                                </w:rPr>
                                <w:t>3</w:t>
                              </w:r>
                            </w:sdtContent>
                          </w:sdt>
                          <w:r>
                            <w:rPr>
                              <w:szCs w:val="24"/>
                            </w:rPr>
                            <w:t xml:space="preserve">. </w:t>
                          </w:r>
                          <w:r>
                            <w:rPr>
                              <w:i/>
                              <w:sz w:val="20"/>
                            </w:rPr>
                            <w:t>Neteko galios nuo 2021-07-01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cf7fa226b3ee4c09871b8323239b1256"/>
                            <w:lock w:val="sdtLocked"/>
                            <w:richText/>
                          </w:sdtPr>
                          <w:sdtContent>
                            <w:p>
                              <w:pPr>
                                <w:widowControl w:val="0"/>
                                <w:spacing w:line="360" w:lineRule="auto"/>
                                <w:ind w:firstLine="720"/>
                                <w:jc w:val="both"/>
                                <w:rPr>
                                  <w:szCs w:val="24"/>
                                </w:rPr>
                              </w:pPr>
                              <w:sdt>
                                <w:sdtPr>
                                  <w:alias w:val="Numeris"/>
                                  <w:tag w:val="nr_cf7fa226b3ee4c09871b8323239b1256"/>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41c8962aeb144875b03ec5feb3ab5a64"/>
                            <w:lock w:val="sdtLocked"/>
                            <w:richText/>
                          </w:sdtPr>
                          <w:sdtContent>
                            <w:p>
                              <w:pPr>
                                <w:spacing w:line="360" w:lineRule="auto"/>
                                <w:ind w:firstLine="720"/>
                                <w:jc w:val="both"/>
                                <w:rPr>
                                  <w:szCs w:val="24"/>
                                </w:rPr>
                              </w:pPr>
                              <w:sdt>
                                <w:sdtPr>
                                  <w:alias w:val="Numeris"/>
                                  <w:tag w:val="nr_41c8962aeb144875b03ec5feb3ab5a64"/>
                                  <w:lock w:val="sdtLocked"/>
                                  <w:richText/>
                                </w:sdtPr>
                                <w:sdtContent>
                                  <w:r>
                                    <w:rPr>
                                      <w:color w:val="000000"/>
                                      <w:szCs w:val="24"/>
                                      <w:lang w:eastAsia="lt-LT"/>
                                    </w:rPr>
                                    <w:t>66</w:t>
                                  </w:r>
                                </w:sdtContent>
                              </w:sdt>
                              <w:r>
                                <w:rPr>
                                  <w:color w:val="000000"/>
                                  <w:szCs w:val="24"/>
                                  <w:lang w:eastAsia="lt-LT"/>
                                </w:rPr>
                                <w:t xml:space="preserve">) Valstybinės mokesčių inspekcijos – dėl šio kodekso 93, 95, 99, 127, 132, 137, 143, 150, 151, 159, 160, 161, 162, 163, 164, 165, 166, 167, 168, 170, 172, 173, 174, </w:t>
                              </w:r>
                              <w:r>
                                <w:rPr>
                                  <w:szCs w:val="24"/>
                                  <w:lang w:eastAsia="lt-LT"/>
                                </w:rPr>
                                <w:t>176, 180</w:t>
                              </w:r>
                              <w:r>
                                <w:rPr>
                                  <w:color w:val="000000"/>
                                  <w:szCs w:val="24"/>
                                  <w:lang w:eastAsia="lt-LT"/>
                                </w:rPr>
                                <w:t xml:space="preserve">, 187, 188, </w:t>
                              </w:r>
                              <w:r>
                                <w:rPr>
                                  <w:color w:val="000000"/>
                                  <w:szCs w:val="24"/>
                                </w:rPr>
                                <w:t>188</w:t>
                              </w:r>
                              <w:r>
                                <w:rPr>
                                  <w:color w:val="000000"/>
                                  <w:szCs w:val="24"/>
                                  <w:vertAlign w:val="superscript"/>
                                </w:rPr>
                                <w:t>1</w:t>
                              </w:r>
                              <w:r>
                                <w:rPr>
                                  <w:color w:val="000000"/>
                                  <w:szCs w:val="24"/>
                                </w:rPr>
                                <w:t>,</w:t>
                              </w:r>
                              <w:r>
                                <w:rPr>
                                  <w:color w:val="000000"/>
                                  <w:szCs w:val="24"/>
                                  <w:lang w:eastAsia="lt-LT"/>
                                </w:rPr>
                                <w:t xml:space="preserve"> 189, 190, 191, 192, 194, 198</w:t>
                              </w:r>
                              <w:r>
                                <w:rPr>
                                  <w:color w:val="000000"/>
                                  <w:szCs w:val="24"/>
                                  <w:vertAlign w:val="superscript"/>
                                  <w:lang w:eastAsia="lt-LT"/>
                                </w:rPr>
                                <w:t>1</w:t>
                              </w:r>
                              <w:r>
                                <w:rPr>
                                  <w:color w:val="000000"/>
                                  <w:szCs w:val="24"/>
                                  <w:lang w:eastAsia="lt-LT"/>
                                </w:rPr>
                                <w:t>, 205, 207 straipsniuose, 209 straipsnio 1, 2, 3, 4, 5, 6, 7, 8 dalyse, 214, 224, 431, 449, 449</w:t>
                              </w:r>
                              <w:r>
                                <w:rPr>
                                  <w:color w:val="000000"/>
                                  <w:szCs w:val="24"/>
                                  <w:vertAlign w:val="superscript"/>
                                  <w:lang w:eastAsia="lt-LT"/>
                                </w:rPr>
                                <w:t>1</w:t>
                              </w:r>
                              <w:r>
                                <w:rPr>
                                  <w:color w:val="000000"/>
                                  <w:szCs w:val="24"/>
                                  <w:lang w:eastAsia="lt-LT"/>
                                </w:rPr>
                                <w:t>, 450,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b69404c4529043f987fdef267bb16ba7"/>
                        <w:lock w:val="sdtLocked"/>
                        <w:richText/>
                      </w:sdtPr>
                      <w:sdtContent>
                        <w:p>
                          <w:pPr>
                            <w:spacing w:line="360" w:lineRule="auto"/>
                            <w:ind w:firstLine="720"/>
                            <w:jc w:val="both"/>
                            <w:rPr>
                              <w:szCs w:val="24"/>
                            </w:rPr>
                          </w:pPr>
                          <w:sdt>
                            <w:sdtPr>
                              <w:alias w:val="Numeris"/>
                              <w:tag w:val="nr_b69404c4529043f987fdef267bb16ba7"/>
                              <w:lock w:val="sdtLocked"/>
                              <w:richText/>
                            </w:sdtPr>
                            <w:sdtContent>
                              <w:r>
                                <w:rPr>
                                  <w:color w:val="000000"/>
                                  <w:szCs w:val="24"/>
                                  <w:lang w:eastAsia="lt-LT"/>
                                </w:rPr>
                                <w:t>1</w:t>
                              </w:r>
                            </w:sdtContent>
                          </w:sdt>
                          <w:r>
                            <w:rPr>
                              <w:color w:val="000000"/>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w:t>
                          </w:r>
                          <w:r>
                            <w:rPr>
                              <w:bCs/>
                              <w:color w:val="000000"/>
                              <w:szCs w:val="24"/>
                              <w:lang w:eastAsia="lt-LT"/>
                            </w:rPr>
                            <w:t xml:space="preserve"> (gali būti nurodomos tik vietos koordinatės)</w:t>
                          </w:r>
                          <w:r>
                            <w:rPr>
                              <w:color w:val="000000"/>
                              <w:szCs w:val="24"/>
                              <w:lang w:eastAsia="lt-LT"/>
                            </w:rPr>
                            <w:t>,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71a16fc894427caee9d4094f9286f3"/>
                        <w:lock w:val="sdtLocked"/>
                        <w:richText/>
                      </w:sdtPr>
                      <w:sdtContent>
                        <w:p>
                          <w:pPr>
                            <w:spacing w:line="360" w:lineRule="auto"/>
                            <w:ind w:firstLine="720"/>
                            <w:jc w:val="both"/>
                            <w:rPr>
                              <w:szCs w:val="24"/>
                            </w:rPr>
                          </w:pPr>
                          <w:sdt>
                            <w:sdtPr>
                              <w:alias w:val="Numeris"/>
                              <w:tag w:val="nr_e671a16fc894427caee9d4094f9286f3"/>
                              <w:lock w:val="sdtLocked"/>
                              <w:richText/>
                            </w:sdtPr>
                            <w:sdtContent>
                              <w:r>
                                <w:rPr>
                                  <w:color w:val="000000"/>
                                  <w:szCs w:val="24"/>
                                  <w:lang w:eastAsia="lt-LT"/>
                                </w:rPr>
                                <w:t>4</w:t>
                              </w:r>
                            </w:sdtContent>
                          </w:sdt>
                          <w:r>
                            <w:rPr>
                              <w:color w:val="000000"/>
                              <w:szCs w:val="24"/>
                              <w:lang w:eastAsia="lt-LT"/>
                            </w:rP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w:t>
                          </w:r>
                          <w:r>
                            <w:rPr>
                              <w:bCs/>
                              <w:color w:val="000000"/>
                              <w:szCs w:val="24"/>
                              <w:lang w:eastAsia="lt-LT"/>
                            </w:rPr>
                            <w:t>(gali būti nurodomos tik vietos koordinatės)</w:t>
                          </w:r>
                          <w:r>
                            <w:rPr>
                              <w:color w:val="000000"/>
                              <w:szCs w:val="24"/>
                              <w:lang w:eastAsia="lt-LT"/>
                            </w:rPr>
                            <w:t>,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89f6e9e9f0f3442da776fc7af9b951fd"/>
            <w:lock w:val="sdtLocked"/>
            <w:richText/>
          </w:sdtPr>
          <w:sdtContent>
            <w:p>
              <w:pPr>
                <w:widowControl w:val="0"/>
                <w:spacing w:line="360" w:lineRule="auto"/>
                <w:ind w:firstLine="720"/>
                <w:jc w:val="both"/>
              </w:pPr>
              <w:sdt>
                <w:sdtPr>
                  <w:alias w:val="Numeris"/>
                  <w:tag w:val="nr_89f6e9e9f0f3442da776fc7af9b951fd"/>
                  <w:lock w:val="sdtLocked"/>
                  <w:richText/>
                </w:sdtPr>
                <w:sdtContent>
                  <w:r>
                    <w:rPr>
                      <w:szCs w:val="24"/>
                    </w:rPr>
                    <w:t>55</w:t>
                  </w:r>
                </w:sdtContent>
              </w:sdt>
              <w:r>
                <w:rPr>
                  <w:szCs w:val="24"/>
                </w:rPr>
                <w:t xml:space="preserve">. 2009 m. spalio 21 d. Europos Parlamento ir Tarybos reglamentas (EB) Nr. 1107/2009 dėl augalų apsaugos produktų pateikimo į rinką ir panaikinantis Tarybos direktyvas 79/117/EEB ir 91/414/EEB, </w:t>
              </w:r>
              <w:r>
                <w:rPr>
                  <w:bCs/>
                  <w:szCs w:val="24"/>
                  <w:lang w:eastAsia="lt-LT"/>
                </w:rPr>
                <w:t xml:space="preserve">su paskutiniais pakeitimais, padarytais </w:t>
              </w:r>
              <w:r>
                <w:rPr>
                  <w:bCs/>
                  <w:szCs w:val="24"/>
                </w:rPr>
                <w:t xml:space="preserve">2019 m. birželio </w:t>
              </w:r>
              <w:r>
                <w:rPr>
                  <w:bCs/>
                  <w:szCs w:val="24"/>
                  <w:lang w:val="en-US"/>
                </w:rPr>
                <w:t xml:space="preserve">20 </w:t>
              </w:r>
              <w:r>
                <w:rPr>
                  <w:bCs/>
                  <w:szCs w:val="24"/>
                </w:rPr>
                <w:t>d. Europos Parlamento ir Tarybos reglamentu (ES) 2019/1381.</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5-1 p."/>
            <w:tag w:val="part_61e11a116f7c44ec876c1bb889928380"/>
            <w:lock w:val="sdtLocked"/>
            <w:richText/>
          </w:sdtPr>
          <w:sdtContent>
            <w:p>
              <w:pPr>
                <w:suppressAutoHyphens/>
                <w:overflowPunct w:val="0"/>
                <w:spacing w:line="360" w:lineRule="auto"/>
                <w:ind w:firstLine="720"/>
                <w:jc w:val="both"/>
                <w:textAlignment w:val="baseline"/>
                <w:rPr>
                  <w:rFonts w:eastAsia="SimSun"/>
                  <w:szCs w:val="24"/>
                  <w:lang w:eastAsia="zh-CN"/>
                </w:rPr>
              </w:pPr>
              <w:sdt>
                <w:sdtPr>
                  <w:alias w:val="Numeris"/>
                  <w:tag w:val="nr_61e11a116f7c44ec876c1bb889928380"/>
                  <w:lock w:val="sdtLocked"/>
                  <w:richText/>
                </w:sdtPr>
                <w:sdtContent>
                  <w:r>
                    <w:rPr>
                      <w:bCs/>
                      <w:szCs w:val="24"/>
                      <w:lang w:eastAsia="ar-SA"/>
                    </w:rPr>
                    <w:t>55</w:t>
                  </w:r>
                  <w:r>
                    <w:rPr>
                      <w:bCs/>
                      <w:szCs w:val="24"/>
                      <w:vertAlign w:val="superscript"/>
                      <w:lang w:eastAsia="ar-SA"/>
                    </w:rPr>
                    <w:t>1</w:t>
                  </w:r>
                </w:sdtContent>
              </w:sdt>
              <w:r>
                <w:rPr>
                  <w:bCs/>
                  <w:szCs w:val="24"/>
                  <w:lang w:eastAsia="ar-SA"/>
                </w:rPr>
                <w:t xml:space="preserve">. </w:t>
              </w:r>
              <w:smartTag w:uri="schemas-tilde-lv/tildestengine" w:element="metric">
                <w:smartTagPr>
                  <w:attr w:name="metric_text" w:val="m"/>
                  <w:attr w:name="metric_value" w:val="2009"/>
                </w:smartTagPr>
                <w:smartTag w:uri="urn:schemas-microsoft-com:office:smarttags" w:element="metricconverter">
                  <w:smartTagPr>
                    <w:attr w:name="ProductID" w:val="2009 m"/>
                  </w:smartTagPr>
                  <w:r>
                    <w:rPr>
                      <w:bCs/>
                      <w:szCs w:val="24"/>
                      <w:lang w:eastAsia="ar-SA"/>
                    </w:rPr>
                    <w:t>2009 m</w:t>
                  </w:r>
                </w:smartTag>
              </w:smartTag>
              <w:r>
                <w:rPr>
                  <w:bCs/>
                  <w:szCs w:val="24"/>
                  <w:lang w:eastAsia="ar-SA"/>
                </w:rPr>
                <w:t>. spalio 21 d. Europos Parlamento ir Tarybos direktyva 2009/128/EB, nustatanti Bendrijos veiksmų pagrindus siekiant tausiojo pesticidų naudojimo, su paskutiniais pakeitimais, padarytais 2019 m. birželio 20 d. Europos Parlamento ir Tarybos reglamentu (ES) 2019/1243.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0a4be9ed783b41a78da47722d06ca935"/>
            <w:lock w:val="sdtLocked"/>
            <w:richText/>
          </w:sdtPr>
          <w:sdtContent>
            <w:p>
              <w:pPr>
                <w:pStyle w:val="PlainText"/>
                <w:ind w:firstLine="567"/>
                <w:jc w:val="both"/>
                <w:rPr>
                  <w:rFonts w:ascii="Times New Roman" w:hAnsi="Times New Roman"/>
                  <w:b/>
                  <w:bCs/>
                  <w:sz w:val="22"/>
                </w:rPr>
              </w:pPr>
              <w:r>
                <w:rPr>
                  <w:rFonts w:ascii="Times New Roman" w:hAnsi="Times New Roman"/>
                  <w:sz w:val="22"/>
                </w:rPr>
                <w:t>66</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9414595ad0be470ea37a673792ba2197"/>
            <w:lock w:val="sdtLocked"/>
            <w:richText/>
          </w:sdtPr>
          <w:sdtContent>
            <w:p>
              <w:pPr>
                <w:tabs>
                  <w:tab w:val="right" w:pos="9356"/>
                </w:tabs>
                <w:suppressAutoHyphens/>
                <w:spacing w:line="360" w:lineRule="auto"/>
                <w:ind w:firstLine="720"/>
                <w:jc w:val="both"/>
                <w:textAlignment w:val="baseline"/>
              </w:pPr>
              <w:sdt>
                <w:sdtPr>
                  <w:alias w:val="Numeris"/>
                  <w:tag w:val="nr_9414595ad0be470ea37a673792ba2197"/>
                  <w:lock w:val="sdtLocked"/>
                  <w:richText/>
                </w:sdtPr>
                <w:sdtContent>
                  <w:r>
                    <w:rPr>
                      <w:bCs/>
                      <w:szCs w:val="24"/>
                    </w:rPr>
                    <w:t>104</w:t>
                  </w:r>
                </w:sdtContent>
              </w:sdt>
              <w:r>
                <w:rPr>
                  <w:bCs/>
                  <w:szCs w:val="24"/>
                </w:rPr>
                <w:t xml:space="preserve">. </w:t>
              </w:r>
              <w:r>
                <w:rPr>
                  <w:szCs w:val="24"/>
                </w:rPr>
                <w:t>2018 m. gruodžio 11 d. Europos Parlamento ir Tarybos direktyva (ES) 2018/1972, kuria nustatomas Europos elektroninių ryšių kodeksas (nauja redakcija).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5 p."/>
            <w:tag w:val="part_5e83ea7d25ce4354a38ca7175915c5e9"/>
            <w:lock w:val="sdtLocked"/>
            <w:richText/>
          </w:sdtPr>
          <w:sdtContent>
            <w:p>
              <w:pPr>
                <w:spacing w:line="360" w:lineRule="auto"/>
                <w:ind w:firstLine="720"/>
                <w:jc w:val="both"/>
              </w:pPr>
              <w:sdt>
                <w:sdtPr>
                  <w:alias w:val="Numeris"/>
                  <w:tag w:val="nr_5e83ea7d25ce4354a38ca7175915c5e9"/>
                  <w:lock w:val="sdtLocked"/>
                  <w:richText/>
                </w:sdtPr>
                <w:sdtContent>
                  <w:r>
                    <w:rPr>
                      <w:rFonts w:eastAsia="Calibri"/>
                      <w:szCs w:val="24"/>
                      <w:lang w:eastAsia="lt-LT"/>
                    </w:rPr>
                    <w:t>105</w:t>
                  </w:r>
                </w:sdtContent>
              </w:sdt>
              <w:r>
                <w:rPr>
                  <w:rFonts w:eastAsia="Calibri"/>
                  <w:szCs w:val="24"/>
                  <w:lang w:eastAsia="lt-LT"/>
                </w:rPr>
                <w:t xml:space="preserve">. </w:t>
              </w:r>
              <w:r>
                <w:rPr>
                  <w:szCs w:val="24"/>
                  <w:lang w:eastAsia="lt-LT"/>
                </w:rPr>
                <w:t>2019 m. balandžio 17 d. Europos Parlamento ir Tarybos reglamentas (ES) 2019/788 dėl Europos piliečių iniciatyvos.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5-1 p."/>
            <w:tag w:val="part_abfae377e2cf4d83b2c334a15a4ddd1c"/>
            <w:lock w:val="sdtLocked"/>
            <w:richText/>
          </w:sdtPr>
          <w:sdtContent>
            <w:p>
              <w:pPr>
                <w:spacing w:line="360" w:lineRule="auto"/>
                <w:ind w:firstLine="720"/>
                <w:jc w:val="both"/>
              </w:pPr>
              <w:sdt>
                <w:sdtPr>
                  <w:alias w:val="Numeris"/>
                  <w:tag w:val="nr_abfae377e2cf4d83b2c334a15a4ddd1c"/>
                  <w:lock w:val="sdtLocked"/>
                  <w:richText/>
                </w:sdtPr>
                <w:sdtContent>
                  <w:r>
                    <w:rPr>
                      <w:bCs/>
                      <w:szCs w:val="24"/>
                      <w:lang w:eastAsia="lt-LT"/>
                    </w:rPr>
                    <w:t>105</w:t>
                  </w:r>
                  <w:r>
                    <w:rPr>
                      <w:bCs/>
                      <w:szCs w:val="24"/>
                      <w:vertAlign w:val="superscript"/>
                      <w:lang w:eastAsia="lt-LT"/>
                    </w:rPr>
                    <w:t>1</w:t>
                  </w:r>
                </w:sdtContent>
              </w:sdt>
              <w:r>
                <w:rPr>
                  <w:bCs/>
                  <w:szCs w:val="24"/>
                  <w:lang w:eastAsia="lt-LT"/>
                </w:rPr>
                <w:t xml:space="preserve">. </w:t>
              </w:r>
              <w:r>
                <w:rPr>
                  <w:bCs/>
                  <w:szCs w:val="24"/>
                  <w:shd w:val="clear" w:color="auto" w:fill="FFFFFF"/>
                </w:rPr>
                <w:t>2019 m. balandžio 17 d. Europos Parlamento ir Tarybos reglamentas (ES) 2019/880 dėl kultūros vertybių įvežimo ir importo</w:t>
              </w:r>
              <w:r>
                <w:rPr>
                  <w:bCs/>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6 d."/>
            <w:tag w:val="part_b4fef90beef44b10a0260c88ea4f7d3d"/>
            <w:lock w:val="sdtLocked"/>
            <w:richText/>
          </w:sdtPr>
          <w:sdtContent>
            <w:p>
              <w:pPr>
                <w:spacing w:line="360" w:lineRule="auto"/>
                <w:ind w:firstLine="720"/>
                <w:jc w:val="both"/>
              </w:pPr>
              <w:sdt>
                <w:sdtPr>
                  <w:alias w:val="Numeris"/>
                  <w:tag w:val="nr_b4fef90beef44b10a0260c88ea4f7d3d"/>
                  <w:lock w:val="sdtLocked"/>
                  <w:richText/>
                </w:sdtPr>
                <w:sdtContent>
                  <w:r>
                    <w:rPr>
                      <w:szCs w:val="24"/>
                      <w:lang w:eastAsia="lt-LT"/>
                    </w:rPr>
                    <w:t>106</w:t>
                  </w:r>
                </w:sdtContent>
              </w:sdt>
              <w:r>
                <w:rPr>
                  <w:szCs w:val="24"/>
                  <w:lang w:eastAsia="lt-LT"/>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6-1 p."/>
            <w:tag w:val="part_c3c86eff2b824d26ae201f4d996a2af5"/>
            <w:lock w:val="sdtLocked"/>
            <w:richText/>
          </w:sdtPr>
          <w:sdtContent>
            <w:p>
              <w:pPr>
                <w:spacing w:line="360" w:lineRule="auto"/>
                <w:ind w:firstLine="720"/>
                <w:jc w:val="both"/>
              </w:pPr>
              <w:sdt>
                <w:sdtPr>
                  <w:alias w:val="Numeris"/>
                  <w:tag w:val="nr_c3c86eff2b824d26ae201f4d996a2af5"/>
                  <w:lock w:val="sdtLocked"/>
                  <w:richText/>
                </w:sdtPr>
                <w:sdtContent>
                  <w:r>
                    <w:rPr>
                      <w:color w:val="000000"/>
                      <w:szCs w:val="24"/>
                      <w:lang w:eastAsia="en-GB"/>
                    </w:rPr>
                    <w:t>106</w:t>
                  </w:r>
                  <w:r>
                    <w:rPr>
                      <w:color w:val="000000"/>
                      <w:szCs w:val="24"/>
                      <w:vertAlign w:val="superscript"/>
                      <w:lang w:eastAsia="en-GB"/>
                    </w:rPr>
                    <w:t>1</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7 p."/>
            <w:tag w:val="part_d86ad140c526444ea9fe049d1433a746"/>
            <w:lock w:val="sdtLocked"/>
            <w:richText/>
          </w:sdtPr>
          <w:sdtContent>
            <w:p>
              <w:pPr>
                <w:spacing w:line="360" w:lineRule="auto"/>
                <w:ind w:firstLine="720"/>
                <w:jc w:val="both"/>
              </w:pPr>
              <w:sdt>
                <w:sdtPr>
                  <w:alias w:val="Numeris"/>
                  <w:tag w:val="nr_d86ad140c526444ea9fe049d1433a746"/>
                  <w:lock w:val="sdtLocked"/>
                  <w:richText/>
                </w:sdtPr>
                <w:sdtContent>
                  <w:r>
                    <w:rPr>
                      <w:szCs w:val="24"/>
                      <w:lang w:eastAsia="lt-LT"/>
                    </w:rPr>
                    <w:t>107</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8 p."/>
            <w:tag w:val="part_00cebc3473da4840b2210d0e53ad302a"/>
            <w:lock w:val="sdtLocked"/>
            <w:richText/>
          </w:sdtPr>
          <w:sdtContent>
            <w:p>
              <w:pPr>
                <w:tabs>
                  <w:tab w:val="left" w:pos="993"/>
                </w:tabs>
                <w:spacing w:line="360" w:lineRule="auto"/>
                <w:ind w:firstLine="720"/>
                <w:jc w:val="both"/>
              </w:pPr>
              <w:sdt>
                <w:sdtPr>
                  <w:alias w:val="Numeris"/>
                  <w:tag w:val="nr_00cebc3473da4840b2210d0e53ad302a"/>
                  <w:lock w:val="sdtLocked"/>
                  <w:richText/>
                </w:sdtPr>
                <w:sdtContent>
                  <w:r>
                    <w:rPr>
                      <w:color w:val="000000"/>
                      <w:szCs w:val="24"/>
                      <w:lang w:eastAsia="lt-LT"/>
                    </w:rPr>
                    <w:t>108</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9 p."/>
            <w:tag w:val="part_cc97704cb87c404bb9880dba81e8c0b5"/>
            <w:lock w:val="sdtLocked"/>
            <w:richText/>
          </w:sdtPr>
          <w:sdtContent>
            <w:p>
              <w:pPr>
                <w:spacing w:line="360" w:lineRule="auto"/>
                <w:ind w:firstLine="720"/>
                <w:jc w:val="both"/>
              </w:pPr>
              <w:sdt>
                <w:sdtPr>
                  <w:alias w:val="Numeris"/>
                  <w:tag w:val="nr_cc97704cb87c404bb9880dba81e8c0b5"/>
                  <w:lock w:val="sdtLocked"/>
                  <w:richText/>
                </w:sdtPr>
                <w:sdtContent>
                  <w:r>
                    <w:rPr>
                      <w:color w:val="000000"/>
                      <w:szCs w:val="24"/>
                      <w:lang w:eastAsia="en-GB"/>
                    </w:rPr>
                    <w:t>109</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
  <w:smartTagType w:namespaceuri="urn:schemas-microsoft-com:office:smarttags" w:name="metricconverter"/>
  <w:shapeDefaults>
    <o:shapedefaults v:ext="edit" spidmax="1026"/>
    <o:shapelayout v:ext="edit">
      <o:idmap v:ext="edit" data="1"/>
    </o:shapelayout>
  </w:shapeDefaults>
  <w:decimalSymbol w:val=","/>
  <w:listSeparator w:val=";"/>
  <w14:docId w14:val="0CD1FEAD"/>
  <w15:docId w15:val="{9B719643-AC07-4080-9AFC-71BFF80FFBD4}"/>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433.xml"/>
  <Relationship Id="rId11" Type="http://schemas.openxmlformats.org/officeDocument/2006/relationships/header" Target="header434.xml"/>
  <Relationship Id="rId12" Type="http://schemas.openxmlformats.org/officeDocument/2006/relationships/footer" Target="footer433.xml"/>
  <Relationship Id="rId13" Type="http://schemas.openxmlformats.org/officeDocument/2006/relationships/footer" Target="footer434.xml"/>
  <Relationship Id="rId14" Type="http://schemas.openxmlformats.org/officeDocument/2006/relationships/header" Target="header435.xml"/>
  <Relationship Id="rId15" Type="http://schemas.openxmlformats.org/officeDocument/2006/relationships/footer" Target="footer435.xml"/>
  <Relationship Id="rId16"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c6085bad4c044649ad1ae75278fa7269">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77fb3cea693140fa8b6eea605f6c585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66dab64169194e4494d2d159475ecafb">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62c73b6f0d3a48b0b929145adf628298"/>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cf7fa226b3ee4c09871b8323239b1256"/>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41c8962aeb144875b03ec5feb3ab5a64"/>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b69404c4529043f987fdef267bb16ba7"/>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71a16fc894427caee9d4094f9286f3"/>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89f6e9e9f0f3442da776fc7af9b951fd"/>
    <Part Type="punktas" Nr="55-1" Abbr="55-1 p." DocPartId="266f0fb1f2b645f6a85f25b24935f6c7" PartId="61e11a116f7c44ec876c1bb889928380"/>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0a4be9ed783b41a78da47722d06ca93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03b23a87151340f0b3f1c85400b4208a" PartId="9414595ad0be470ea37a673792ba2197"/>
    <Part Type="punktas" Nr="105" Abbr="pr. 105 p." DocPartId="23f1cf36b74a46928afebb23db34c1a6" PartId="5e83ea7d25ce4354a38ca7175915c5e9"/>
    <Part Type="punktas" Nr="105-1" Abbr="pr. 105-1 p." DocPartId="f82e818b2e39403885e1f21cebbaf287" PartId="abfae377e2cf4d83b2c334a15a4ddd1c"/>
    <Part Type="strDalis" Nr="106" Abbr="pr. 106 d." DocPartId="947a5b2f34e14d00a09544f9b0187960" PartId="b4fef90beef44b10a0260c88ea4f7d3d"/>
    <Part Type="punktas" Nr="106-1" Abbr="pr. 106-1 p." DocPartId="176cdb84e2b14b83bbc6a6e5683a79a6" PartId="c3c86eff2b824d26ae201f4d996a2af5"/>
    <Part Type="punktas" Nr="107" Abbr="pr. 107 p." DocPartId="178dab2b9eec440e8275aee604ae6bc1" PartId="d86ad140c526444ea9fe049d1433a746"/>
    <Part Type="punktas" Nr="108" Abbr="pr. 108 p." DocPartId="e12a3369f53749dbb40c6fa84a25d7b7" PartId="00cebc3473da4840b2210d0e53ad302a"/>
    <Part Type="punktas" Nr="109" Abbr="pr. 109 p." DocPartId="4f3c8a2eac41407eba52fc80ec393179" PartId="cc97704cb87c404bb9880dba81e8c0b5"/>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7459C87-35B4-4AAA-8C60-D1EAC4A62D3C}">
  <ds:schemaRefs>
    <ds:schemaRef ds:uri="http://lrs.lt/TAIS/DocParts"/>
  </ds:schemaRefs>
</ds:datastoreItem>
</file>

<file path=customXml/itemProps3.xml><?xml version="1.0" encoding="utf-8"?>
<ds:datastoreItem xmlns:ds="http://schemas.openxmlformats.org/officeDocument/2006/customXml" ds:itemID="{4BE78947-3FFF-4BC0-8A52-B9B97D1F148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476</TotalTime>
  <Pages>426</Pages>
  <Words>128845</Words>
  <Characters>930712</Characters>
  <Application>Microsoft Office Word</Application>
  <DocSecurity>0</DocSecurity>
  <Lines>7755</Lines>
  <Paragraphs>2114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1057443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2021-12-04T13:04:00Z</dcterms:modified>
  <revision>285</revision>
</coreProperties>
</file>