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2024-07-02 iki 2024-07-07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560ef00db0ad429f92f4317545caef26"/>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60ef00db0ad429f92f4317545caef26"/>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5c220b2b42404fdca7586a8c5831ee2d"/>
                        <w:lock w:val="sdtLocked"/>
                        <w:richText/>
                      </w:sdtPr>
                      <w:sdtContent>
                        <w:p>
                          <w:pPr>
                            <w:widowControl w:val="0"/>
                            <w:spacing w:line="360" w:lineRule="auto"/>
                            <w:ind w:firstLine="720"/>
                            <w:jc w:val="both"/>
                            <w:rPr>
                              <w:szCs w:val="24"/>
                            </w:rPr>
                          </w:pPr>
                          <w:sdt>
                            <w:sdtPr>
                              <w:alias w:val="Numeris"/>
                              <w:tag w:val="nr_5c220b2b42404fdca7586a8c5831ee2d"/>
                              <w:lock w:val="sdtLocked"/>
                              <w:richText/>
                            </w:sdtPr>
                            <w:sdtContent>
                              <w:r>
                                <w:rPr>
                                  <w:szCs w:val="24"/>
                                </w:rPr>
                                <w:t>1</w:t>
                              </w:r>
                            </w:sdtContent>
                          </w:sdt>
                          <w:r>
                            <w:rPr>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t>217</w:t>
                          </w:r>
                          <w:r>
                            <w:rPr>
                              <w:vertAlign w:val="superscript"/>
                            </w:rPr>
                            <w:t>2</w:t>
                          </w:r>
                          <w:r>
                            <w:t xml:space="preserve"> straipsnio </w:t>
                          </w:r>
                          <w:r>
                            <w:rPr>
                              <w:rFonts w:ascii="TimesLT" w:hAnsi="TimesLT"/>
                            </w:rPr>
                            <w:t>1 dalyje</w:t>
                          </w:r>
                          <w:r>
                            <w:t>,</w:t>
                          </w:r>
                          <w:r>
                            <w:rPr>
                              <w:szCs w:val="24"/>
                            </w:rPr>
                            <w:t xml:space="preserve"> 228 straipsnyje, 235 straipsnio 3 dalyje, 247 straipsnio 1 ir 2 dalyse, 258 straipsnyje, 261 straipsnio 1 dalyje, 278 straipsnyje, 279 straipsnio 1 dalyje, 283 straipsnyje, 284 straipsnio 1 dalyje, 287 straipsnyje,</w:t>
                          </w:r>
                          <w:r>
                            <w:rPr>
                              <w:szCs w:val="24"/>
                              <w:lang w:eastAsia="en-GB"/>
                            </w:rPr>
                            <w:t xml:space="preserve"> 291 straipsnio 1 dalyje, 294 straipsnio 1 ir 2 dalyse, 295 straipsnio 4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04b55e40424441ee93ddd4f22685eb1e"/>
                    <w:lock w:val="sdtLocked"/>
                    <w:richText/>
                  </w:sdtPr>
                  <w:sdtContent>
                    <w:p>
                      <w:pPr>
                        <w:pStyle w:val="PlainText"/>
                        <w:ind w:firstLine="567"/>
                        <w:jc w:val="both"/>
                        <w:rPr>
                          <w:rFonts w:ascii="Arial" w:hAnsi="Arial"/>
                          <w:b/>
                          <w:bCs/>
                          <w:sz w:val="22"/>
                        </w:rPr>
                      </w:pPr>
                      <w:r>
                        <w:rPr>
                          <w:rFonts w:ascii="Arial" w:hAnsi="Arial"/>
                          <w:b/>
                          <w:sz w:val="22"/>
                        </w:rPr>
                        <w:t>96</w:t>
                      </w:r>
                      <w:r>
                        <w:rPr>
                          <w:rFonts w:ascii="Arial" w:hAnsi="Arial"/>
                          <w:b/>
                          <w:vertAlign w:val="superscript"/>
                          <w:sz w:val="22"/>
                        </w:rPr>
                        <w:t>1</w:t>
                      </w:r>
                      <w:r>
                        <w:rPr>
                          <w:rFonts w:ascii="Arial" w:hAnsi="Arial"/>
                          <w:b/>
                          <w:sz w:val="22"/>
                        </w:rPr>
                        <w:t xml:space="preserve"> straipsnis.</w:t>
                      </w:r>
                      <w:r>
                        <w:rPr>
                          <w:rFonts w:ascii="Arial" w:eastAsia="MS Mincho" w:hAnsi="Arial"/>
                          <w:sz w:val="20"/>
                          <w:i/>
                          <w:iCs/>
                        </w:rPr>
                        <w:t xml:space="preserve"> Neteko galios nuo 2024-07-01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de1e235c8e31407b89674cd734e1241f"/>
                    <w:lock w:val="sdtLocked"/>
                    <w:richText/>
                  </w:sdtPr>
                  <w:sdtContent>
                    <w:p>
                      <w:pPr>
                        <w:widowControl w:val="0"/>
                        <w:spacing w:line="360" w:lineRule="auto"/>
                        <w:ind w:firstLine="720"/>
                        <w:jc w:val="both"/>
                        <w:rPr>
                          <w:szCs w:val="24"/>
                        </w:rPr>
                      </w:pPr>
                      <w:sdt>
                        <w:sdtPr>
                          <w:alias w:val="Numeris"/>
                          <w:tag w:val="nr_de1e235c8e31407b89674cd734e1241f"/>
                          <w:lock w:val="sdtLocked"/>
                          <w:richText/>
                        </w:sdtPr>
                        <w:sdtContent>
                          <w:r>
                            <w:rPr>
                              <w:b/>
                              <w:szCs w:val="24"/>
                            </w:rPr>
                            <w:t>242</w:t>
                          </w:r>
                        </w:sdtContent>
                      </w:sdt>
                      <w:r>
                        <w:rPr>
                          <w:b/>
                          <w:szCs w:val="24"/>
                        </w:rPr>
                        <w:t xml:space="preserve"> straipsnis. </w:t>
                      </w:r>
                      <w:sdt>
                        <w:sdtPr>
                          <w:alias w:val="Pavadinimas"/>
                          <w:tag w:val="title_de1e235c8e31407b89674cd734e1241f"/>
                          <w:lock w:val="sdtLocked"/>
                          <w:richText/>
                        </w:sdtPr>
                        <w:sdtContent>
                          <w:r>
                            <w:rPr>
                              <w:b/>
                              <w:szCs w:val="24"/>
                            </w:rPr>
                            <w:t>Teršalų išmetimas į aplinkos orą</w:t>
                          </w:r>
                        </w:sdtContent>
                      </w:sdt>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1"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2"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3"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963850e2cf11eead77e967e3995264">
                            <w:r w:rsidRPr="00532B9F">
                              <w:rPr>
                                <w:rFonts w:ascii="Arial" w:eastAsia="MS Mincho" w:hAnsi="Arial"/>
                                <w:sz w:val="20"/>
                                <w:i/>
                                <w:iCs/>
                                <w:color w:val="0000FF" w:themeColor="hyperlink"/>
                                <w:u w:val="single"/>
                              </w:rPr>
                              <w:t>XIV-2485</w:t>
                            </w:r>
                          </w:fldSimple>
                          <w:r>
                            <w:rPr>
                              <w:rFonts w:ascii="Arial" w:eastAsia="MS Mincho" w:hAnsi="Arial"/>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Arial" w:hAnsi="Arial"/>
                          <w:b/>
                          <w:bCs/>
                          <w:sz w:val="22"/>
                        </w:rPr>
                      </w:pPr>
                      <w:r>
                        <w:rPr>
                          <w:rFonts w:ascii="Arial" w:hAnsi="Arial"/>
                          <w:b/>
                          <w:sz w:val="22"/>
                        </w:rPr>
                        <w:t>304</w:t>
                      </w:r>
                      <w:r>
                        <w:rPr>
                          <w:rFonts w:ascii="Arial" w:hAnsi="Arial"/>
                          <w:b/>
                          <w:sz w:val="22"/>
                        </w:rPr>
                        <w:t xml:space="preserve"> straipsnis.</w:t>
                      </w:r>
                      <w:r>
                        <w:rPr>
                          <w:rFonts w:ascii="Arial" w:eastAsia="MS Mincho" w:hAnsi="Arial"/>
                          <w:sz w:val="20"/>
                          <w:i/>
                          <w:iCs/>
                        </w:rPr>
                        <w:t xml:space="preserve"> Neteko galios nuo 2024-07-02</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4"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5"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6"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507c70a16411eea5a28c81c82193a8">
                            <w:r w:rsidRPr="00532B9F">
                              <w:rPr>
                                <w:rFonts w:ascii="Arial" w:eastAsia="MS Mincho" w:hAnsi="Arial"/>
                                <w:sz w:val="20"/>
                                <w:i/>
                                <w:iCs/>
                                <w:color w:val="0000FF" w:themeColor="hyperlink"/>
                                <w:u w:val="single"/>
                              </w:rPr>
                              <w:t>XIV-2356</w:t>
                            </w:r>
                          </w:fldSimple>
                          <w:r>
                            <w:rPr>
                              <w:rFonts w:ascii="Arial" w:eastAsia="MS Mincho" w:hAnsi="Arial"/>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7e2540299011efbdaea558de59136c">
                        <w:r w:rsidRPr="00532B9F">
                          <w:rPr>
                            <w:rFonts w:ascii="Arial" w:eastAsia="MS Mincho" w:hAnsi="Arial"/>
                            <w:sz w:val="20"/>
                            <w:i/>
                            <w:iCs/>
                            <w:color w:val="0000FF" w:themeColor="hyperlink"/>
                            <w:u w:val="single"/>
                          </w:rPr>
                          <w:t>XIV-2684</w:t>
                        </w:r>
                      </w:fldSimple>
                      <w:r>
                        <w:rPr>
                          <w:rFonts w:ascii="Arial" w:eastAsia="MS Mincho" w:hAnsi="Arial"/>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a557c0ec1811ee9f5b8ffa077f9188">
                        <w:r w:rsidRPr="00532B9F">
                          <w:rPr>
                            <w:rFonts w:ascii="Arial" w:eastAsia="MS Mincho" w:hAnsi="Arial"/>
                            <w:sz w:val="20"/>
                            <w:i/>
                            <w:iCs/>
                            <w:color w:val="0000FF" w:themeColor="hyperlink"/>
                            <w:u w:val="single"/>
                          </w:rPr>
                          <w:t>XIV-2502</w:t>
                        </w:r>
                      </w:fldSimple>
                      <w:r>
                        <w:rPr>
                          <w:rFonts w:ascii="Arial" w:eastAsia="MS Mincho" w:hAnsi="Arial"/>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4"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5"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6"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9"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40"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6fed5f080cea400abd5b99ae346a55d7"/>
                            <w:lock w:val="sdtLocked"/>
                            <w:richText/>
                          </w:sdtPr>
                          <w:sdtContent>
                            <w:p>
                              <w:pPr>
                                <w:spacing w:line="360" w:lineRule="auto"/>
                                <w:ind w:firstLine="720"/>
                                <w:jc w:val="both"/>
                                <w:rPr>
                                  <w:szCs w:val="24"/>
                                </w:rPr>
                              </w:pPr>
                              <w:sdt>
                                <w:sdtPr>
                                  <w:alias w:val="Numeris"/>
                                  <w:tag w:val="nr_6fed5f080cea400abd5b99ae346a55d7"/>
                                  <w:lock w:val="sdtLocked"/>
                                  <w:richText/>
                                </w:sdtPr>
                                <w:sdtContent>
                                  <w:r>
                                    <w:t>58</w:t>
                                  </w:r>
                                </w:sdtContent>
                              </w:sdt>
                              <w:r>
                                <w:t>) Valstybinės darbo inspekcijos prie Socialinės apsaugos ir darbo ministerijos – dėl šio kodekso 47</w:t>
                              </w:r>
                              <w:r>
                                <w:rPr>
                                  <w:vertAlign w:val="superscript"/>
                                </w:rPr>
                                <w:t xml:space="preserve">1 </w:t>
                              </w:r>
                              <w:r>
                                <w:t>straipsnyje, 72 straipsnio 3 dalyje, 95, 96, 97, 98, 98</w:t>
                              </w:r>
                              <w:r>
                                <w:rPr>
                                  <w:vertAlign w:val="superscript"/>
                                </w:rPr>
                                <w:t>1</w:t>
                              </w:r>
                              <w:r>
                                <w:t>, 99, 100, 101,</w:t>
                              </w:r>
                              <w:r>
                                <w:rPr>
                                  <w:b/>
                                  <w:bCs/>
                                </w:rPr>
                                <w:t xml:space="preserve"> </w:t>
                              </w:r>
                              <w:r>
                                <w:t>102, 103, 104, 105, 106, 127, 150, 224 straipsniuose, 234 straipsnio 4 dalyje, 308 straipsnio 1, 2, 11, 16, 19, 20, 21, 22 dalyse, 308</w:t>
                              </w:r>
                              <w:r>
                                <w:rPr>
                                  <w:vertAlign w:val="superscript"/>
                                </w:rPr>
                                <w:t>1</w:t>
                              </w:r>
                              <w:r>
                                <w:t xml:space="preserve"> straipsnio 4, 6, 7 dalyse, 362</w:t>
                              </w:r>
                              <w:r>
                                <w:rPr>
                                  <w:vertAlign w:val="superscript"/>
                                </w:rPr>
                                <w:t>1</w:t>
                              </w:r>
                              <w:r>
                                <w:t xml:space="preserve"> straipsnyje, 453 straipsnio 10, 11 dalyse, 455, 505, 507 straipsniuose, 542 straipsnio 2, 3 dalyse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683cc7cb2572413f807def8fbdec50b4"/>
                            <w:lock w:val="sdtLocked"/>
                            <w:richText/>
                          </w:sdtPr>
                          <w:sdtContent>
                            <w:p>
                              <w:pPr>
                                <w:spacing w:line="360" w:lineRule="auto"/>
                                <w:ind w:firstLine="720"/>
                                <w:jc w:val="both"/>
                                <w:rPr>
                                  <w:szCs w:val="24"/>
                                </w:rPr>
                              </w:pPr>
                              <w:sdt>
                                <w:sdtPr>
                                  <w:alias w:val="Numeris"/>
                                  <w:tag w:val="nr_683cc7cb2572413f807def8fbdec50b4"/>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180, 187,</w:t>
                              </w:r>
                              <w:r>
                                <w:rPr>
                                  <w:bCs/>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xml:space="preserve">, </w:t>
                              </w:r>
                              <w:r>
                                <w:rPr>
                                  <w:bCs/>
                                  <w:szCs w:val="24"/>
                                </w:rPr>
                                <w:t>188</w:t>
                              </w:r>
                              <w:r>
                                <w:rPr>
                                  <w:bCs/>
                                  <w:szCs w:val="24"/>
                                  <w:vertAlign w:val="superscript"/>
                                </w:rPr>
                                <w:t>5</w:t>
                              </w:r>
                              <w:r>
                                <w:rPr>
                                  <w:bCs/>
                                  <w:szCs w:val="24"/>
                                </w:rPr>
                                <w:t>,</w:t>
                              </w:r>
                              <w:r>
                                <w:rPr>
                                  <w:szCs w:val="24"/>
                                </w:rPr>
                                <w:t xml:space="preserve">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3ae0033b939f4f55afc1f48d634372ff"/>
                            <w:lock w:val="sdtLocked"/>
                            <w:richText/>
                          </w:sdtPr>
                          <w:sdtContent>
                            <w:p>
                              <w:pPr>
                                <w:spacing w:line="360" w:lineRule="auto"/>
                                <w:ind w:firstLine="720"/>
                                <w:jc w:val="both"/>
                              </w:pPr>
                              <w:sdt>
                                <w:sdtPr>
                                  <w:alias w:val="Numeris"/>
                                  <w:tag w:val="nr_3ae0033b939f4f55afc1f48d634372ff"/>
                                  <w:lock w:val="sdtLocked"/>
                                  <w:richText/>
                                </w:sdtPr>
                                <w:sdtContent>
                                  <w:r>
                                    <w:t>82</w:t>
                                  </w:r>
                                </w:sdtContent>
                              </w:sdt>
                              <w:r>
                                <w:t>)</w:t>
                              </w:r>
                              <w:r>
                                <w:rPr>
                                  <w:lang w:eastAsia="lt-LT"/>
                                </w:rPr>
                                <w:t xml:space="preserve"> savivaldybių administracijų – dėl šio kodekso 45, 46, 48, 78, 114 st</w:t>
                              </w:r>
                              <w:r>
                                <w:rPr>
                                  <w:bCs/>
                                  <w:lang w:eastAsia="lt-LT"/>
                                </w:rPr>
                                <w:t>r</w:t>
                              </w:r>
                              <w:r>
                                <w:rPr>
                                  <w:lang w:eastAsia="lt-LT"/>
                                </w:rPr>
                                <w:t xml:space="preserve">aipsniuose, 144 straipsnio 1, 4, 5 dalyse, 148, 149, 150, 152, 153, 154, 155, 156, 166, 167, 168 straipsniuose, 205 straipsnio 7 dalyje, 223, 224 straipsniuose, 225 straipsnio 1 dalyje, </w:t>
                              </w:r>
                              <w:r>
                                <w:rPr>
                                  <w:bCs/>
                                  <w:lang w:eastAsia="lt-LT"/>
                                </w:rPr>
                                <w:t>268 straipsnio 7, 8 dalyse</w:t>
                              </w:r>
                              <w:r>
                                <w:rPr>
                                  <w:lang w:eastAsia="lt-LT"/>
                                </w:rPr>
                                <w:t>, 281, 286, 290, 291, 292, 294, 295, 296, 297, 298, 319, 332 straipsniuose, 333 straipsnio 7 dalyje, 335, 336, 344, 346, 347, 348, 349, 350, 359, 360, 365, 366, 367, 368 straipsniuose, 369 straipsnio 1, 2, 3, 4 dalyse, 371, 414 straipsniuose, 417 straipsnio 2, 2</w:t>
                              </w:r>
                              <w:r>
                                <w:rPr>
                                  <w:vertAlign w:val="superscript"/>
                                  <w:lang w:eastAsia="lt-LT"/>
                                </w:rPr>
                                <w:t>1</w:t>
                              </w:r>
                              <w:r>
                                <w:rPr>
                                  <w:lang w:eastAsia="lt-LT"/>
                                </w:rPr>
                                <w:t xml:space="preserve"> dalyse, 418, 419 straipsniuose, 426 straipsnio 4 dalyje, 431 straipsnyje, 434 straipsnio 2 dalyje, 439, 446, 447 straipsniuose, 448 straipsnio 1, 2, 3, 4, 5, 6, 7, 8 dalyse, 449, 449</w:t>
                              </w:r>
                              <w:r>
                                <w:rPr>
                                  <w:vertAlign w:val="superscript"/>
                                  <w:lang w:eastAsia="lt-LT"/>
                                </w:rPr>
                                <w:t>1</w:t>
                              </w:r>
                              <w:r>
                                <w:rPr>
                                  <w:lang w:eastAsia="lt-LT"/>
                                </w:rPr>
                                <w:t>, 457, 459, 484, 484</w:t>
                              </w:r>
                              <w:r>
                                <w:rPr>
                                  <w:vertAlign w:val="superscript"/>
                                  <w:lang w:eastAsia="lt-LT"/>
                                </w:rPr>
                                <w:t>1</w:t>
                              </w:r>
                              <w:r>
                                <w:rPr>
                                  <w:lang w:eastAsia="lt-LT"/>
                                </w:rPr>
                                <w:t>, 485, 488, 491, 492, 497, 498, 499, 500, 501, 502, 503, 505, 505</w:t>
                              </w:r>
                              <w:r>
                                <w:rPr>
                                  <w:vertAlign w:val="superscript"/>
                                  <w:lang w:eastAsia="lt-LT"/>
                                </w:rPr>
                                <w:t>1</w:t>
                              </w:r>
                              <w:r>
                                <w:rPr>
                                  <w:lang w:eastAsia="lt-LT"/>
                                </w:rPr>
                                <w:t>, 507, 507</w:t>
                              </w:r>
                              <w:r>
                                <w:rPr>
                                  <w:vertAlign w:val="superscript"/>
                                  <w:lang w:eastAsia="lt-LT"/>
                                </w:rPr>
                                <w:t>1</w:t>
                              </w:r>
                              <w:r>
                                <w:rPr>
                                  <w:lang w:eastAsia="lt-LT"/>
                                </w:rPr>
                                <w:t>, 516, 517</w:t>
                              </w:r>
                              <w:r>
                                <w:rPr>
                                  <w:vertAlign w:val="superscript"/>
                                  <w:lang w:eastAsia="lt-LT"/>
                                </w:rPr>
                                <w:t>1</w:t>
                              </w:r>
                              <w:r>
                                <w:rPr>
                                  <w:lang w:eastAsia="lt-LT"/>
                                </w:rPr>
                                <w:t>, 517</w:t>
                              </w:r>
                              <w:r>
                                <w:rPr>
                                  <w:vertAlign w:val="superscript"/>
                                  <w:lang w:eastAsia="lt-LT"/>
                                </w:rPr>
                                <w:t>2</w:t>
                              </w:r>
                              <w:r>
                                <w:rPr>
                                  <w:lang w:eastAsia="lt-LT"/>
                                </w:rPr>
                                <w:t>, 517</w:t>
                              </w:r>
                              <w:r>
                                <w:rPr>
                                  <w:vertAlign w:val="superscript"/>
                                  <w:lang w:eastAsia="lt-LT"/>
                                </w:rPr>
                                <w:t>3</w:t>
                              </w:r>
                              <w:r>
                                <w:rPr>
                                  <w:lang w:eastAsia="lt-LT"/>
                                </w:rPr>
                                <w:t>, 517</w:t>
                              </w:r>
                              <w:r>
                                <w:rPr>
                                  <w:vertAlign w:val="superscript"/>
                                  <w:lang w:eastAsia="lt-LT"/>
                                </w:rPr>
                                <w:t>4</w:t>
                              </w:r>
                              <w:r>
                                <w:rPr>
                                  <w:lang w:eastAsia="lt-LT"/>
                                </w:rPr>
                                <w:t>, 518, 519, 526, 526</w:t>
                              </w:r>
                              <w:r>
                                <w:rPr>
                                  <w:vertAlign w:val="superscript"/>
                                  <w:lang w:eastAsia="lt-LT"/>
                                </w:rPr>
                                <w:t>1</w:t>
                              </w:r>
                              <w:r>
                                <w:rPr>
                                  <w:lang w:eastAsia="lt-LT"/>
                                </w:rPr>
                                <w:t>, 529, 530, 546, 549 straipsniuose numatytų administracinių nusižengimų</w:t>
                              </w:r>
                              <w: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4015502edb11efbdaea558de59136c">
                            <w:r w:rsidRPr="00532B9F">
                              <w:rPr>
                                <w:rFonts w:ascii="Arial" w:eastAsia="MS Mincho" w:hAnsi="Arial"/>
                                <w:sz w:val="20"/>
                                <w:i/>
                                <w:iCs/>
                                <w:color w:val="0000FF" w:themeColor="hyperlink"/>
                                <w:u w:val="single"/>
                              </w:rPr>
                              <w:t>XIV-2748</w:t>
                            </w:r>
                          </w:fldSimple>
                          <w:r>
                            <w:rPr>
                              <w:rFonts w:ascii="Arial" w:eastAsia="MS Mincho" w:hAnsi="Arial"/>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7"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Arial" w:hAnsi="Arial"/>
                  <w:b/>
                  <w:bCs/>
                  <w:sz w:val="22"/>
                </w:rPr>
              </w:pPr>
              <w:r>
                <w:rPr>
                  <w:rFonts w:ascii="Arial" w:hAnsi="Arial"/>
                  <w:sz w:val="22"/>
                </w:rPr>
                <w:t>84</w:t>
              </w:r>
              <w:r>
                <w:rPr>
                  <w:rFonts w:ascii="Arial" w:hAnsi="Arial"/>
                  <w:sz w:val="22"/>
                </w:rPr>
                <w:t>.</w:t>
              </w:r>
              <w:r>
                <w:rPr>
                  <w:rFonts w:ascii="Arial" w:eastAsia="MS Mincho" w:hAnsi="Arial"/>
                  <w:sz w:val="20"/>
                  <w:i/>
                  <w:iCs/>
                </w:rPr>
                <w:t xml:space="preserve"> Neteko galios nuo 2024-07-02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8"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9" w:tgtFrame="_blank" w:history="1">
                <w:r>
                  <w:rPr>
                    <w:bCs/>
                    <w:color w:val="0000FF" w:themeColor="hyperlink"/>
                    <w:szCs w:val="24"/>
                    <w:u w:val="single"/>
                  </w:rPr>
                  <w:t>(ES) 2019/1937</w:t>
                </w:r>
              </w:hyperlink>
              <w:r>
                <w:rPr>
                  <w:bCs/>
                  <w:szCs w:val="24"/>
                </w:rPr>
                <w:t xml:space="preserve"> ir panaikinamas Reglamentas </w:t>
              </w:r>
              <w:hyperlink r:id="rId50" w:tgtFrame="_blank" w:history="1">
                <w:r>
                  <w:rPr>
                    <w:bCs/>
                    <w:color w:val="0000FF" w:themeColor="hyperlink"/>
                    <w:szCs w:val="24"/>
                    <w:u w:val="single"/>
                  </w:rPr>
                  <w:t>(ES) Nr. 517/2014</w:t>
                </w:r>
              </w:hyperlink>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jc w:val="both"/>
            <w:rPr>
              <w:rFonts w:ascii="Arial" w:hAnsi="Arial"/>
            </w:rPr>
          </w:pPr>
          <w:r>
            <w:rPr>
              <w:rFonts w:ascii="Arial" w:hAnsi="Arial"/>
              <w:sz w:val="20"/>
            </w:rPr>
            <w:t>222.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fda410ec1611ee9f5b8ffa077f9188">
            <w:r w:rsidRPr="00532B9F">
              <w:rPr>
                <w:rFonts w:ascii="Arial" w:eastAsia="MS Mincho" w:hAnsi="Arial"/>
                <w:sz w:val="20"/>
                <w:iCs/>
                <w:color w:val="0000FF" w:themeColor="hyperlink"/>
                <w:u w:val="single"/>
              </w:rPr>
              <w:t>XIV-2501</w:t>
            </w:r>
          </w:fldSimple>
          <w:r>
            <w:rPr>
              <w:rFonts w:ascii="Arial" w:eastAsia="MS Mincho" w:hAnsi="Arial"/>
              <w:sz w:val="20"/>
              <w:iCs/>
            </w:rPr>
            <w:t>,
2024-03-21,
paskelbta TAR 2024-03-27, i. k. 2024-05460                </w:t>
          </w:r>
        </w:p>
        <w:p>
          <w:pPr>
            <w:jc w:val="both"/>
            <w:rPr>
              <w:rFonts w:ascii="Arial" w:hAnsi="Arial"/>
            </w:rPr>
          </w:pPr>
          <w:r>
            <w:rPr>
              <w:rFonts w:ascii="Arial" w:hAnsi="Arial"/>
              <w:sz w:val="20"/>
            </w:rPr>
            <w:t>Lietuvos Respublikos administracinių nusižengimų kodekso 66 ir 67 straipsnių pakeitimo įstatymas</w:t>
          </w:r>
        </w:p>
        <w:p>
          <w:pPr>
            <w:jc w:val="both"/>
            <w:rPr>
              <w:rFonts w:ascii="Arial" w:hAnsi="Arial"/>
              <w:sz w:val="20"/>
            </w:rPr>
          </w:pPr>
        </w:p>
        <w:p>
          <w:pPr>
            <w:jc w:val="both"/>
            <w:rPr>
              <w:rFonts w:ascii="Arial" w:hAnsi="Arial"/>
            </w:rPr>
          </w:pPr>
          <w:r>
            <w:rPr>
              <w:rFonts w:ascii="Arial" w:hAnsi="Arial"/>
              <w:sz w:val="20"/>
            </w:rPr>
            <w:t>223.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a557c0ec1811ee9f5b8ffa077f9188">
            <w:r w:rsidRPr="00532B9F">
              <w:rPr>
                <w:rFonts w:ascii="Arial" w:eastAsia="MS Mincho" w:hAnsi="Arial"/>
                <w:sz w:val="20"/>
                <w:iCs/>
                <w:color w:val="0000FF" w:themeColor="hyperlink"/>
                <w:u w:val="single"/>
              </w:rPr>
              <w:t>XIV-2502</w:t>
            </w:r>
          </w:fldSimple>
          <w:r>
            <w:rPr>
              <w:rFonts w:ascii="Arial" w:eastAsia="MS Mincho" w:hAnsi="Arial"/>
              <w:sz w:val="20"/>
              <w:iCs/>
            </w:rPr>
            <w:t>,
2024-03-21,
paskelbta TAR 2024-03-27, i. k. 2024-05466                </w:t>
          </w:r>
        </w:p>
        <w:p>
          <w:pPr>
            <w:jc w:val="both"/>
            <w:rPr>
              <w:rFonts w:ascii="Arial" w:hAnsi="Arial"/>
            </w:rPr>
          </w:pPr>
          <w:r>
            <w:rPr>
              <w:rFonts w:ascii="Arial" w:hAnsi="Arial"/>
              <w:sz w:val="20"/>
            </w:rPr>
            <w:t>Lietuvos Respublikos administracinių nusižengimų kodekso 349 straipsnio pakeitimo įstatymas</w:t>
          </w:r>
        </w:p>
        <w:p>
          <w:pPr>
            <w:jc w:val="both"/>
            <w:rPr>
              <w:rFonts w:ascii="Arial" w:hAnsi="Arial"/>
              <w:sz w:val="20"/>
            </w:rPr>
          </w:pPr>
        </w:p>
        <w:p>
          <w:pPr>
            <w:jc w:val="both"/>
            <w:rPr>
              <w:rFonts w:ascii="Arial" w:hAnsi="Arial"/>
            </w:rPr>
          </w:pPr>
          <w:r>
            <w:rPr>
              <w:rFonts w:ascii="Arial" w:hAnsi="Arial"/>
              <w:sz w:val="20"/>
            </w:rPr>
            <w:t>224.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963850e2cf11eead77e967e3995264">
            <w:r w:rsidRPr="00532B9F">
              <w:rPr>
                <w:rFonts w:ascii="Arial" w:eastAsia="MS Mincho" w:hAnsi="Arial"/>
                <w:sz w:val="20"/>
                <w:iCs/>
                <w:color w:val="0000FF" w:themeColor="hyperlink"/>
                <w:u w:val="single"/>
              </w:rPr>
              <w:t>XIV-2485</w:t>
            </w:r>
          </w:fldSimple>
          <w:r>
            <w:rPr>
              <w:rFonts w:ascii="Arial" w:eastAsia="MS Mincho" w:hAnsi="Arial"/>
              <w:sz w:val="20"/>
              <w:iCs/>
            </w:rPr>
            <w:t>,
2024-03-14,
paskelbta TAR 2024-03-15, i. k. 2024-04800                </w:t>
          </w:r>
        </w:p>
        <w:p>
          <w:pPr>
            <w:jc w:val="both"/>
            <w:rPr>
              <w:rFonts w:ascii="Arial" w:hAnsi="Arial"/>
            </w:rPr>
          </w:pPr>
          <w:r>
            <w:rPr>
              <w:rFonts w:ascii="Arial" w:hAnsi="Arial"/>
              <w:sz w:val="20"/>
            </w:rPr>
            <w:t>Lietuvos Respublikos administracinių nusižengimų kodekso 290 straipsnio pakeitimo įstatymas</w:t>
          </w:r>
        </w:p>
        <w:p>
          <w:pPr>
            <w:jc w:val="both"/>
            <w:rPr>
              <w:rFonts w:ascii="Arial" w:hAnsi="Arial"/>
              <w:sz w:val="20"/>
            </w:rPr>
          </w:pPr>
        </w:p>
        <w:p>
          <w:pPr>
            <w:jc w:val="both"/>
            <w:rPr>
              <w:rFonts w:ascii="Arial" w:hAnsi="Arial"/>
            </w:rPr>
          </w:pPr>
          <w:r>
            <w:rPr>
              <w:rFonts w:ascii="Arial" w:hAnsi="Arial"/>
              <w:sz w:val="20"/>
            </w:rPr>
            <w:t>225.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a48900f1bf11ee9f5b8ffa077f9188">
            <w:r w:rsidRPr="00532B9F">
              <w:rPr>
                <w:rFonts w:ascii="Arial" w:eastAsia="MS Mincho" w:hAnsi="Arial"/>
                <w:sz w:val="20"/>
                <w:iCs/>
                <w:color w:val="0000FF" w:themeColor="hyperlink"/>
                <w:u w:val="single"/>
              </w:rPr>
              <w:t>XIV-2518</w:t>
            </w:r>
          </w:fldSimple>
          <w:r>
            <w:rPr>
              <w:rFonts w:ascii="Arial" w:eastAsia="MS Mincho" w:hAnsi="Arial"/>
              <w:sz w:val="20"/>
              <w:iCs/>
            </w:rPr>
            <w:t>,
2024-03-28,
paskelbta TAR 2024-04-03, i. k. 2024-06307                </w:t>
          </w:r>
        </w:p>
        <w:p>
          <w:pPr>
            <w:jc w:val="both"/>
            <w:rPr>
              <w:rFonts w:ascii="Arial" w:hAnsi="Arial"/>
            </w:rPr>
          </w:pPr>
          <w:r>
            <w:rPr>
              <w:rFonts w:ascii="Arial" w:hAnsi="Arial"/>
              <w:sz w:val="20"/>
            </w:rPr>
            <w:t>Lietuvos Respublikos administracinių nusižengimų kodekso 589 straipsnio pakeitimo ir Kodekso papildymo 207-2 straipsniu įstatymas</w:t>
          </w:r>
        </w:p>
        <w:p>
          <w:pPr>
            <w:jc w:val="both"/>
            <w:rPr>
              <w:rFonts w:ascii="Arial" w:hAnsi="Arial"/>
              <w:sz w:val="20"/>
            </w:rPr>
          </w:pPr>
        </w:p>
        <w:p>
          <w:pPr>
            <w:jc w:val="both"/>
            <w:rPr>
              <w:rFonts w:ascii="Arial" w:hAnsi="Arial"/>
            </w:rPr>
          </w:pPr>
          <w:r>
            <w:rPr>
              <w:rFonts w:ascii="Arial" w:hAnsi="Arial"/>
              <w:sz w:val="20"/>
            </w:rPr>
            <w:t>226.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84114002dc11efbcbfb318996800a8">
            <w:r w:rsidRPr="00532B9F">
              <w:rPr>
                <w:rFonts w:ascii="Arial" w:eastAsia="MS Mincho" w:hAnsi="Arial"/>
                <w:sz w:val="20"/>
                <w:iCs/>
                <w:color w:val="0000FF" w:themeColor="hyperlink"/>
                <w:u w:val="single"/>
              </w:rPr>
              <w:t>XIV-2551</w:t>
            </w:r>
          </w:fldSimple>
          <w:r>
            <w:rPr>
              <w:rFonts w:ascii="Arial" w:eastAsia="MS Mincho" w:hAnsi="Arial"/>
              <w:sz w:val="20"/>
              <w:iCs/>
            </w:rPr>
            <w:t>,
2024-04-18,
paskelbta TAR 2024-04-25, i. k. 2024-07555                </w:t>
          </w:r>
        </w:p>
        <w:p>
          <w:pPr>
            <w:jc w:val="both"/>
            <w:rPr>
              <w:rFonts w:ascii="Arial" w:hAnsi="Arial"/>
            </w:rPr>
          </w:pPr>
          <w:r>
            <w:rPr>
              <w:rFonts w:ascii="Arial" w:hAnsi="Arial"/>
              <w:sz w:val="20"/>
            </w:rPr>
            <w:t>Lietuvos Respublikos administracinių nusižengimų kodekso 218 straipsnio pakeitimo įstatymas</w:t>
          </w:r>
        </w:p>
        <w:p>
          <w:pPr>
            <w:jc w:val="both"/>
            <w:rPr>
              <w:rFonts w:ascii="Arial" w:hAnsi="Arial"/>
              <w:sz w:val="20"/>
            </w:rPr>
          </w:pPr>
        </w:p>
        <w:p>
          <w:pPr>
            <w:jc w:val="both"/>
            <w:rPr>
              <w:rFonts w:ascii="Arial" w:hAnsi="Arial"/>
            </w:rPr>
          </w:pPr>
          <w:r>
            <w:rPr>
              <w:rFonts w:ascii="Arial" w:hAnsi="Arial"/>
              <w:sz w:val="20"/>
            </w:rPr>
            <w:t>227.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7d1de0087d11efbcbfb318996800a8">
            <w:r w:rsidRPr="00532B9F">
              <w:rPr>
                <w:rFonts w:ascii="Arial" w:eastAsia="MS Mincho" w:hAnsi="Arial"/>
                <w:sz w:val="20"/>
                <w:iCs/>
                <w:color w:val="0000FF" w:themeColor="hyperlink"/>
                <w:u w:val="single"/>
              </w:rPr>
              <w:t>XIV-2576</w:t>
            </w:r>
          </w:fldSimple>
          <w:r>
            <w:rPr>
              <w:rFonts w:ascii="Arial" w:eastAsia="MS Mincho" w:hAnsi="Arial"/>
              <w:sz w:val="20"/>
              <w:iCs/>
            </w:rPr>
            <w:t>,
2024-04-25,
paskelbta TAR 2024-05-02, i. k. 2024-08217                </w:t>
          </w:r>
        </w:p>
        <w:p>
          <w:pPr>
            <w:jc w:val="both"/>
            <w:rPr>
              <w:rFonts w:ascii="Arial" w:hAnsi="Arial"/>
            </w:rPr>
          </w:pPr>
          <w:r>
            <w:rPr>
              <w:rFonts w:ascii="Arial" w:hAnsi="Arial"/>
              <w:sz w:val="20"/>
            </w:rPr>
            <w:t>Lietuvos Respublikos administracinių nusižengimų kodekso 196 ir 589 straipsnių pakeitimo ir Kodekso papildymo 196-1 straipsniu įstatymas</w:t>
          </w:r>
        </w:p>
        <w:p>
          <w:pPr>
            <w:jc w:val="both"/>
            <w:rPr>
              <w:rFonts w:ascii="Arial" w:hAnsi="Arial"/>
              <w:sz w:val="20"/>
            </w:rPr>
          </w:pPr>
        </w:p>
        <w:p>
          <w:pPr>
            <w:jc w:val="both"/>
            <w:rPr>
              <w:rFonts w:ascii="Arial" w:hAnsi="Arial"/>
            </w:rPr>
          </w:pPr>
          <w:r>
            <w:rPr>
              <w:rFonts w:ascii="Arial" w:hAnsi="Arial"/>
              <w:sz w:val="20"/>
            </w:rPr>
            <w:t>228.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8c58b012be11efbcbfb318996800a8">
            <w:r w:rsidRPr="00532B9F">
              <w:rPr>
                <w:rFonts w:ascii="Arial" w:eastAsia="MS Mincho" w:hAnsi="Arial"/>
                <w:sz w:val="20"/>
                <w:iCs/>
                <w:color w:val="0000FF" w:themeColor="hyperlink"/>
                <w:u w:val="single"/>
              </w:rPr>
              <w:t>XIV-2622</w:t>
            </w:r>
          </w:fldSimple>
          <w:r>
            <w:rPr>
              <w:rFonts w:ascii="Arial" w:eastAsia="MS Mincho" w:hAnsi="Arial"/>
              <w:sz w:val="20"/>
              <w:iCs/>
            </w:rPr>
            <w:t>,
2024-05-09,
paskelbta TAR 2024-05-15, i. k. 2024-08912                </w:t>
          </w:r>
        </w:p>
        <w:p>
          <w:pPr>
            <w:jc w:val="both"/>
            <w:rPr>
              <w:rFonts w:ascii="Arial" w:hAnsi="Arial"/>
            </w:rPr>
          </w:pPr>
          <w:r>
            <w:rPr>
              <w:rFonts w:ascii="Arial" w:hAnsi="Arial"/>
              <w:sz w:val="20"/>
            </w:rPr>
            <w:t>Lietuvos Respublikos administracinių nusižengimų kodekso 351, 352, 353, 354, 355, 357, 358, 359 straipsnių pakeitimo įstatymas</w:t>
          </w:r>
        </w:p>
        <w:p>
          <w:pPr>
            <w:jc w:val="both"/>
            <w:rPr>
              <w:rFonts w:ascii="Arial" w:hAnsi="Arial"/>
              <w:sz w:val="20"/>
            </w:rPr>
          </w:pPr>
        </w:p>
        <w:p>
          <w:pPr>
            <w:jc w:val="both"/>
            <w:rPr>
              <w:rFonts w:ascii="Arial" w:hAnsi="Arial"/>
            </w:rPr>
          </w:pPr>
          <w:r>
            <w:rPr>
              <w:rFonts w:ascii="Arial" w:hAnsi="Arial"/>
              <w:sz w:val="20"/>
            </w:rPr>
            <w:t>229.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1e96c01e6411ef8b14c5bcce136045">
            <w:r w:rsidRPr="00532B9F">
              <w:rPr>
                <w:rFonts w:ascii="Arial" w:eastAsia="MS Mincho" w:hAnsi="Arial"/>
                <w:sz w:val="20"/>
                <w:iCs/>
                <w:color w:val="0000FF" w:themeColor="hyperlink"/>
                <w:u w:val="single"/>
              </w:rPr>
              <w:t>XIV-2662</w:t>
            </w:r>
          </w:fldSimple>
          <w:r>
            <w:rPr>
              <w:rFonts w:ascii="Arial" w:eastAsia="MS Mincho" w:hAnsi="Arial"/>
              <w:sz w:val="20"/>
              <w:iCs/>
            </w:rPr>
            <w:t>,
2024-05-16,
paskelbta TAR 2024-05-30, i. k. 2024-09703                </w:t>
          </w:r>
        </w:p>
        <w:p>
          <w:pPr>
            <w:jc w:val="both"/>
            <w:rPr>
              <w:rFonts w:ascii="Arial" w:hAnsi="Arial"/>
            </w:rPr>
          </w:pPr>
          <w:r>
            <w:rPr>
              <w:rFonts w:ascii="Arial" w:hAnsi="Arial"/>
              <w:sz w:val="20"/>
            </w:rPr>
            <w:t>Lietuvos Respublikos administracinių nusižengimų kodekso 242, 268, 286 ir 589 straipsnių pakeitimo įstatymas</w:t>
          </w:r>
        </w:p>
        <w:p>
          <w:pPr>
            <w:jc w:val="both"/>
            <w:rPr>
              <w:rFonts w:ascii="Arial" w:hAnsi="Arial"/>
              <w:sz w:val="20"/>
            </w:rPr>
          </w:pPr>
        </w:p>
        <w:p>
          <w:pPr>
            <w:jc w:val="both"/>
            <w:rPr>
              <w:rFonts w:ascii="Arial" w:hAnsi="Arial"/>
            </w:rPr>
          </w:pPr>
          <w:r>
            <w:rPr>
              <w:rFonts w:ascii="Arial" w:hAnsi="Arial"/>
              <w:sz w:val="20"/>
            </w:rPr>
            <w:t>230.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7e2540299011efbdaea558de59136c">
            <w:r w:rsidRPr="00532B9F">
              <w:rPr>
                <w:rFonts w:ascii="Arial" w:eastAsia="MS Mincho" w:hAnsi="Arial"/>
                <w:sz w:val="20"/>
                <w:iCs/>
                <w:color w:val="0000FF" w:themeColor="hyperlink"/>
                <w:u w:val="single"/>
              </w:rPr>
              <w:t>XIV-2684</w:t>
            </w:r>
          </w:fldSimple>
          <w:r>
            <w:rPr>
              <w:rFonts w:ascii="Arial" w:eastAsia="MS Mincho" w:hAnsi="Arial"/>
              <w:sz w:val="20"/>
              <w:iCs/>
            </w:rPr>
            <w:t>,
2024-06-06,
paskelbta TAR 2024-06-13, i. k. 2024-10822                </w:t>
          </w:r>
        </w:p>
        <w:p>
          <w:pPr>
            <w:jc w:val="both"/>
            <w:rPr>
              <w:rFonts w:ascii="Arial" w:hAnsi="Arial"/>
            </w:rPr>
          </w:pPr>
          <w:r>
            <w:rPr>
              <w:rFonts w:ascii="Arial" w:hAnsi="Arial"/>
              <w:sz w:val="20"/>
            </w:rPr>
            <w:t>Lietuvos Respublikos administracinių nusižengimų kodekso 307 straipsnio pakeitimo įstatymas</w:t>
          </w:r>
        </w:p>
        <w:p>
          <w:pPr>
            <w:jc w:val="both"/>
            <w:rPr>
              <w:rFonts w:ascii="Arial" w:hAnsi="Arial"/>
              <w:sz w:val="20"/>
            </w:rPr>
          </w:pPr>
        </w:p>
        <w:p>
          <w:pPr>
            <w:jc w:val="both"/>
            <w:rPr>
              <w:rFonts w:ascii="Arial" w:hAnsi="Arial"/>
            </w:rPr>
          </w:pPr>
          <w:r>
            <w:rPr>
              <w:rFonts w:ascii="Arial" w:hAnsi="Arial"/>
              <w:sz w:val="20"/>
            </w:rPr>
            <w:t>231.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d1f2601e5b11ef8b14c5bcce136045">
            <w:r w:rsidRPr="00532B9F">
              <w:rPr>
                <w:rFonts w:ascii="Arial" w:eastAsia="MS Mincho" w:hAnsi="Arial"/>
                <w:sz w:val="20"/>
                <w:iCs/>
                <w:color w:val="0000FF" w:themeColor="hyperlink"/>
                <w:u w:val="single"/>
              </w:rPr>
              <w:t>XIV-2653</w:t>
            </w:r>
          </w:fldSimple>
          <w:r>
            <w:rPr>
              <w:rFonts w:ascii="Arial" w:eastAsia="MS Mincho" w:hAnsi="Arial"/>
              <w:sz w:val="20"/>
              <w:iCs/>
            </w:rPr>
            <w:t>,
2024-05-16,
paskelbta TAR 2024-05-30, i. k. 2024-09691                </w:t>
          </w:r>
        </w:p>
        <w:p>
          <w:pPr>
            <w:jc w:val="both"/>
            <w:rPr>
              <w:rFonts w:ascii="Arial" w:hAnsi="Arial"/>
            </w:rPr>
          </w:pPr>
          <w:r>
            <w:rPr>
              <w:rFonts w:ascii="Arial" w:hAnsi="Arial"/>
              <w:sz w:val="20"/>
            </w:rPr>
            <w:t>Lietuvos Respublikos administracinių nusižengimų kodekso 95, 362-1, 589 straipsnių, priedo pakeitimo ir 96-1 straipsnio pripažinimo netekusiu galios įstatymas</w:t>
          </w:r>
        </w:p>
        <w:p>
          <w:pPr>
            <w:jc w:val="both"/>
            <w:rPr>
              <w:rFonts w:ascii="Arial" w:hAnsi="Arial"/>
              <w:sz w:val="20"/>
            </w:rPr>
          </w:pPr>
        </w:p>
        <w:p>
          <w:pPr>
            <w:jc w:val="both"/>
            <w:rPr>
              <w:rFonts w:ascii="Arial" w:hAnsi="Arial"/>
            </w:rPr>
          </w:pPr>
          <w:r>
            <w:rPr>
              <w:rFonts w:ascii="Arial" w:hAnsi="Arial"/>
              <w:sz w:val="20"/>
            </w:rPr>
            <w:t>232.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4015502edb11efbdaea558de59136c">
            <w:r w:rsidRPr="00532B9F">
              <w:rPr>
                <w:rFonts w:ascii="Arial" w:eastAsia="MS Mincho" w:hAnsi="Arial"/>
                <w:sz w:val="20"/>
                <w:iCs/>
                <w:color w:val="0000FF" w:themeColor="hyperlink"/>
                <w:u w:val="single"/>
              </w:rPr>
              <w:t>XIV-2748</w:t>
            </w:r>
          </w:fldSimple>
          <w:r>
            <w:rPr>
              <w:rFonts w:ascii="Arial" w:eastAsia="MS Mincho" w:hAnsi="Arial"/>
              <w:sz w:val="20"/>
              <w:iCs/>
            </w:rPr>
            <w:t>,
2024-06-13,
paskelbta TAR 2024-06-20, i. k. 2024-11253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Arial" w:hAnsi="Arial"/>
              <w:sz w:val="20"/>
            </w:rPr>
          </w:pPr>
        </w:p>
        <w:p>
          <w:pPr>
            <w:jc w:val="both"/>
            <w:rPr>
              <w:rFonts w:ascii="Arial" w:hAnsi="Arial"/>
            </w:rPr>
          </w:pPr>
          <w:r>
            <w:rPr>
              <w:rFonts w:ascii="Arial" w:hAnsi="Arial"/>
              <w:sz w:val="20"/>
            </w:rPr>
            <w:t>233.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38d9a036d611efbdaea558de59136c">
            <w:r w:rsidRPr="00532B9F">
              <w:rPr>
                <w:rFonts w:ascii="Arial" w:eastAsia="MS Mincho" w:hAnsi="Arial"/>
                <w:sz w:val="20"/>
                <w:iCs/>
                <w:color w:val="0000FF" w:themeColor="hyperlink"/>
                <w:u w:val="single"/>
              </w:rPr>
              <w:t>XIV-2814</w:t>
            </w:r>
          </w:fldSimple>
          <w:r>
            <w:rPr>
              <w:rFonts w:ascii="Arial" w:eastAsia="MS Mincho" w:hAnsi="Arial"/>
              <w:sz w:val="20"/>
              <w:iCs/>
            </w:rPr>
            <w:t>,
2024-06-25,
paskelbta TAR 2024-06-30, i. k. 2024-12137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Arial" w:hAnsi="Arial"/>
              <w:sz w:val="20"/>
            </w:rPr>
          </w:pPr>
        </w:p>
        <w:p>
          <w:pPr>
            <w:jc w:val="both"/>
            <w:rPr>
              <w:rFonts w:ascii="Arial" w:hAnsi="Arial"/>
            </w:rPr>
          </w:pPr>
          <w:r>
            <w:rPr>
              <w:rFonts w:ascii="Arial" w:hAnsi="Arial"/>
              <w:sz w:val="20"/>
            </w:rPr>
            <w:t>234.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e57c036d611efbdaea558de59136c">
            <w:r w:rsidRPr="00532B9F">
              <w:rPr>
                <w:rFonts w:ascii="Arial" w:eastAsia="MS Mincho" w:hAnsi="Arial"/>
                <w:sz w:val="20"/>
                <w:iCs/>
                <w:color w:val="0000FF" w:themeColor="hyperlink"/>
                <w:u w:val="single"/>
              </w:rPr>
              <w:t>XIV-2816</w:t>
            </w:r>
          </w:fldSimple>
          <w:r>
            <w:rPr>
              <w:rFonts w:ascii="Arial" w:eastAsia="MS Mincho" w:hAnsi="Arial"/>
              <w:sz w:val="20"/>
              <w:iCs/>
            </w:rPr>
            <w:t>,
2024-06-25,
paskelbta TAR 2024-06-30, i. k. 2024-12139                </w:t>
          </w:r>
        </w:p>
        <w:p>
          <w:pPr>
            <w:jc w:val="both"/>
            <w:rPr>
              <w:rFonts w:ascii="Arial" w:hAnsi="Arial"/>
            </w:rPr>
          </w:pPr>
          <w:r>
            <w:rPr>
              <w:rFonts w:ascii="Arial" w:hAnsi="Arial"/>
              <w:sz w:val="20"/>
            </w:rPr>
            <w:t>Lietuvos Respublikos administracinių nusižengimų kodekso 119-1 ir 223 straipsnių pakeitimo įstatymas</w:t>
          </w:r>
        </w:p>
        <w:p>
          <w:pPr>
            <w:jc w:val="both"/>
            <w:rPr>
              <w:rFonts w:ascii="Arial" w:hAnsi="Arial"/>
              <w:sz w:val="20"/>
            </w:rPr>
          </w:pPr>
        </w:p>
        <w:p>
          <w:pPr>
            <w:jc w:val="both"/>
            <w:rPr>
              <w:rFonts w:ascii="Arial" w:hAnsi="Arial"/>
            </w:rPr>
          </w:pPr>
          <w:r>
            <w:rPr>
              <w:rFonts w:ascii="Arial" w:hAnsi="Arial"/>
              <w:sz w:val="20"/>
            </w:rPr>
            <w:t>235.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8f902e4111efbdaea558de59136c">
            <w:r w:rsidRPr="00532B9F">
              <w:rPr>
                <w:rFonts w:ascii="Arial" w:eastAsia="MS Mincho" w:hAnsi="Arial"/>
                <w:sz w:val="20"/>
                <w:iCs/>
                <w:color w:val="0000FF" w:themeColor="hyperlink"/>
                <w:u w:val="single"/>
              </w:rPr>
              <w:t>XIV-2681</w:t>
            </w:r>
          </w:fldSimple>
          <w:r>
            <w:rPr>
              <w:rFonts w:ascii="Arial" w:eastAsia="MS Mincho" w:hAnsi="Arial"/>
              <w:sz w:val="20"/>
              <w:iCs/>
            </w:rPr>
            <w:t>,
2024-06-06,
paskelbta TAR 2024-06-19, i. k. 2024-11164                </w:t>
          </w:r>
        </w:p>
        <w:p>
          <w:pPr>
            <w:jc w:val="both"/>
            <w:rPr>
              <w:rFonts w:ascii="Arial" w:hAnsi="Arial"/>
            </w:rPr>
          </w:pPr>
          <w:r>
            <w:rPr>
              <w:rFonts w:ascii="Arial" w:hAnsi="Arial"/>
              <w:sz w:val="20"/>
            </w:rPr>
            <w:t>Lietuvos Respublikos administracinių nusižengimų kodekso 589 straipsnio, priedo pakeitimo ir Kodekso papildymo 188-5 straipsniu įstatymas</w:t>
          </w:r>
        </w:p>
        <w:p>
          <w:pPr>
            <w:jc w:val="both"/>
            <w:rPr>
              <w:rFonts w:ascii="Arial" w:hAnsi="Arial"/>
              <w:sz w:val="20"/>
            </w:rPr>
          </w:pPr>
        </w:p>
        <w:p>
          <w:pPr>
            <w:jc w:val="both"/>
            <w:rPr>
              <w:rFonts w:ascii="Arial" w:hAnsi="Arial"/>
            </w:rPr>
          </w:pPr>
          <w:r>
            <w:rPr>
              <w:rFonts w:ascii="Arial" w:hAnsi="Arial"/>
              <w:sz w:val="20"/>
            </w:rPr>
            <w:t>236.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d492130347311efbdaea558de59136c">
            <w:r w:rsidRPr="00532B9F">
              <w:rPr>
                <w:rFonts w:ascii="Arial" w:eastAsia="MS Mincho" w:hAnsi="Arial"/>
                <w:sz w:val="20"/>
                <w:iCs/>
                <w:color w:val="0000FF" w:themeColor="hyperlink"/>
                <w:u w:val="single"/>
              </w:rPr>
              <w:t>XIV-2786</w:t>
            </w:r>
          </w:fldSimple>
          <w:r>
            <w:rPr>
              <w:rFonts w:ascii="Arial" w:eastAsia="MS Mincho" w:hAnsi="Arial"/>
              <w:sz w:val="20"/>
              <w:iCs/>
            </w:rPr>
            <w:t>,
2024-06-20,
paskelbta TAR 2024-06-27, i. k. 2024-11783                </w:t>
          </w:r>
        </w:p>
        <w:p>
          <w:pPr>
            <w:jc w:val="both"/>
            <w:rPr>
              <w:rFonts w:ascii="Arial" w:hAnsi="Arial"/>
            </w:rPr>
          </w:pPr>
          <w:r>
            <w:rPr>
              <w:rFonts w:ascii="Arial" w:hAnsi="Arial"/>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4EA051"/>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18.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886.xml"/>
  <Relationship Id="rId18" Type="http://schemas.openxmlformats.org/officeDocument/2006/relationships/header" Target="header887.xml"/>
  <Relationship Id="rId19" Type="http://schemas.openxmlformats.org/officeDocument/2006/relationships/footer" Target="footer886.xml"/>
  <Relationship Id="rId2" Type="http://schemas.openxmlformats.org/officeDocument/2006/relationships/header" Target="header419.xml"/>
  <Relationship Id="rId20" Type="http://schemas.openxmlformats.org/officeDocument/2006/relationships/footer" Target="footer887.xml"/>
  <Relationship Id="rId21" Type="http://schemas.openxmlformats.org/officeDocument/2006/relationships/header" Target="header888.xml"/>
  <Relationship Id="rId22" Type="http://schemas.openxmlformats.org/officeDocument/2006/relationships/footer" Target="footer888.xml"/>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418.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419.xml"/>
  <Relationship Id="rId40" Type="http://schemas.openxmlformats.org/officeDocument/2006/relationships/hyperlink" TargetMode="External" Target="http://eur-lex.europa.eu/legal-content/LIT/TXT/?uri=CELEX:32010R0255&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2024R0573&amp;locale=lt"/>
  <Relationship Id="rId49" Type="http://schemas.openxmlformats.org/officeDocument/2006/relationships/hyperlink" TargetMode="External" Target="http://eur-lex.europa.eu/legal-content/LIT/TXT/?uri=CELEX:32019L1937&amp;locale=lt"/>
  <Relationship Id="rId5" Type="http://schemas.openxmlformats.org/officeDocument/2006/relationships/header" Target="header420.xml"/>
  <Relationship Id="rId50" Type="http://schemas.openxmlformats.org/officeDocument/2006/relationships/hyperlink" TargetMode="External" Target="http://eur-lex.europa.eu/legal-content/LIT/TXT/?uri=CELEX:32014R0517&amp;locale=lt"/>
  <Relationship Id="rId51" Type="http://schemas.openxmlformats.org/officeDocument/2006/relationships/customXml" Target="../customXml/item1.xml"/>
  <Relationship Id="rId6" Type="http://schemas.openxmlformats.org/officeDocument/2006/relationships/footer" Target="footer42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560ef00db0ad429f92f4317545caef26">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5c220b2b42404fdca7586a8c5831ee2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de1e235c8e31407b89674cd734e1241f">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6fed5f080cea400abd5b99ae346a55d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683cc7cb2572413f807def8fbdec50b4"/>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3ae0033b939f4f55afc1f48d634372ff"/>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8" Abbr="118 d." DocPartId="9063bfd42bc84ba8af3ce08cf0ce283e" PartId="9d7c04c046a44c9293aab7981d180709"/>
    <Part Type="strDalis" Nr="119" Abbr="119 d." DocPartId="2595569f911c4249a69bb203d2953201" PartId="2a22ada319bc48b4bd0992f1f471058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0164EFB-232B-46F0-A93A-E2AF95153D69}">
  <ds:schemaRefs>
    <ds:schemaRef ds:uri="http://lrs.lt/TAIS/DocParts"/>
  </ds:schemaRefs>
</ds:datastoreItem>
</file>

<file path=customXml/itemProps3.xml><?xml version="1.0" encoding="utf-8"?>
<ds:datastoreItem xmlns:ds="http://schemas.openxmlformats.org/officeDocument/2006/customXml" ds:itemID="{981EC1D5-5D2C-406B-A830-91472793DB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774</TotalTime>
  <Pages>488</Pages>
  <Words>150058</Words>
  <Characters>1084571</Characters>
  <Application>Microsoft Office Word</Application>
  <DocSecurity>0</DocSecurity>
  <Lines>9038</Lines>
  <Paragraphs>2464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1232165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2024-07-08T17:06:00Z</dcterms:modified>
  <revision>377</revision>
</coreProperties>
</file>