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2025-05-01 iki 2025-05-14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27cffbaf3aff428490efe07a55628520"/>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27cffbaf3aff428490efe07a55628520"/>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89b184924547d19e79fb3dcec14a99"/>
                        <w:lock w:val="sdtLocked"/>
                        <w:richText/>
                      </w:sdtPr>
                      <w:sdtContent>
                        <w:p>
                          <w:pPr>
                            <w:spacing w:line="360" w:lineRule="auto"/>
                            <w:ind w:firstLine="720"/>
                            <w:jc w:val="both"/>
                            <w:rPr>
                              <w:szCs w:val="24"/>
                            </w:rPr>
                          </w:pPr>
                          <w:sdt>
                            <w:sdtPr>
                              <w:alias w:val="Numeris"/>
                              <w:tag w:val="nr_9189b184924547d19e79fb3dcec14a99"/>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247 straipsnio 1 ir 2 dalyse, 258 straipsnyje, 261 straipsnio 1 dalyje, 278 straipsnyje, 279 straipsnio 1 dalyje, 283 straipsnyje, 284 straipsnio 1 dalyje, 287 straipsnyje, 291 straipsnio 1 dalyje, 294 straipsnio 1 ir 2 dalyse, 295 straipsnio 4 dalyje, 296 straipsnio 1 dalyje, 297 straipsnio 1 dalyje, 299 straipsnio 1 dalyje, 305 straipsnio 1 ir 4 dalyse, 325 straipsnyje, 327 straipsnio 1 ir 3 dalyse,</w:t>
                          </w:r>
                          <w:r>
                            <w:rPr>
                              <w:bCs/>
                              <w:color w:val="000000"/>
                              <w:szCs w:val="24"/>
                            </w:rPr>
                            <w:t xml:space="preserve"> </w:t>
                          </w:r>
                          <w:r>
                            <w:rPr>
                              <w:color w:val="000000"/>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3a2a7248850b42bcb709434ffd63d371"/>
                    <w:lock w:val="sdtLocked"/>
                    <w:richText/>
                  </w:sdtPr>
                  <w:sdtContent>
                    <w:p>
                      <w:pPr>
                        <w:spacing w:line="360" w:lineRule="auto"/>
                        <w:ind w:left="2410" w:hanging="1690"/>
                        <w:jc w:val="both"/>
                        <w:rPr>
                          <w:color w:val="000000"/>
                          <w:szCs w:val="24"/>
                          <w:lang w:eastAsia="lt-LT"/>
                        </w:rPr>
                      </w:pPr>
                      <w:sdt>
                        <w:sdtPr>
                          <w:alias w:val="Numeris"/>
                          <w:tag w:val="nr_3a2a7248850b42bcb709434ffd63d371"/>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3a2a7248850b42bcb709434ffd63d371"/>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color w:val="000000"/>
                              <w:szCs w:val="24"/>
                            </w:rPr>
                            <w:t>(</w:t>
                          </w:r>
                          <w:r>
                            <w:rPr>
                              <w:b/>
                              <w:color w:val="000000"/>
                              <w:szCs w:val="24"/>
                              <w:lang w:eastAsia="lt-LT"/>
                            </w:rPr>
                            <w:t>tarp jų ortopedijos technines priemones), specialiosios medicininės paskirties maisto produktus</w:t>
                          </w:r>
                          <w:r>
                            <w:rPr>
                              <w:b/>
                              <w:bCs/>
                              <w:color w:val="000000"/>
                              <w:szCs w:val="24"/>
                              <w:lang w:eastAsia="lt-LT"/>
                            </w:rPr>
                            <w:t xml:space="preserve"> ir </w:t>
                          </w:r>
                          <w:r>
                            <w:rPr>
                              <w:b/>
                              <w:color w:val="000000"/>
                              <w:szCs w:val="24"/>
                              <w:lang w:eastAsia="lt-LT"/>
                            </w:rPr>
                            <w:t xml:space="preserve">nuomojamas medicinos priemones </w:t>
                          </w:r>
                          <w:r>
                            <w:rPr>
                              <w:b/>
                              <w:bCs/>
                              <w:color w:val="000000"/>
                              <w:szCs w:val="24"/>
                              <w:lang w:eastAsia="lt-LT"/>
                            </w:rPr>
                            <w:t>pateikimas</w:t>
                          </w:r>
                        </w:sdtContent>
                      </w:sdt>
                    </w:p>
                    <w:sdt>
                      <w:sdtPr>
                        <w:alias w:val="57 str. 1 d."/>
                        <w:tag w:val="part_3883bcea8eca450a8928a60cf872fd55"/>
                        <w:lock w:val="sdtLocked"/>
                        <w:richText/>
                      </w:sdtPr>
                      <w:sdtContent>
                        <w:p>
                          <w:pPr>
                            <w:spacing w:line="360" w:lineRule="auto"/>
                            <w:ind w:firstLine="720"/>
                            <w:jc w:val="both"/>
                            <w:rPr>
                              <w:color w:val="000000"/>
                              <w:szCs w:val="24"/>
                            </w:rPr>
                          </w:pPr>
                          <w:sdt>
                            <w:sdtPr>
                              <w:alias w:val="Numeris"/>
                              <w:tag w:val="nr_3883bcea8eca450a8928a60cf872fd55"/>
                              <w:lock w:val="sdtLocked"/>
                              <w:richText/>
                            </w:sdtPr>
                            <w:sdtContent>
                              <w:r>
                                <w:rPr>
                                  <w:color w:val="000000"/>
                                  <w:szCs w:val="24"/>
                                </w:rPr>
                                <w:t>1</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specialiosios medicininės paskirties maisto produktus</w:t>
                          </w:r>
                          <w:r>
                            <w:rPr>
                              <w:color w:val="000000"/>
                              <w:szCs w:val="24"/>
                            </w:rPr>
                            <w:t xml:space="preserve"> ir </w:t>
                          </w:r>
                          <w:r>
                            <w:rPr>
                              <w:color w:val="000000"/>
                              <w:szCs w:val="24"/>
                              <w:lang w:eastAsia="lt-LT"/>
                            </w:rPr>
                            <w:t xml:space="preserve">nuomojamas medicinos priemones pateikimas </w:t>
                          </w:r>
                          <w:r>
                            <w:rPr>
                              <w:color w:val="000000"/>
                              <w:szCs w:val="24"/>
                            </w:rPr>
                            <w:t>Valstybinei ligonių kasai prie Sveikatos apsaugos ministerijos ir teritorinėms ligonių kasoms,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 specialiosios medicininės paskirties maisto produktų</w:t>
                          </w:r>
                          <w:r>
                            <w:rPr>
                              <w:color w:val="000000"/>
                              <w:szCs w:val="24"/>
                            </w:rPr>
                            <w:t xml:space="preserve"> įsigijimo išlaidų kompensavimo </w:t>
                          </w:r>
                          <w:r>
                            <w:rPr>
                              <w:bCs/>
                              <w:color w:val="000000"/>
                              <w:szCs w:val="24"/>
                            </w:rPr>
                            <w:t>ar</w:t>
                          </w:r>
                          <w:r>
                            <w:rPr>
                              <w:color w:val="000000"/>
                              <w:szCs w:val="24"/>
                            </w:rPr>
                            <w:t xml:space="preserve"> </w:t>
                          </w:r>
                          <w:r>
                            <w:rPr>
                              <w:bCs/>
                              <w:color w:val="000000"/>
                              <w:szCs w:val="24"/>
                            </w:rPr>
                            <w:t xml:space="preserve">medicinos priemonių, būtinų apdraustųjų sveikatos priežiūrai namuose užtikrinti, nuomos išlaidų apmokėjimo </w:t>
                          </w:r>
                          <w:r>
                            <w:rPr>
                              <w:color w:val="000000"/>
                              <w:szCs w:val="24"/>
                            </w:rPr>
                            <w:t>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p>
                      </w:sdtContent>
                    </w:sdt>
                    <w:sdt>
                      <w:sdtPr>
                        <w:alias w:val="57 str. 2 d."/>
                        <w:tag w:val="part_6d8803f9591349e5bc49a89230b9caa0"/>
                        <w:lock w:val="sdtLocked"/>
                        <w:richText/>
                      </w:sdtPr>
                      <w:sdtContent>
                        <w:p>
                          <w:pPr>
                            <w:spacing w:line="360" w:lineRule="auto"/>
                            <w:ind w:firstLine="720"/>
                            <w:jc w:val="both"/>
                            <w:rPr>
                              <w:color w:val="000000"/>
                              <w:szCs w:val="24"/>
                              <w:lang w:eastAsia="lt-LT"/>
                            </w:rPr>
                          </w:pPr>
                          <w:sdt>
                            <w:sdtPr>
                              <w:alias w:val="Numeris"/>
                              <w:tag w:val="nr_6d8803f9591349e5bc49a89230b9caa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szCs w:val="24"/>
                            </w:rPr>
                          </w:pPr>
                          <w:r>
                            <w:rPr>
                              <w:color w:val="000000"/>
                              <w:szCs w:val="24"/>
                              <w:lang w:eastAsia="lt-LT"/>
                            </w:rPr>
                            <w:t>užtraukia baudą nuo vieno šimto keturiasdešimt iki trijų šimtų eurų.</w:t>
                          </w:r>
                          <w:r>
                            <w:rPr>
                              <w:szCs w:val="24"/>
                            </w:rPr>
                            <w:t xml:space="preserve"> </w:t>
                          </w:r>
                        </w:p>
                      </w:sdtContent>
                    </w:sdt>
                    <w:sdt>
                      <w:sdtPr>
                        <w:alias w:val="57 str. 3 d."/>
                        <w:tag w:val="part_3ca99b75f9d34f02bb784e40e00ece0d"/>
                        <w:lock w:val="sdtLocked"/>
                        <w:richText/>
                      </w:sdtPr>
                      <w:sdtContent>
                        <w:p>
                          <w:pPr>
                            <w:spacing w:line="360" w:lineRule="auto"/>
                            <w:ind w:firstLine="720"/>
                            <w:jc w:val="both"/>
                            <w:rPr>
                              <w:color w:val="000000"/>
                              <w:szCs w:val="24"/>
                            </w:rPr>
                          </w:pPr>
                          <w:sdt>
                            <w:sdtPr>
                              <w:alias w:val="Numeris"/>
                              <w:tag w:val="nr_3ca99b75f9d34f02bb784e40e00ece0d"/>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w:t>
                          </w:r>
                          <w:r>
                            <w:rPr>
                              <w:bCs/>
                              <w:color w:val="000000"/>
                              <w:szCs w:val="24"/>
                            </w:rPr>
                            <w:t>ūkio subjektų</w:t>
                          </w:r>
                          <w:r>
                            <w:rPr>
                              <w:color w:val="000000"/>
                              <w:szCs w:val="24"/>
                            </w:rPr>
                            <w:t xml:space="preserve">,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w:t>
                          </w:r>
                          <w:r>
                            <w:rPr>
                              <w:color w:val="000000"/>
                              <w:szCs w:val="24"/>
                            </w:rPr>
                            <w:t xml:space="preserve"> </w:t>
                          </w:r>
                          <w:r>
                            <w:rPr>
                              <w:bCs/>
                              <w:color w:val="000000"/>
                              <w:szCs w:val="24"/>
                            </w:rPr>
                            <w:t>specialiosios medicininės paskirties maisto produktų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7 str. 4 d."/>
                        <w:tag w:val="part_1651e8e3042b441b8e6a61bc7b431851"/>
                        <w:lock w:val="sdtLocked"/>
                        <w:richText/>
                      </w:sdtPr>
                      <w:sdtContent>
                        <w:p>
                          <w:pPr>
                            <w:spacing w:line="360" w:lineRule="auto"/>
                            <w:ind w:firstLine="720"/>
                            <w:jc w:val="both"/>
                            <w:rPr>
                              <w:color w:val="000000"/>
                              <w:szCs w:val="24"/>
                              <w:lang w:eastAsia="lt-LT"/>
                            </w:rPr>
                          </w:pPr>
                          <w:sdt>
                            <w:sdtPr>
                              <w:alias w:val="Numeris"/>
                              <w:tag w:val="nr_1651e8e3042b441b8e6a61bc7b4318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f0a4cb61ad5a4161999fceb9b47c4a00"/>
                    <w:lock w:val="sdtLocked"/>
                    <w:richText/>
                  </w:sdtPr>
                  <w:sdtContent>
                    <w:p>
                      <w:pPr>
                        <w:spacing w:line="360" w:lineRule="auto"/>
                        <w:ind w:left="2268" w:hanging="1548"/>
                        <w:jc w:val="both"/>
                        <w:rPr>
                          <w:szCs w:val="24"/>
                        </w:rPr>
                      </w:pPr>
                      <w:sdt>
                        <w:sdtPr>
                          <w:alias w:val="Numeris"/>
                          <w:tag w:val="nr_f0a4cb61ad5a4161999fceb9b47c4a00"/>
                          <w:lock w:val="sdtLocked"/>
                          <w:richText/>
                        </w:sdtPr>
                        <w:sdtContent>
                          <w:r>
                            <w:rPr>
                              <w:b/>
                              <w:szCs w:val="24"/>
                            </w:rPr>
                            <w:t>58</w:t>
                          </w:r>
                        </w:sdtContent>
                      </w:sdt>
                      <w:r>
                        <w:rPr>
                          <w:b/>
                          <w:szCs w:val="24"/>
                        </w:rPr>
                        <w:t xml:space="preserve"> straipsnis. </w:t>
                      </w:r>
                      <w:sdt>
                        <w:sdtPr>
                          <w:alias w:val="Pavadinimas"/>
                          <w:tag w:val="title_f0a4cb61ad5a4161999fceb9b47c4a00"/>
                          <w:lock w:val="sdtLocked"/>
                          <w:richText/>
                        </w:sdtPr>
                        <w:sdtContent>
                          <w:r>
                            <w:rPr>
                              <w:b/>
                              <w:szCs w:val="24"/>
                            </w:rPr>
                            <w:t>Tyčinis melagingų duomenų apie suteiktas asmens sveikatos priežiūros paslaugas, išduotus (parduotus) kompensuojamuosius vaistus</w:t>
                          </w:r>
                          <w:r>
                            <w:rPr>
                              <w:b/>
                              <w:bCs/>
                              <w:szCs w:val="24"/>
                            </w:rPr>
                            <w:t xml:space="preserve">, </w:t>
                          </w:r>
                          <w:r>
                            <w:rPr>
                              <w:b/>
                              <w:bCs/>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a7bdff034ea744d09c04a9d5a7d1fe44"/>
                        <w:lock w:val="sdtLocked"/>
                        <w:richText/>
                      </w:sdtPr>
                      <w:sdtContent>
                        <w:p>
                          <w:pPr>
                            <w:spacing w:line="360" w:lineRule="auto"/>
                            <w:ind w:firstLine="720"/>
                            <w:jc w:val="both"/>
                            <w:rPr>
                              <w:color w:val="000000"/>
                              <w:szCs w:val="24"/>
                            </w:rPr>
                          </w:pPr>
                          <w:sdt>
                            <w:sdtPr>
                              <w:alias w:val="Numeris"/>
                              <w:tag w:val="nr_a7bdff034ea744d09c04a9d5a7d1fe44"/>
                              <w:lock w:val="sdtLocked"/>
                              <w:richText/>
                            </w:sdtPr>
                            <w:sdtContent>
                              <w:r>
                                <w:rPr>
                                  <w:szCs w:val="24"/>
                                </w:rPr>
                                <w:t>1</w:t>
                              </w:r>
                            </w:sdtContent>
                          </w:sdt>
                          <w:r>
                            <w:rPr>
                              <w:szCs w:val="24"/>
                            </w:rPr>
                            <w:t xml:space="preserve">. </w:t>
                          </w:r>
                          <w:r>
                            <w:rPr>
                              <w:color w:val="000000"/>
                              <w:szCs w:val="24"/>
                            </w:rPr>
                            <w:t xml:space="preserve">Tyčinis melagingų duomenų apie suteiktas asmens sveikatos priežiūros paslaugas ir išduotus (parduotus) kompensuojamuosius vaistus, </w:t>
                          </w:r>
                          <w:r>
                            <w:rPr>
                              <w:bCs/>
                              <w:color w:val="000000"/>
                              <w:szCs w:val="24"/>
                            </w:rPr>
                            <w:t>specialiosios medicininės paskirties maisto produktus,</w:t>
                          </w:r>
                          <w:r>
                            <w:rPr>
                              <w:color w:val="000000"/>
                              <w:szCs w:val="24"/>
                            </w:rPr>
                            <w:t xml:space="preserve">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 ir teritorinėms ligonių kasoms</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Valstybine ligonių kasa prie Sveikatos apsaugos ministerijos ar teritorinėmis ligonių kasomis dėl išduotų kompensuojamųjų vaistų, </w:t>
                          </w:r>
                          <w:r>
                            <w:rPr>
                              <w:bCs/>
                              <w:color w:val="000000"/>
                              <w:szCs w:val="24"/>
                            </w:rPr>
                            <w:t>specialiosios medicininės paskirties maisto produktų</w:t>
                          </w:r>
                          <w:r>
                            <w:rPr>
                              <w:color w:val="000000"/>
                              <w:szCs w:val="24"/>
                            </w:rPr>
                            <w:t xml:space="preserve"> ir (ar) medicinos pagalbos priemonių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8 str. 2 d."/>
                        <w:tag w:val="part_1ebefa6e4f8a4b82941dbf4694b78f7d"/>
                        <w:lock w:val="sdtLocked"/>
                        <w:richText/>
                      </w:sdtPr>
                      <w:sdtContent>
                        <w:p>
                          <w:pPr>
                            <w:spacing w:line="360" w:lineRule="auto"/>
                            <w:ind w:firstLine="720"/>
                            <w:jc w:val="both"/>
                            <w:rPr>
                              <w:color w:val="000000"/>
                              <w:szCs w:val="24"/>
                            </w:rPr>
                          </w:pPr>
                          <w:sdt>
                            <w:sdtPr>
                              <w:alias w:val="Numeris"/>
                              <w:tag w:val="nr_1ebefa6e4f8a4b82941dbf4694b78f7d"/>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e43495f5025d4234ba576b2056d67a55"/>
                        <w:lock w:val="sdtLocked"/>
                        <w:richText/>
                      </w:sdtPr>
                      <w:sdtContent>
                        <w:p>
                          <w:pPr>
                            <w:tabs>
                              <w:tab w:val="left" w:pos="1134"/>
                            </w:tabs>
                            <w:spacing w:line="360" w:lineRule="auto"/>
                            <w:ind w:firstLine="720"/>
                            <w:jc w:val="both"/>
                            <w:rPr>
                              <w:rFonts w:ascii="TimesLT" w:hAnsi="TimesLT"/>
                            </w:rPr>
                          </w:pPr>
                          <w:sdt>
                            <w:sdtPr>
                              <w:alias w:val="Numeris"/>
                              <w:tag w:val="nr_e43495f5025d4234ba576b2056d67a55"/>
                              <w:lock w:val="sdtLocked"/>
                              <w:richText/>
                            </w:sdtPr>
                            <w:sdtContent>
                              <w:r>
                                <w:rPr>
                                  <w:rFonts w:ascii="TimesLT" w:hAnsi="TimesLT"/>
                                  <w:iCs/>
                                  <w:szCs w:val="24"/>
                                  <w:lang w:eastAsia="lt-LT"/>
                                </w:rPr>
                                <w:t>4</w:t>
                              </w:r>
                            </w:sdtContent>
                          </w:sdt>
                          <w:r>
                            <w:rPr>
                              <w:rFonts w:ascii="TimesLT" w:hAnsi="TimesLT"/>
                              <w:iCs/>
                              <w:szCs w:val="24"/>
                              <w:lang w:eastAsia="lt-LT"/>
                            </w:rPr>
                            <w:t>.</w:t>
                          </w:r>
                          <w:r>
                            <w:rPr>
                              <w:rFonts w:ascii="TimesLT" w:hAnsi="TimesLT"/>
                              <w:szCs w:val="24"/>
                            </w:rPr>
                            <w:t xml:space="preserve"> Socialines,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6 dalyse, </w:t>
                          </w:r>
                          <w:r>
                            <w:rPr>
                              <w:rFonts w:ascii="TimesLT" w:hAnsi="TimesLT"/>
                            </w:rPr>
                            <w:t>nevykdymas</w:t>
                          </w:r>
                        </w:p>
                        <w:p>
                          <w:pPr>
                            <w:tabs>
                              <w:tab w:val="left" w:pos="1134"/>
                            </w:tabs>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14c669a719ab4ba6ae4ac4bda47771bd"/>
                        <w:lock w:val="sdtLocked"/>
                        <w:richText/>
                      </w:sdtPr>
                      <w:sdtContent>
                        <w:p>
                          <w:pPr>
                            <w:tabs>
                              <w:tab w:val="left" w:pos="1134"/>
                            </w:tabs>
                            <w:spacing w:line="360" w:lineRule="auto"/>
                            <w:ind w:firstLine="720"/>
                            <w:jc w:val="both"/>
                            <w:rPr>
                              <w:rFonts w:ascii="TimesLT" w:hAnsi="TimesLT"/>
                            </w:rPr>
                          </w:pPr>
                          <w:sdt>
                            <w:sdtPr>
                              <w:alias w:val="Numeris"/>
                              <w:tag w:val="nr_14c669a719ab4ba6ae4ac4bda47771bd"/>
                              <w:lock w:val="sdtLocked"/>
                              <w:richText/>
                            </w:sdtPr>
                            <w:sdtContent>
                              <w:r>
                                <w:rPr>
                                  <w:rFonts w:ascii="TimesLT" w:hAnsi="TimesLT"/>
                                </w:rPr>
                                <w:t>6</w:t>
                              </w:r>
                            </w:sdtContent>
                          </w:sdt>
                          <w:r>
                            <w:rPr>
                              <w:rFonts w:ascii="TimesLT" w:hAnsi="TimesLT"/>
                            </w:rPr>
                            <w:t>. S</w:t>
                          </w:r>
                          <w:r>
                            <w:rPr>
                              <w:rFonts w:ascii="TimesLT" w:hAnsi="TimesLT"/>
                              <w:szCs w:val="24"/>
                            </w:rPr>
                            <w:t xml:space="preserve">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jei šios paslaugos ar juridinių asmenų, kuriems teikiamos paslaugos, veikla tiesioginiais ir reguliariais kontaktais susijusios su vaikais</w:t>
                          </w:r>
                          <w:r>
                            <w:rPr>
                              <w:rFonts w:ascii="TimesLT" w:hAnsi="TimesLT"/>
                              <w:iCs/>
                              <w:szCs w:val="24"/>
                              <w:lang w:eastAsia="lt-LT"/>
                            </w:rPr>
                            <w:t xml:space="preserve">, </w:t>
                          </w:r>
                          <w:r>
                            <w:rPr>
                              <w:rFonts w:ascii="TimesLT" w:hAnsi="TimesLT"/>
                              <w:szCs w:val="24"/>
                            </w:rPr>
                            <w:t xml:space="preserve">priimančiųjų organizacijų pareigos, nurodytos Vaiko teisių apsaugos pagrindų įstatymo 30 straipsnio 5, 6 dalyse, </w:t>
                          </w:r>
                          <w:r>
                            <w:rPr>
                              <w:rFonts w:ascii="TimesLT" w:hAnsi="TimesLT"/>
                            </w:rPr>
                            <w:t>nevykdymas</w:t>
                          </w:r>
                          <w:r>
                            <w:rPr>
                              <w:rFonts w:ascii="TimesLT" w:hAnsi="TimesLT"/>
                              <w:szCs w:val="24"/>
                            </w:rPr>
                            <w:t xml:space="preserve"> arba pareigų, nurodytų Vaiko teisių apsaugos pagrindų įstatymo 30 straipsnio 9 dalyje, nevykdymas, jei šioje dalyje nurodytose </w:t>
                          </w:r>
                          <w:r>
                            <w:rPr>
                              <w:rFonts w:ascii="TimesLT" w:hAnsi="TimesLT"/>
                            </w:rPr>
                            <w:t>įstaigose, įmonėse, organizacijose dirba, užsiima savanoriška veikla, atlieka praktiką, stažuojasi ar teikia paslaugas asmuo,</w:t>
                          </w:r>
                          <w:r>
                            <w:rPr>
                              <w:rFonts w:ascii="TimesLT" w:hAnsi="TimesLT"/>
                              <w:szCs w:val="24"/>
                            </w:rPr>
                            <w:t xml:space="preserve"> kuris apkaltinamuoju teismo nuosprendžiu pripažintas kaltu dėl nusikalstamų veikų, nurodytų Vaiko teisių apsaugos pagrindų įstatymo 30 straipsnio 1 dalyje, arba asmuo, kuris yra padaręs Vaiko teisių apsaugos pagrindų įstatymo 30 straipsnio 1 dalyje nurodytas nusikalstamas veikas, bet atleistas nuo baudžiamosios atsakomybės Vaiko teisių apsaugos pagrindų įstatymo 30 straipsnio 1 dalyje nurodytais pagrindais, </w:t>
                          </w:r>
                        </w:p>
                        <w:p>
                          <w:pPr>
                            <w:tabs>
                              <w:tab w:val="left" w:pos="1134"/>
                            </w:tabs>
                            <w:spacing w:line="360" w:lineRule="auto"/>
                            <w:ind w:firstLine="720"/>
                            <w:jc w:val="both"/>
                            <w:rPr>
                              <w:rFonts w:ascii="TimesLT" w:hAnsi="TimesLT"/>
                            </w:rPr>
                          </w:pPr>
                          <w:r>
                            <w:rPr>
                              <w:rFonts w:ascii="TimesLT" w:hAnsi="TimesLT"/>
                            </w:rPr>
                            <w:t>užtraukia baudą nuo trijų tūkstančių iki penkių tūkstančių eurų.</w:t>
                          </w:r>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1125cc0a7e65451ba19914f7d62c9ef2"/>
                        <w:lock w:val="sdtLocked"/>
                        <w:richText/>
                      </w:sdtPr>
                      <w:sdtContent>
                        <w:p>
                          <w:pPr>
                            <w:spacing w:line="360" w:lineRule="auto"/>
                            <w:ind w:firstLine="720"/>
                            <w:jc w:val="both"/>
                            <w:rPr>
                              <w:rFonts w:ascii="TimesLT" w:hAnsi="TimesLT"/>
                            </w:rPr>
                          </w:pPr>
                          <w:sdt>
                            <w:sdtPr>
                              <w:alias w:val="Numeris"/>
                              <w:tag w:val="nr_1125cc0a7e65451ba19914f7d62c9ef2"/>
                              <w:lock w:val="sdtLocked"/>
                              <w:richText/>
                            </w:sdtPr>
                            <w:sdtContent>
                              <w:r>
                                <w:rPr>
                                  <w:rFonts w:ascii="TimesLT" w:hAnsi="TimesLT"/>
                                  <w:szCs w:val="24"/>
                                </w:rPr>
                                <w:t>8</w:t>
                              </w:r>
                            </w:sdtContent>
                          </w:sdt>
                          <w:r>
                            <w:rPr>
                              <w:rFonts w:ascii="TimesLT" w:hAnsi="TimesLT"/>
                              <w:szCs w:val="24"/>
                            </w:rPr>
                            <w:t xml:space="preserve">. </w:t>
                          </w:r>
                          <w:r>
                            <w:rPr>
                              <w:rFonts w:ascii="TimesLT" w:hAnsi="TimesLT"/>
                              <w:iCs/>
                            </w:rPr>
                            <w:t>Asmens, besiverčiančio individualia veikla, teikiančio paslaugas ar vykdančio bet kokią kitą veiklą, jei ši veikla</w:t>
                          </w:r>
                          <w:r>
                            <w:rPr>
                              <w:rFonts w:ascii="TimesLT" w:hAnsi="TimesLT"/>
                              <w:szCs w:val="24"/>
                            </w:rPr>
                            <w:t xml:space="preserve"> ar paslaugos tiesioginiais ir reguliariais kontaktais susijusios su vaikais</w:t>
                          </w:r>
                          <w:r>
                            <w:rPr>
                              <w:rFonts w:ascii="TimesLT" w:hAnsi="TimesLT"/>
                            </w:rPr>
                            <w:t>, pareigos, nurodytos Vaiko teisių apsaugos pagrindų įstatymo 30 straipsnio 6 dalyje, ir pareigos, nurodytos Vaiko teisių apsaugos pagrindų įstatymo 30 straipsnio 7 dalyje, nevykdymas</w:t>
                          </w:r>
                        </w:p>
                        <w:p>
                          <w:pPr>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b603c7a8d0184296bd6dd791ce87982c"/>
                    <w:lock w:val="sdtLocked"/>
                    <w:richText/>
                  </w:sdtPr>
                  <w:sdtContent>
                    <w:p>
                      <w:pPr>
                        <w:widowControl w:val="0"/>
                        <w:spacing w:line="400" w:lineRule="atLeast"/>
                        <w:ind w:left="2381" w:hanging="1661"/>
                        <w:jc w:val="both"/>
                        <w:textAlignment w:val="baseline"/>
                        <w:rPr>
                          <w:rFonts w:eastAsia="NSimSun"/>
                          <w:color w:val="000000"/>
                          <w:kern w:val="3"/>
                          <w:szCs w:val="24"/>
                          <w:lang w:eastAsia="zh-CN" w:bidi="hi-IN"/>
                        </w:rPr>
                      </w:pPr>
                      <w:sdt>
                        <w:sdtPr>
                          <w:alias w:val="Numeris"/>
                          <w:tag w:val="nr_b603c7a8d0184296bd6dd791ce87982c"/>
                          <w:lock w:val="sdtLocked"/>
                          <w:richText/>
                        </w:sdtPr>
                        <w:sdtContent>
                          <w:r>
                            <w:rPr>
                              <w:rFonts w:eastAsia="NSimSun"/>
                              <w:b/>
                              <w:color w:val="000000"/>
                              <w:kern w:val="3"/>
                              <w:szCs w:val="24"/>
                              <w:lang w:eastAsia="zh-CN" w:bidi="hi-IN"/>
                            </w:rPr>
                            <w:t>77</w:t>
                          </w:r>
                        </w:sdtContent>
                      </w:sdt>
                      <w:r>
                        <w:rPr>
                          <w:rFonts w:eastAsia="NSimSun"/>
                          <w:b/>
                          <w:color w:val="000000"/>
                          <w:kern w:val="3"/>
                          <w:szCs w:val="24"/>
                          <w:lang w:eastAsia="zh-CN" w:bidi="hi-IN"/>
                        </w:rPr>
                        <w:t xml:space="preserve"> straipsnis. </w:t>
                      </w:r>
                      <w:sdt>
                        <w:sdtPr>
                          <w:alias w:val="Pavadinimas"/>
                          <w:tag w:val="title_b603c7a8d0184296bd6dd791ce87982c"/>
                          <w:lock w:val="sdtLocked"/>
                          <w:richText/>
                        </w:sdtPr>
                        <w:sdtContent>
                          <w:r>
                            <w:rPr>
                              <w:rFonts w:eastAsia="NSimSun"/>
                              <w:b/>
                              <w:color w:val="000000"/>
                              <w:kern w:val="3"/>
                              <w:szCs w:val="24"/>
                              <w:lang w:eastAsia="zh-CN" w:bidi="hi-IN"/>
                            </w:rPr>
                            <w:t>Tabako gaminių ar susijusių gaminių nupirkimas, perdavimas ar kitoks realizavimas nepilnamečiams</w:t>
                          </w:r>
                        </w:sdtContent>
                      </w:sdt>
                    </w:p>
                    <w:sdt>
                      <w:sdtPr>
                        <w:alias w:val="77 str. 1 d."/>
                        <w:tag w:val="part_09185c06bc5846ddbeff7eda0b5140c9"/>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09185c06bc5846ddbeff7eda0b5140c9"/>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Tabako gaminių ar susijusių gaminių</w:t>
                          </w:r>
                          <w:r>
                            <w:rPr>
                              <w:rFonts w:eastAsia="NSimSun"/>
                              <w:bCs/>
                              <w:color w:val="000000"/>
                              <w:kern w:val="3"/>
                              <w:szCs w:val="24"/>
                              <w:lang w:eastAsia="zh-CN" w:bidi="hi-IN"/>
                            </w:rPr>
                            <w:t>, išskyrus elektronines cigaretes ir (ar) elektroninių cigarečių pildykles,</w:t>
                          </w:r>
                          <w:r>
                            <w:rPr>
                              <w:rFonts w:eastAsia="NSimSun"/>
                              <w:color w:val="000000"/>
                              <w:kern w:val="3"/>
                              <w:szCs w:val="24"/>
                              <w:lang w:eastAsia="zh-CN" w:bidi="hi-IN"/>
                            </w:rPr>
                            <w:t xml:space="preserve"> nupirkimas, perdavimas ar kitoks realizavimas nepilnamečiui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dviejų šimtų dvidešimt iki trijų šimtų dvidešimt eurų.</w:t>
                          </w:r>
                        </w:p>
                      </w:sdtContent>
                    </w:sdt>
                    <w:sdt>
                      <w:sdtPr>
                        <w:alias w:val="77 str. 2 d."/>
                        <w:tag w:val="part_c3a7949a9a01435cae80bffa2b215c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c3a7949a9a01435cae80bffa2b215c14"/>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trijų šimtų dvidešimt iki penkių šimtų aštuoniasdešimt eurų.</w:t>
                          </w:r>
                        </w:p>
                      </w:sdtContent>
                    </w:sdt>
                    <w:sdt>
                      <w:sdtPr>
                        <w:alias w:val="77 str. 3 d."/>
                        <w:tag w:val="part_d37e16b38cab49cfa4d97c2c1f0b12b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d37e16b38cab49cfa4d97c2c1f0b12b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Elektroninių cigarečių ir (ar) elektroninių cigarečių pildyklių nupirkimas, perdavimas ar kitoks realizavimas nepilnamečiui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 xml:space="preserve">užtraukia baudą nuo trijų šimtų dvidešimt iki penkių šimtų aštuoniasdešimt eurų. </w:t>
                          </w:r>
                        </w:p>
                      </w:sdtContent>
                    </w:sdt>
                    <w:sdt>
                      <w:sdtPr>
                        <w:alias w:val="77 str. 4 d."/>
                        <w:tag w:val="part_ed394c3f95384349a71dac5b651ed1ef"/>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ed394c3f95384349a71dac5b651ed1ef"/>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penkių šimtų aštuoniasdešimt iki aštuonių šimtų dvidešimt eurų.</w:t>
                          </w:r>
                        </w:p>
                      </w:sdtContent>
                    </w:sdt>
                    <w:sdt>
                      <w:sdtPr>
                        <w:alias w:val="77 str. 5 d."/>
                        <w:tag w:val="part_b2e7c68314f24515bf04572346f4a99a"/>
                        <w:lock w:val="sdtLocked"/>
                        <w:richText/>
                      </w:sdtPr>
                      <w:sdtContent>
                        <w:p>
                          <w:pPr>
                            <w:widowControl w:val="0"/>
                            <w:spacing w:line="400" w:lineRule="atLeast"/>
                            <w:ind w:firstLine="720"/>
                            <w:jc w:val="both"/>
                            <w:textAlignment w:val="baseline"/>
                            <w:rPr>
                              <w:bCs/>
                              <w:szCs w:val="24"/>
                            </w:rPr>
                          </w:pPr>
                          <w:sdt>
                            <w:sdtPr>
                              <w:alias w:val="Numeris"/>
                              <w:tag w:val="nr_b2e7c68314f24515bf04572346f4a99a"/>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xml:space="preserve">. </w:t>
                          </w:r>
                          <w:r>
                            <w:rPr>
                              <w:rFonts w:eastAsia="NSimSun"/>
                              <w:color w:val="000000"/>
                              <w:kern w:val="3"/>
                              <w:szCs w:val="24"/>
                              <w:lang w:eastAsia="zh-CN" w:bidi="hi-IN"/>
                            </w:rPr>
                            <w:t>Už šio straipsnio 1</w:t>
                          </w:r>
                          <w:r>
                            <w:rPr>
                              <w:rFonts w:eastAsia="NSimSun"/>
                              <w:bCs/>
                              <w:color w:val="000000"/>
                              <w:kern w:val="3"/>
                              <w:szCs w:val="24"/>
                              <w:lang w:eastAsia="zh-CN" w:bidi="hi-IN"/>
                            </w:rPr>
                            <w:t>,</w:t>
                          </w:r>
                          <w:r>
                            <w:rPr>
                              <w:rFonts w:eastAsia="NSimSun"/>
                              <w:color w:val="000000"/>
                              <w:kern w:val="3"/>
                              <w:szCs w:val="24"/>
                              <w:lang w:eastAsia="zh-CN" w:bidi="hi-IN"/>
                            </w:rPr>
                            <w:t xml:space="preserve">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436964c1a55745e5801555ce94e0716f"/>
                    <w:lock w:val="sdtLocked"/>
                    <w:richText/>
                  </w:sdtPr>
                  <w:sdtContent>
                    <w:p>
                      <w:pPr>
                        <w:shd w:val="clear" w:color="000000" w:fill="auto"/>
                        <w:spacing w:line="360" w:lineRule="auto"/>
                        <w:ind w:left="2410" w:hanging="1690"/>
                        <w:jc w:val="both"/>
                        <w:rPr>
                          <w:b/>
                          <w:bCs/>
                          <w:szCs w:val="24"/>
                        </w:rPr>
                      </w:pPr>
                      <w:sdt>
                        <w:sdtPr>
                          <w:alias w:val="Numeris"/>
                          <w:tag w:val="nr_436964c1a55745e5801555ce94e0716f"/>
                          <w:lock w:val="sdtLocked"/>
                          <w:richText/>
                        </w:sdtPr>
                        <w:sdtContent>
                          <w:r>
                            <w:rPr>
                              <w:b/>
                              <w:bCs/>
                              <w:szCs w:val="24"/>
                            </w:rPr>
                            <w:t>196</w:t>
                          </w:r>
                        </w:sdtContent>
                      </w:sdt>
                      <w:r>
                        <w:rPr>
                          <w:b/>
                          <w:bCs/>
                          <w:szCs w:val="24"/>
                        </w:rPr>
                        <w:t xml:space="preserve"> straipsnis. </w:t>
                      </w:r>
                      <w:sdt>
                        <w:sdtPr>
                          <w:alias w:val="Pavadinimas"/>
                          <w:tag w:val="title_436964c1a55745e5801555ce94e0716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hd w:val="clear" w:color="000000" w:fill="auto"/>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hd w:val="clear" w:color="000000" w:fill="auto"/>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hd w:val="clear" w:color="000000" w:fill="auto"/>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hd w:val="clear" w:color="000000" w:fill="auto"/>
                            <w:spacing w:line="360" w:lineRule="auto"/>
                            <w:ind w:firstLine="720"/>
                            <w:jc w:val="both"/>
                            <w:rPr>
                              <w:szCs w:val="24"/>
                            </w:rPr>
                          </w:pPr>
                          <w:r>
                            <w:rPr>
                              <w:szCs w:val="24"/>
                            </w:rPr>
                            <w:t>užtraukia baudą nuo šešių šimtų iki penkių tūkstančių aštuonių šimtų eurų.</w:t>
                          </w:r>
                        </w:p>
                        <w:p>
                          <w:pPr>
                            <w:shd w:val="clear" w:color="000000" w:fill="auto"/>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7f0bc40081a049a6976b8e8f441f69a0"/>
                    <w:lock w:val="sdtLocked"/>
                    <w:richText/>
                  </w:sdtPr>
                  <w:sdtContent>
                    <w:p>
                      <w:pPr>
                        <w:spacing w:line="360" w:lineRule="auto"/>
                        <w:ind w:left="2410" w:hanging="1690"/>
                        <w:jc w:val="both"/>
                        <w:rPr>
                          <w:color w:val="000000"/>
                          <w:szCs w:val="24"/>
                          <w:lang w:eastAsia="lt-LT"/>
                        </w:rPr>
                      </w:pPr>
                      <w:sdt>
                        <w:sdtPr>
                          <w:alias w:val="Numeris"/>
                          <w:tag w:val="nr_7f0bc40081a049a6976b8e8f441f69a0"/>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7f0bc40081a049a6976b8e8f441f69a0"/>
                          <w:lock w:val="sdtLocked"/>
                          <w:richText/>
                        </w:sdtPr>
                        <w:sdtContent>
                          <w:r>
                            <w:rPr>
                              <w:b/>
                              <w:bCs/>
                              <w:color w:val="000000"/>
                              <w:szCs w:val="24"/>
                              <w:lang w:eastAsia="lt-LT"/>
                            </w:rPr>
                            <w:t>Juridinio asmens, jo filialo ar atstovybės, užsienio juridinio asmens ar kitos organizacijos filialo ar atstovybės dokumentų ir registro duomenų pateikimo Juridinių asmenų registro duomenų tvarkytojui, Juridinių asmenų dalyvių informacinės sistemos tvarkytojui ir skelbimo juridinio asmens ar užsienio juridinio asmens filialo interneto svetainėje tvarkos pažeidimas</w:t>
                          </w:r>
                        </w:sdtContent>
                      </w:sdt>
                    </w:p>
                    <w:sdt>
                      <w:sdtPr>
                        <w:alias w:val="223 str. 1 d."/>
                        <w:tag w:val="part_461d7f991346497ab827e469fe0f3725"/>
                        <w:lock w:val="sdtLocked"/>
                        <w:richText/>
                      </w:sdtPr>
                      <w:sdtContent>
                        <w:p>
                          <w:pPr>
                            <w:spacing w:line="360" w:lineRule="auto"/>
                            <w:ind w:firstLine="720"/>
                            <w:jc w:val="both"/>
                            <w:rPr>
                              <w:color w:val="000000"/>
                              <w:szCs w:val="24"/>
                              <w:lang w:eastAsia="lt-LT"/>
                            </w:rPr>
                          </w:pPr>
                          <w:sdt>
                            <w:sdtPr>
                              <w:alias w:val="Numeris"/>
                              <w:tag w:val="nr_461d7f991346497ab827e469fe0f3725"/>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tvarkytojui,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7cd6fb638a1f46caaa85dd71f5ccf6ec"/>
                    <w:lock w:val="sdtLocked"/>
                    <w:richText/>
                  </w:sdtPr>
                  <w:sdtContent>
                    <w:p>
                      <w:pPr>
                        <w:widowControl w:val="0"/>
                        <w:spacing w:line="360" w:lineRule="auto"/>
                        <w:ind w:firstLine="720"/>
                        <w:jc w:val="both"/>
                        <w:rPr>
                          <w:szCs w:val="24"/>
                        </w:rPr>
                      </w:pPr>
                      <w:sdt>
                        <w:sdtPr>
                          <w:alias w:val="Numeris"/>
                          <w:tag w:val="nr_7cd6fb638a1f46caaa85dd71f5ccf6ec"/>
                          <w:lock w:val="sdtLocked"/>
                          <w:richText/>
                        </w:sdtPr>
                        <w:sdtContent>
                          <w:r>
                            <w:rPr>
                              <w:b/>
                              <w:szCs w:val="24"/>
                            </w:rPr>
                            <w:t>242</w:t>
                          </w:r>
                        </w:sdtContent>
                      </w:sdt>
                      <w:r>
                        <w:rPr>
                          <w:b/>
                          <w:szCs w:val="24"/>
                        </w:rPr>
                        <w:t xml:space="preserve"> straipsnis. </w:t>
                      </w:r>
                      <w:sdt>
                        <w:sdtPr>
                          <w:alias w:val="Pavadinimas"/>
                          <w:tag w:val="title_7cd6fb638a1f46caaa85dd71f5ccf6ec"/>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242 str. 5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6dbd56ef48b64a2c99f5d5c5184eeafd"/>
                        <w:lock w:val="sdtLocked"/>
                        <w:richText/>
                      </w:sdtPr>
                      <w:sdtContent>
                        <w:p>
                          <w:pPr>
                            <w:spacing w:line="360" w:lineRule="auto"/>
                            <w:ind w:firstLine="720"/>
                            <w:jc w:val="both"/>
                            <w:rPr>
                              <w:bCs/>
                              <w:szCs w:val="24"/>
                            </w:rPr>
                          </w:pPr>
                          <w:sdt>
                            <w:sdtPr>
                              <w:alias w:val="Numeris"/>
                              <w:tag w:val="nr_6dbd56ef48b64a2c99f5d5c5184eeafd"/>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pPr>
                          <w:r>
                            <w:rPr>
                              <w:bCs/>
                              <w:szCs w:val="24"/>
                            </w:rPr>
                            <w:t>užtraukia baudą juridinių asmenų vadovams ar kitiems atsakingiems asmenims nuo dviejų tūkstančių septynių šimtų iki šešių tūkstančių eurų.</w:t>
                          </w:r>
                        </w:p>
                      </w:sdtContent>
                    </w:sdt>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9ca854c06092417ca074c6b75ba3202e"/>
                        <w:lock w:val="sdtLocked"/>
                        <w:richText/>
                      </w:sdtPr>
                      <w:sdtContent>
                        <w:p>
                          <w:pPr>
                            <w:widowControl w:val="0"/>
                            <w:tabs>
                              <w:tab w:val="left" w:pos="709"/>
                              <w:tab w:val="left" w:pos="993"/>
                              <w:tab w:val="left" w:pos="1134"/>
                            </w:tabs>
                            <w:spacing w:line="360" w:lineRule="auto"/>
                            <w:ind w:firstLine="720"/>
                            <w:jc w:val="both"/>
                            <w:rPr>
                              <w:bCs/>
                            </w:rPr>
                          </w:pPr>
                          <w:sdt>
                            <w:sdtPr>
                              <w:alias w:val="Numeris"/>
                              <w:tag w:val="nr_9ca854c06092417ca074c6b75ba3202e"/>
                              <w:lock w:val="sdtLocked"/>
                              <w:richText/>
                            </w:sdtPr>
                            <w:sdtContent>
                              <w:r>
                                <w:rPr>
                                  <w:bCs/>
                                </w:rPr>
                                <w:t>1</w:t>
                              </w:r>
                            </w:sdtContent>
                          </w:sdt>
                          <w:r>
                            <w:rPr>
                              <w:bCs/>
                            </w:rPr>
                            <w:t>.</w:t>
                          </w:r>
                          <w:r>
                            <w:t xml:space="preserve"> </w:t>
                          </w:r>
                          <w:r>
                            <w:rPr>
                              <w:bCs/>
                            </w:rPr>
                            <w:t xml:space="preserve">Transporto priemonių techninės priežiūros, remonto, techninės pagalbos ir perdirbimo aplinkos apsaugos reikalavimų pažeidimai, išskyrus šio kodekso 235 straipsnio 1, 2, 3, 4, 7, 8 dalyse, 242, 244, 246 straipsniuose, 247 straipsnio 1, 2, 3, 4, 5, 6, 7, 8, 9, 10, 11, 12, 13, 14, 15, 16, 17, 18, 19, 20, 21, 22, 23, 24, 25, 26, 27, 28, 29, 31, 33, 34, 36, 37, 38, 39, 40 dalyse, 249, 252 straipsnio 5, 6, 8, 9 dalyse, 309 straipsnio 1, 2, 4, 7, 8 dalyse, 332 straipsnio 2 dalyje numatytus pažeidimus, </w:t>
                          </w:r>
                        </w:p>
                        <w:p>
                          <w:pPr>
                            <w:widowControl w:val="0"/>
                            <w:spacing w:line="360" w:lineRule="auto"/>
                            <w:ind w:firstLine="720"/>
                            <w:jc w:val="both"/>
                            <w:rPr>
                              <w:bCs/>
                            </w:rPr>
                          </w:pPr>
                          <w:r>
                            <w:rPr>
                              <w:bCs/>
                            </w:rPr>
                            <w:t>užtraukia baudą asmenims nuo dviejų šimtų penkiasdešimt iki aštuonių šimtų septyniasdešimt eurų ir juridinių asmenų vadovams ar kitiems atsakingiems asmenims – nuo trijų šimtų dvidešimt penkių iki vieno tūkstančio vieno šimto eurų.</w:t>
                          </w:r>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0"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1"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2"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928eaf97431e4e2abd0b33ab9e221e1a"/>
                        <w:lock w:val="sdtLocked"/>
                        <w:richText/>
                      </w:sdtPr>
                      <w:sdtContent>
                        <w:p>
                          <w:pPr>
                            <w:widowControl w:val="0"/>
                            <w:spacing w:line="360" w:lineRule="auto"/>
                            <w:ind w:firstLine="720"/>
                            <w:jc w:val="both"/>
                            <w:rPr>
                              <w:bCs/>
                              <w:szCs w:val="24"/>
                            </w:rPr>
                          </w:pPr>
                          <w:sdt>
                            <w:sdtPr>
                              <w:alias w:val="Numeris"/>
                              <w:tag w:val="nr_928eaf97431e4e2abd0b33ab9e221e1a"/>
                              <w:lock w:val="sdtLocked"/>
                              <w:richText/>
                            </w:sdtPr>
                            <w:sdtContent>
                              <w:r>
                                <w:rPr>
                                  <w:bCs/>
                                  <w:lang w:eastAsia="en-GB"/>
                                </w:rPr>
                                <w:t>11</w:t>
                              </w:r>
                            </w:sdtContent>
                          </w:sdt>
                          <w:r>
                            <w:rPr>
                              <w:lang w:eastAsia="en-GB"/>
                            </w:rPr>
                            <w:t xml:space="preserve">. Už šio straipsnio 1, 2 dalyse numatytus administracinius nusižengimus gali būti skiriamas administracinio nusižengimo padarymo įrankių ir priemonių konfiskavimas. Už šio straipsnio 4, </w:t>
                          </w:r>
                          <w:r>
                            <w:rPr>
                              <w:bCs/>
                              <w:lang w:eastAsia="en-GB"/>
                            </w:rPr>
                            <w:t>5,</w:t>
                          </w:r>
                          <w:r>
                            <w:rPr>
                              <w:lang w:eastAsia="en-GB"/>
                            </w:rPr>
                            <w:t xml:space="preserve"> 6, 7</w:t>
                          </w:r>
                          <w:r>
                            <w:rPr>
                              <w:bCs/>
                              <w:lang w:eastAsia="en-GB"/>
                            </w:rPr>
                            <w:t>, 8,</w:t>
                          </w:r>
                          <w:r>
                            <w:rPr>
                              <w:lang w:eastAsia="en-GB"/>
                            </w:rPr>
                            <w:t xml:space="preserve"> </w:t>
                          </w:r>
                          <w:r>
                            <w:rPr>
                              <w:bCs/>
                              <w:lang w:eastAsia="en-GB"/>
                            </w:rPr>
                            <w:t xml:space="preserve">9 ir 10 </w:t>
                          </w:r>
                          <w:r>
                            <w:rPr>
                              <w:lang w:eastAsia="en-GB"/>
                            </w:rPr>
                            <w:t>dalyse numatytus administracinius nusižengimus privaloma skirti administracinio nusižengimo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3"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4"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5"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8d582ef11184d80a3af3fa9b9b2da60"/>
                        <w:lock w:val="sdtLocked"/>
                        <w:richText/>
                      </w:sdtPr>
                      <w:sdtContent>
                        <w:p>
                          <w:pPr>
                            <w:spacing w:line="360" w:lineRule="auto"/>
                            <w:ind w:firstLine="720"/>
                            <w:jc w:val="both"/>
                            <w:rPr>
                              <w:szCs w:val="24"/>
                              <w:lang w:eastAsia="lt-LT"/>
                            </w:rPr>
                          </w:pPr>
                          <w:sdt>
                            <w:sdtPr>
                              <w:alias w:val="Numeris"/>
                              <w:tag w:val="nr_c8d582ef11184d80a3af3fa9b9b2da60"/>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užtraukia baudą nuo aštuonių šimtų iki dviejų tūkstančių keturių šimtų eurų.</w:t>
                          </w:r>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4cd1dd6017a14a739f80c826dbbbb679"/>
                        <w:lock w:val="sdtLocked"/>
                        <w:richText/>
                      </w:sdtPr>
                      <w:sdtContent>
                        <w:p>
                          <w:pPr>
                            <w:spacing w:line="360" w:lineRule="auto"/>
                            <w:ind w:firstLine="720"/>
                            <w:jc w:val="both"/>
                            <w:rPr>
                              <w:szCs w:val="24"/>
                              <w:lang w:eastAsia="lt-LT"/>
                            </w:rPr>
                          </w:pPr>
                          <w:sdt>
                            <w:sdtPr>
                              <w:alias w:val="Numeris"/>
                              <w:tag w:val="nr_4cd1dd6017a14a739f80c826dbbbb679"/>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927c6191d3de42d19cf3350e39b4318a"/>
                        <w:lock w:val="sdtLocked"/>
                        <w:richText/>
                      </w:sdtPr>
                      <w:sdtContent>
                        <w:p>
                          <w:pPr>
                            <w:spacing w:line="360" w:lineRule="auto"/>
                            <w:ind w:firstLine="720"/>
                            <w:jc w:val="both"/>
                            <w:rPr>
                              <w:szCs w:val="24"/>
                              <w:lang w:eastAsia="lt-LT"/>
                            </w:rPr>
                          </w:pPr>
                          <w:sdt>
                            <w:sdtPr>
                              <w:alias w:val="Numeris"/>
                              <w:tag w:val="nr_927c6191d3de42d19cf3350e39b4318a"/>
                              <w:lock w:val="sdtLocked"/>
                              <w:richText/>
                            </w:sdtPr>
                            <w:sdtContent>
                              <w:r>
                                <w:rPr>
                                  <w:szCs w:val="24"/>
                                  <w:lang w:eastAsia="lt-LT"/>
                                </w:rPr>
                                <w:t>9</w:t>
                              </w:r>
                            </w:sdtContent>
                          </w:sdt>
                          <w:r>
                            <w:rPr>
                              <w:szCs w:val="24"/>
                              <w:lang w:eastAsia="lt-LT"/>
                            </w:rPr>
                            <w:t>. Naujo ypatingojo statinio savavališka statyba</w:t>
                          </w:r>
                        </w:p>
                        <w:p>
                          <w:pPr>
                            <w:spacing w:line="360" w:lineRule="auto"/>
                            <w:ind w:firstLine="720"/>
                            <w:jc w:val="both"/>
                            <w:rPr>
                              <w:szCs w:val="24"/>
                              <w:lang w:eastAsia="lt-LT"/>
                            </w:rPr>
                          </w:pPr>
                          <w:r>
                            <w:rPr>
                              <w:szCs w:val="24"/>
                              <w:lang w:eastAsia="lt-LT"/>
                            </w:rPr>
                            <w:t>užtraukia baudą nuo dviejų tūkstančių iki penkių tūkstančių septynių šimtų eurų.</w:t>
                          </w:r>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2"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3"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4"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5" w:tgtFrame="_blank" w:history="1">
                            <w:r>
                              <w:rPr>
                                <w:color w:val="0000FF" w:themeColor="hyperlink"/>
                                <w:szCs w:val="24"/>
                                <w:u w:val="single"/>
                                <w:lang w:eastAsia="lt-LT"/>
                              </w:rPr>
                              <w:t>(ES) Nr. 1178/2011</w:t>
                            </w:r>
                          </w:hyperlink>
                          <w:r>
                            <w:rPr>
                              <w:szCs w:val="24"/>
                              <w:lang w:eastAsia="lt-LT"/>
                            </w:rPr>
                            <w:t xml:space="preserve">, Reglamente </w:t>
                          </w:r>
                          <w:hyperlink r:id="rId26"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7"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8"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29" w:tgtFrame="_blank" w:history="1">
                            <w:r>
                              <w:rPr>
                                <w:color w:val="0000FF" w:themeColor="hyperlink"/>
                                <w:szCs w:val="24"/>
                                <w:u w:val="single"/>
                                <w:lang w:eastAsia="lt-LT"/>
                              </w:rPr>
                              <w:t>(ES) Nr. 1178/2011</w:t>
                            </w:r>
                          </w:hyperlink>
                          <w:r>
                            <w:rPr>
                              <w:szCs w:val="24"/>
                              <w:lang w:eastAsia="lt-LT"/>
                            </w:rPr>
                            <w:t xml:space="preserve">, Reglamente </w:t>
                          </w:r>
                          <w:hyperlink r:id="rId30" w:tgtFrame="_blank" w:history="1">
                            <w:r>
                              <w:rPr>
                                <w:color w:val="0000FF" w:themeColor="hyperlink"/>
                                <w:szCs w:val="24"/>
                                <w:u w:val="single"/>
                                <w:lang w:eastAsia="lt-LT"/>
                              </w:rPr>
                              <w:t>(ES) Nr. 1321/2014</w:t>
                            </w:r>
                          </w:hyperlink>
                          <w:r>
                            <w:rPr>
                              <w:szCs w:val="24"/>
                              <w:lang w:eastAsia="lt-LT"/>
                            </w:rPr>
                            <w:t xml:space="preserve">, Reglamente </w:t>
                          </w:r>
                          <w:hyperlink r:id="rId31" w:tgtFrame="_blank" w:history="1">
                            <w:r>
                              <w:rPr>
                                <w:color w:val="0000FF" w:themeColor="hyperlink"/>
                                <w:szCs w:val="24"/>
                                <w:u w:val="single"/>
                                <w:lang w:eastAsia="lt-LT"/>
                              </w:rPr>
                              <w:t>(ES) 2015/340</w:t>
                            </w:r>
                          </w:hyperlink>
                          <w:r>
                            <w:rPr>
                              <w:szCs w:val="24"/>
                              <w:lang w:eastAsia="lt-LT"/>
                            </w:rPr>
                            <w:t xml:space="preserve"> ir Reglamente </w:t>
                          </w:r>
                          <w:hyperlink r:id="rId3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09922115e46b48f6977c4cd07b9e50e1"/>
                        <w:lock w:val="sdtLocked"/>
                        <w:richText/>
                      </w:sdtPr>
                      <w:sdtContent>
                        <w:p>
                          <w:pPr>
                            <w:spacing w:line="360" w:lineRule="auto"/>
                            <w:ind w:firstLine="720"/>
                            <w:jc w:val="both"/>
                            <w:rPr>
                              <w:szCs w:val="24"/>
                              <w:lang w:eastAsia="lt-LT"/>
                            </w:rPr>
                          </w:pPr>
                          <w:sdt>
                            <w:sdtPr>
                              <w:alias w:val="Numeris"/>
                              <w:tag w:val="nr_09922115e46b48f6977c4cd07b9e50e1"/>
                              <w:lock w:val="sdtLocked"/>
                              <w:richText/>
                            </w:sdtPr>
                            <w:sdtContent>
                              <w:r>
                                <w:rPr>
                                  <w:szCs w:val="24"/>
                                  <w:lang w:eastAsia="lt-LT"/>
                                </w:rPr>
                                <w:t>7</w:t>
                              </w:r>
                            </w:sdtContent>
                          </w:sdt>
                          <w:r>
                            <w:rPr>
                              <w:szCs w:val="24"/>
                              <w:lang w:eastAsia="lt-LT"/>
                            </w:rPr>
                            <w:t xml:space="preserve">. </w:t>
                          </w:r>
                          <w:r>
                            <w:rPr>
                              <w:bCs/>
                              <w:szCs w:val="24"/>
                              <w:shd w:val="clear" w:color="auto" w:fill="FFFFFF"/>
                            </w:rPr>
                            <w:t xml:space="preserve">2012 m. rugsėjo 26 d. Komisijos įgyvendinimo reglamente </w:t>
                          </w:r>
                          <w:hyperlink r:id="rId33" w:tgtFrame="_blank" w:history="1">
                            <w:r>
                              <w:rPr>
                                <w:bCs/>
                                <w:color w:val="0000FF" w:themeColor="hyperlink"/>
                                <w:szCs w:val="24"/>
                                <w:u w:val="single"/>
                                <w:shd w:val="clear" w:color="auto" w:fill="FFFFFF"/>
                              </w:rPr>
                              <w:t>(ES) Nr. 923/2012</w:t>
                            </w:r>
                          </w:hyperlink>
                          <w:r>
                            <w:rPr>
                              <w:bCs/>
                              <w:szCs w:val="24"/>
                              <w:shd w:val="clear" w:color="auto" w:fill="FFFFFF"/>
                            </w:rPr>
                            <w:t xml:space="preserve">, kuriuo nustatomos bendrosios skrydžių taisyklės ir veiklos nuostatos dėl oro navigacijos paslaugų ir procedūrų ir iš dalies keičiami Įgyvendinimo reglamentas </w:t>
                          </w:r>
                          <w:hyperlink r:id="rId34" w:tgtFrame="_blank" w:history="1">
                            <w:r>
                              <w:rPr>
                                <w:bCs/>
                                <w:color w:val="0000FF" w:themeColor="hyperlink"/>
                                <w:szCs w:val="24"/>
                                <w:u w:val="single"/>
                                <w:shd w:val="clear" w:color="auto" w:fill="FFFFFF"/>
                              </w:rPr>
                              <w:t>(ES) Nr. 1035/2011</w:t>
                            </w:r>
                          </w:hyperlink>
                          <w:r>
                            <w:rPr>
                              <w:bCs/>
                              <w:szCs w:val="24"/>
                              <w:shd w:val="clear" w:color="auto" w:fill="FFFFFF"/>
                            </w:rPr>
                            <w:t xml:space="preserve"> ir reglamentai </w:t>
                          </w:r>
                          <w:hyperlink r:id="rId35" w:tgtFrame="_blank" w:history="1">
                            <w:r>
                              <w:rPr>
                                <w:bCs/>
                                <w:color w:val="0000FF" w:themeColor="hyperlink"/>
                                <w:szCs w:val="24"/>
                                <w:u w:val="single"/>
                                <w:shd w:val="clear" w:color="auto" w:fill="FFFFFF"/>
                              </w:rPr>
                              <w:t>(EB) Nr. 1265/2007</w:t>
                            </w:r>
                          </w:hyperlink>
                          <w:r>
                            <w:rPr>
                              <w:bCs/>
                              <w:szCs w:val="24"/>
                              <w:shd w:val="clear" w:color="auto" w:fill="FFFFFF"/>
                            </w:rPr>
                            <w:t xml:space="preserve">, </w:t>
                          </w:r>
                          <w:hyperlink r:id="rId36" w:tgtFrame="_blank" w:history="1">
                            <w:r>
                              <w:rPr>
                                <w:bCs/>
                                <w:color w:val="0000FF" w:themeColor="hyperlink"/>
                                <w:szCs w:val="24"/>
                                <w:u w:val="single"/>
                                <w:shd w:val="clear" w:color="auto" w:fill="FFFFFF"/>
                              </w:rPr>
                              <w:t>(EB) Nr. 1794/2006</w:t>
                            </w:r>
                          </w:hyperlink>
                          <w:r>
                            <w:rPr>
                              <w:bCs/>
                              <w:szCs w:val="24"/>
                              <w:shd w:val="clear" w:color="auto" w:fill="FFFFFF"/>
                            </w:rPr>
                            <w:t xml:space="preserve">, </w:t>
                          </w:r>
                          <w:hyperlink r:id="rId37" w:tgtFrame="_blank" w:history="1">
                            <w:r>
                              <w:rPr>
                                <w:bCs/>
                                <w:color w:val="0000FF" w:themeColor="hyperlink"/>
                                <w:szCs w:val="24"/>
                                <w:u w:val="single"/>
                                <w:shd w:val="clear" w:color="auto" w:fill="FFFFFF"/>
                              </w:rPr>
                              <w:t>(EB) Nr. 730/2006</w:t>
                            </w:r>
                          </w:hyperlink>
                          <w:r>
                            <w:rPr>
                              <w:bCs/>
                              <w:szCs w:val="24"/>
                              <w:shd w:val="clear" w:color="auto" w:fill="FFFFFF"/>
                            </w:rPr>
                            <w:t xml:space="preserve">, </w:t>
                          </w:r>
                          <w:hyperlink r:id="rId38" w:tgtFrame="_blank" w:history="1">
                            <w:r>
                              <w:rPr>
                                <w:bCs/>
                                <w:color w:val="0000FF" w:themeColor="hyperlink"/>
                                <w:szCs w:val="24"/>
                                <w:u w:val="single"/>
                                <w:shd w:val="clear" w:color="auto" w:fill="FFFFFF"/>
                              </w:rPr>
                              <w:t>(EB) Nr. 1033/2006</w:t>
                            </w:r>
                          </w:hyperlink>
                          <w:r>
                            <w:rPr>
                              <w:bCs/>
                              <w:szCs w:val="24"/>
                              <w:shd w:val="clear" w:color="auto" w:fill="FFFFFF"/>
                            </w:rPr>
                            <w:t xml:space="preserve"> ir </w:t>
                          </w:r>
                          <w:hyperlink r:id="rId39" w:tgtFrame="_blank" w:history="1">
                            <w:r>
                              <w:rPr>
                                <w:bCs/>
                                <w:color w:val="0000FF" w:themeColor="hyperlink"/>
                                <w:szCs w:val="24"/>
                                <w:u w:val="single"/>
                                <w:shd w:val="clear" w:color="auto" w:fill="FFFFFF"/>
                              </w:rPr>
                              <w:t>(ES) Nr. 255/2010</w:t>
                            </w:r>
                          </w:hyperlink>
                          <w:r>
                            <w:rPr>
                              <w:bCs/>
                              <w:szCs w:val="24"/>
                              <w:shd w:val="clear" w:color="auto" w:fill="FFFFFF"/>
                            </w:rPr>
                            <w:t xml:space="preserve">, </w:t>
                          </w:r>
                          <w:r>
                            <w:rPr>
                              <w:bCs/>
                              <w:szCs w:val="24"/>
                              <w:lang w:eastAsia="lt-LT"/>
                            </w:rPr>
                            <w:t>nustatytų</w:t>
                          </w:r>
                          <w:r>
                            <w:rPr>
                              <w:szCs w:val="24"/>
                              <w:lang w:eastAsia="lt-LT"/>
                            </w:rPr>
                            <w:t xml:space="preserve">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8 d."/>
                        <w:tag w:val="part_ada0e6676c1e4eaea6f54a92e7f6de66"/>
                        <w:lock w:val="sdtLocked"/>
                        <w:richText/>
                      </w:sdtPr>
                      <w:sdtContent>
                        <w:p>
                          <w:pPr>
                            <w:spacing w:line="360" w:lineRule="auto"/>
                            <w:ind w:firstLine="720"/>
                            <w:jc w:val="both"/>
                            <w:rPr>
                              <w:szCs w:val="24"/>
                              <w:lang w:eastAsia="lt-LT"/>
                            </w:rPr>
                          </w:pPr>
                          <w:sdt>
                            <w:sdtPr>
                              <w:alias w:val="Numeris"/>
                              <w:tag w:val="nr_ada0e6676c1e4eaea6f54a92e7f6de66"/>
                              <w:lock w:val="sdtLocked"/>
                              <w:richText/>
                            </w:sdtPr>
                            <w:sdtContent>
                              <w:r>
                                <w:rPr>
                                  <w:szCs w:val="24"/>
                                  <w:lang w:eastAsia="lt-LT"/>
                                </w:rPr>
                                <w:t>8</w:t>
                              </w:r>
                            </w:sdtContent>
                          </w:sdt>
                          <w:r>
                            <w:rPr>
                              <w:szCs w:val="24"/>
                              <w:lang w:eastAsia="lt-LT"/>
                            </w:rPr>
                            <w:t>. Orlaivio skrydis valdomoje oro erdvėje be atitinkamo leidimo, kai leidimas reikalingas,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9 d."/>
                        <w:tag w:val="part_aa46345080e145ca847b25b9bfdfde0e"/>
                        <w:lock w:val="sdtLocked"/>
                        <w:richText/>
                      </w:sdtPr>
                      <w:sdtContent>
                        <w:p>
                          <w:pPr>
                            <w:spacing w:line="360" w:lineRule="auto"/>
                            <w:ind w:firstLine="720"/>
                            <w:jc w:val="both"/>
                            <w:rPr>
                              <w:szCs w:val="24"/>
                            </w:rPr>
                          </w:pPr>
                          <w:sdt>
                            <w:sdtPr>
                              <w:alias w:val="Numeris"/>
                              <w:tag w:val="nr_aa46345080e145ca847b25b9bfdfde0e"/>
                              <w:lock w:val="sdtLocked"/>
                              <w:richText/>
                            </w:sdtPr>
                            <w:sdtContent>
                              <w:r>
                                <w:rPr>
                                  <w:szCs w:val="24"/>
                                  <w:lang w:eastAsia="lt-LT"/>
                                </w:rPr>
                                <w:t>9</w:t>
                              </w:r>
                            </w:sdtContent>
                          </w:sdt>
                          <w:r>
                            <w:rPr>
                              <w:szCs w:val="24"/>
                              <w:lang w:eastAsia="lt-LT"/>
                            </w:rPr>
                            <w:t>. Orlaivio skrydis be specialaus leidimo draudžiamose arba ribojamose zonose</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1b73ec6b0ad749f5855c0bccc022cd4d"/>
                            <w:lock w:val="sdtLocked"/>
                            <w:richText/>
                          </w:sdtPr>
                          <w:sdtContent>
                            <w:p>
                              <w:pPr>
                                <w:spacing w:line="360" w:lineRule="auto"/>
                                <w:ind w:firstLine="720"/>
                                <w:jc w:val="both"/>
                                <w:rPr>
                                  <w:szCs w:val="24"/>
                                </w:rPr>
                              </w:pPr>
                              <w:sdt>
                                <w:sdtPr>
                                  <w:alias w:val="Numeris"/>
                                  <w:tag w:val="nr_1b73ec6b0ad749f5855c0bccc022cd4d"/>
                                  <w:lock w:val="sdtLocked"/>
                                  <w:richText/>
                                </w:sdtPr>
                                <w:sdtContent>
                                  <w:r>
                                    <w:t>7</w:t>
                                  </w:r>
                                </w:sdtContent>
                              </w:sdt>
                              <w:r>
                                <w:t>) Lietuvos banko – dėl šio kodekso 196 straipsnio 2 dalyje, 198, 207</w:t>
                              </w:r>
                              <w:r>
                                <w:rPr>
                                  <w:vertAlign w:val="superscript"/>
                                </w:rPr>
                                <w:t>2</w:t>
                              </w:r>
                              <w:r>
                                <w:t xml:space="preserve">, 221, 222, 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4c4388e6a754ecea5e06313c7ac5530"/>
                            <w:lock w:val="sdtLocked"/>
                            <w:richText/>
                          </w:sdtPr>
                          <w:sdtContent>
                            <w:p>
                              <w:pPr>
                                <w:spacing w:line="360" w:lineRule="auto"/>
                                <w:ind w:firstLine="720"/>
                                <w:jc w:val="both"/>
                                <w:rPr>
                                  <w:szCs w:val="24"/>
                                </w:rPr>
                              </w:pPr>
                              <w:sdt>
                                <w:sdtPr>
                                  <w:alias w:val="Numeris"/>
                                  <w:tag w:val="nr_64c4388e6a754ecea5e06313c7ac5530"/>
                                  <w:lock w:val="sdtLocked"/>
                                  <w:richText/>
                                </w:sdtPr>
                                <w:sdtContent>
                                  <w:r>
                                    <w:rPr>
                                      <w:color w:val="000000"/>
                                      <w:szCs w:val="24"/>
                                      <w:lang w:eastAsia="lt-LT"/>
                                    </w:rPr>
                                    <w:t>30</w:t>
                                  </w:r>
                                </w:sdtContent>
                              </w:sdt>
                              <w:r>
                                <w:rPr>
                                  <w:color w:val="000000"/>
                                  <w:szCs w:val="24"/>
                                  <w:lang w:eastAsia="lt-LT"/>
                                </w:rPr>
                                <w:t xml:space="preserve">) </w:t>
                              </w:r>
                              <w:r>
                                <w:rPr>
                                  <w:color w:val="000000"/>
                                  <w:szCs w:val="24"/>
                                </w:rPr>
                                <w:t>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291 straipsnio 6 dalyje, 299 straipsnio 2, 3, 4 dalyse, 304</w:t>
                              </w:r>
                              <w:r>
                                <w:rPr>
                                  <w:color w:val="000000"/>
                                  <w:szCs w:val="24"/>
                                  <w:vertAlign w:val="superscript"/>
                                </w:rPr>
                                <w:t>1</w:t>
                              </w:r>
                              <w:r>
                                <w:rPr>
                                  <w:color w:val="000000"/>
                                  <w:szCs w:val="24"/>
                                </w:rPr>
                                <w:t xml:space="preserve"> straipsnyje, 304</w:t>
                              </w:r>
                              <w:r>
                                <w:rPr>
                                  <w:color w:val="000000"/>
                                  <w:szCs w:val="24"/>
                                  <w:vertAlign w:val="superscript"/>
                                </w:rPr>
                                <w:t>2</w:t>
                              </w:r>
                              <w:r>
                                <w:rPr>
                                  <w:color w:val="000000"/>
                                  <w:szCs w:val="24"/>
                                </w:rPr>
                                <w:t>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sdtContent>
                        </w:sdt>
                        <w:sdt>
                          <w:sdtPr>
                            <w:alias w:val="589 str. 1 d. 31 p."/>
                            <w:tag w:val="part_c212fe289def4110aaa46c86ecaa094f"/>
                            <w:lock w:val="sdtLocked"/>
                            <w:richText/>
                          </w:sdtPr>
                          <w:sdtContent>
                            <w:p>
                              <w:pPr>
                                <w:widowControl w:val="0"/>
                                <w:spacing w:line="360" w:lineRule="auto"/>
                                <w:ind w:firstLine="720"/>
                                <w:jc w:val="both"/>
                                <w:rPr>
                                  <w:szCs w:val="24"/>
                                </w:rPr>
                              </w:pPr>
                              <w:sdt>
                                <w:sdtPr>
                                  <w:alias w:val="Numeris"/>
                                  <w:tag w:val="nr_c212fe289def4110aaa46c86ecaa094f"/>
                                  <w:lock w:val="sdtLocked"/>
                                  <w:richText/>
                                </w:sdtPr>
                                <w:sdtContent>
                                  <w:r>
                                    <w:t>31</w:t>
                                  </w:r>
                                </w:sdtContent>
                              </w:sdt>
                              <w:r>
                                <w:t>) aplinkos apsaugos valstybinės kontrolės pareigūnai – dėl šio kodekso 48 straipsnio 1, 2 dalyse, 92 straipsnio 1 dalyje, 110, 112, 114 straipsniuose, 144 straipsnio 1, 4, 5 dalyse, 235, 236, 236</w:t>
                              </w:r>
                              <w:r>
                                <w:rPr>
                                  <w:vertAlign w:val="superscript"/>
                                </w:rPr>
                                <w:t>1</w:t>
                              </w:r>
                              <w:r>
                                <w:t>, 237, 238, 239, 241, 242, 243, 243</w:t>
                              </w:r>
                              <w:r>
                                <w:rPr>
                                  <w:vertAlign w:val="superscript"/>
                                </w:rPr>
                                <w:t>1</w:t>
                              </w:r>
                              <w:r>
                                <w:t>, 244, 246, 247, 247</w:t>
                              </w:r>
                              <w:r>
                                <w:rPr>
                                  <w:vertAlign w:val="superscript"/>
                                </w:rPr>
                                <w:t>1</w:t>
                              </w:r>
                              <w:r>
                                <w:t xml:space="preserve"> straipsnio 3, 4 dalyse, 248, </w:t>
                              </w:r>
                              <w:r>
                                <w:rPr>
                                  <w:lang w:eastAsia="lt-LT"/>
                                </w:rPr>
                                <w:t>248</w:t>
                              </w:r>
                              <w:r>
                                <w:rPr>
                                  <w:vertAlign w:val="superscript"/>
                                  <w:lang w:eastAsia="lt-LT"/>
                                </w:rPr>
                                <w:t>1</w:t>
                              </w:r>
                              <w:r>
                                <w:rPr>
                                  <w:lang w:eastAsia="lt-LT"/>
                                </w:rPr>
                                <w:t>, 248</w:t>
                              </w:r>
                              <w:r>
                                <w:rPr>
                                  <w:vertAlign w:val="superscript"/>
                                  <w:lang w:eastAsia="lt-LT"/>
                                </w:rPr>
                                <w:t>2</w:t>
                              </w:r>
                              <w:r>
                                <w:rPr>
                                  <w:lang w:eastAsia="lt-LT"/>
                                </w:rPr>
                                <w:t>, 248</w:t>
                              </w:r>
                              <w:r>
                                <w:rPr>
                                  <w:vertAlign w:val="superscript"/>
                                  <w:lang w:eastAsia="lt-LT"/>
                                </w:rPr>
                                <w:t>3</w:t>
                              </w:r>
                              <w:r>
                                <w:rPr>
                                  <w:lang w:eastAsia="lt-LT"/>
                                </w:rPr>
                                <w:t xml:space="preserve">, </w:t>
                              </w:r>
                              <w:r>
                                <w:t>249, 250, 251, 251</w:t>
                              </w:r>
                              <w:r>
                                <w:rPr>
                                  <w:vertAlign w:val="superscript"/>
                                </w:rPr>
                                <w:t>1</w:t>
                              </w:r>
                              <w:r>
                                <w:t>, 252, 253, 255, 255</w:t>
                              </w:r>
                              <w:r>
                                <w:rPr>
                                  <w:vertAlign w:val="superscript"/>
                                </w:rPr>
                                <w:t>1</w:t>
                              </w:r>
                              <w:r>
                                <w:t>, 256, 257, 258, 259, 260, 261, 262, 264, 265, 266, 267, 268, 269, 270, 270</w:t>
                              </w:r>
                              <w:r>
                                <w:rPr>
                                  <w:vertAlign w:val="superscript"/>
                                </w:rPr>
                                <w:t xml:space="preserve">1 </w:t>
                              </w:r>
                              <w:r>
                                <w:t>straipsniuose, 271 straipsnio 1, 2, 3, 4, 6</w:t>
                              </w:r>
                              <w:r>
                                <w:rPr>
                                  <w:bCs/>
                                </w:rPr>
                                <w:t>, 7, 8</w:t>
                              </w:r>
                              <w:r>
                                <w:t xml:space="preserve"> dalyse, 272, 273, 274, 275, 276, 277, 278, 279, 280 </w:t>
                              </w:r>
                              <w:r>
                                <w:rPr>
                                  <w:bCs/>
                                </w:rPr>
                                <w:t>straipsniuose</w:t>
                              </w:r>
                              <w:r>
                                <w:t>, 281 straipsnio 1, 2, 3, 4, 5, 6</w:t>
                              </w:r>
                              <w:r>
                                <w:rPr>
                                  <w:vertAlign w:val="superscript"/>
                                </w:rPr>
                                <w:t>1</w:t>
                              </w:r>
                              <w:r>
                                <w:t>, 7, 8, 9 dalyse, 282, 283, 284, 285, 286, 287, 288, 289, 290, 291, 292, 293 straipsniuose, 294 straipsnio 2 dalyje, 295 straipsnio 1, 2 dalyse, 296 straipsnio 2 dalyje, 299 straipsnio 3 dalyje, 303, 304</w:t>
                              </w:r>
                              <w:r>
                                <w:rPr>
                                  <w:vertAlign w:val="superscript"/>
                                </w:rPr>
                                <w:t>1</w:t>
                              </w:r>
                              <w:r>
                                <w:t>, 304</w:t>
                              </w:r>
                              <w:r>
                                <w:rPr>
                                  <w:vertAlign w:val="superscript"/>
                                </w:rPr>
                                <w:t>2</w:t>
                              </w:r>
                              <w:r>
                                <w:t>, 305, 307, 308, 308</w:t>
                              </w:r>
                              <w:r>
                                <w:rPr>
                                  <w:vertAlign w:val="superscript"/>
                                </w:rPr>
                                <w:t>1</w:t>
                              </w:r>
                              <w:r>
                                <w:t>, 309, 310, 311, 312, 313, 315, 316, 317, 318 straipsniuose, 346 straipsnio 1, 2, 3, 4, 5, 5</w:t>
                              </w:r>
                              <w:r>
                                <w:rPr>
                                  <w:vertAlign w:val="superscript"/>
                                </w:rPr>
                                <w:t>1</w:t>
                              </w:r>
                              <w:r>
                                <w:t>, 5</w:t>
                              </w:r>
                              <w:r>
                                <w:rPr>
                                  <w:vertAlign w:val="superscript"/>
                                </w:rPr>
                                <w:t>2</w:t>
                              </w:r>
                              <w:r>
                                <w:t xml:space="preserve">, 16, 17, 18, 19 dalyse, 364 straipsnyje, 369 straipsnio 13, 14, 17, 18, 19, 20, 21, 22 dalyse, 426 straipsnio 4 dalyje, 431 straipsnio 1, 2, 3, 4 dalyse, 491,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c8921e0a91054088bb3b5f51b442473d"/>
                            <w:lock w:val="sdtLocked"/>
                            <w:richText/>
                          </w:sdtPr>
                          <w:sdtContent>
                            <w:p>
                              <w:pPr>
                                <w:spacing w:line="360" w:lineRule="auto"/>
                                <w:ind w:firstLine="720"/>
                                <w:jc w:val="both"/>
                              </w:pPr>
                              <w:sdt>
                                <w:sdtPr>
                                  <w:alias w:val="Numeris"/>
                                  <w:tag w:val="nr_c8921e0a91054088bb3b5f51b442473d"/>
                                  <w:lock w:val="sdtLocked"/>
                                  <w:richText/>
                                </w:sdtPr>
                                <w:sdtContent>
                                  <w:r>
                                    <w:rPr>
                                      <w:color w:val="000000"/>
                                      <w:szCs w:val="24"/>
                                    </w:rPr>
                                    <w:t>49</w:t>
                                  </w:r>
                                </w:sdtContent>
                              </w:sdt>
                              <w:r>
                                <w:rPr>
                                  <w:color w:val="000000"/>
                                  <w:szCs w:val="24"/>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color w:val="000000"/>
                                  <w:szCs w:val="24"/>
                                  <w:vertAlign w:val="superscript"/>
                                </w:rPr>
                                <w:t>1</w:t>
                              </w:r>
                              <w:r>
                                <w:rPr>
                                  <w:color w:val="000000"/>
                                  <w:szCs w:val="24"/>
                                </w:rPr>
                                <w:t>, 133, 134, 137, 142, 143, 150, 151, 152, 153, 154, 155, 159, 160, 161, 162, 163, 164, 166, 167, 168, 169, 170, 170</w:t>
                              </w:r>
                              <w:r>
                                <w:rPr>
                                  <w:color w:val="000000"/>
                                  <w:szCs w:val="24"/>
                                  <w:vertAlign w:val="superscript"/>
                                </w:rPr>
                                <w:t>1</w:t>
                              </w:r>
                              <w:r>
                                <w:rPr>
                                  <w:color w:val="000000"/>
                                  <w:szCs w:val="24"/>
                                </w:rPr>
                                <w:t>,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2</w:t>
                              </w:r>
                              <w:r>
                                <w:rPr>
                                  <w:color w:val="000000"/>
                                  <w:szCs w:val="24"/>
                                </w:rPr>
                                <w:t xml:space="preserve"> straipsniuose, 281 straipsnio 1, 2, 3, 4, 5 dalyse, 282, 290, 307, 321, 336, 339, 340, 342, 346, 366, 367, 368 straipsniuose, 369 straipsnio 5, 6, 11, 12, 15, 16 dalyse, 373 straipsnio 2 dalyje, 414, 415, 416, 417, 420, 421, 422, 422</w:t>
                              </w:r>
                              <w:r>
                                <w:rPr>
                                  <w:color w:val="000000"/>
                                  <w:szCs w:val="24"/>
                                  <w:vertAlign w:val="superscript"/>
                                </w:rPr>
                                <w:t>1</w:t>
                              </w:r>
                              <w:r>
                                <w:rPr>
                                  <w:color w:val="000000"/>
                                  <w:szCs w:val="24"/>
                                </w:rPr>
                                <w:t>, 423, 424 straipsniuose, 426 straipsnio 1, 2, 3, 5 dalyse, 427, 428, 429, 430, 431, 432, 433 straipsniuose, 434 straipsnio 1, 3 dalyse, 436, 438 straipsniuose, 439 straipsnio 2 dalyje, 450 straipsnio 1, 2, 17, 18 dalyse, 451, 452, 454, 455, 456, 458, 459, 460, 461, 462, 463, 473, 474, 474</w:t>
                              </w:r>
                              <w:r>
                                <w:rPr>
                                  <w:color w:val="000000"/>
                                  <w:szCs w:val="24"/>
                                  <w:vertAlign w:val="superscript"/>
                                </w:rPr>
                                <w:t>1</w:t>
                              </w:r>
                              <w:r>
                                <w:rPr>
                                  <w:color w:val="000000"/>
                                  <w:szCs w:val="24"/>
                                </w:rPr>
                                <w:t>, 479 straipsniuose, 480 straipsnio 1, 2 dalyse,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495 straipsniuose, 496 straipsnio 1, 2 dalyse, 506 straipsnio 1, 2, 4, 4</w:t>
                              </w:r>
                              <w:r>
                                <w:rPr>
                                  <w:color w:val="000000"/>
                                  <w:szCs w:val="24"/>
                                  <w:vertAlign w:val="superscript"/>
                                </w:rPr>
                                <w:t>1</w:t>
                              </w:r>
                              <w:r>
                                <w:rPr>
                                  <w:color w:val="000000"/>
                                  <w:szCs w:val="24"/>
                                </w:rPr>
                                <w:t>, 5, 6 dalyse, 507, 507</w:t>
                              </w:r>
                              <w:r>
                                <w:rPr>
                                  <w:color w:val="000000"/>
                                  <w:szCs w:val="24"/>
                                  <w:vertAlign w:val="superscript"/>
                                </w:rPr>
                                <w:t>1</w:t>
                              </w:r>
                              <w:r>
                                <w:rPr>
                                  <w:color w:val="000000"/>
                                  <w:szCs w:val="24"/>
                                </w:rPr>
                                <w:t>,</w:t>
                              </w:r>
                              <w:r>
                                <w:rPr>
                                  <w:bCs/>
                                  <w:color w:val="000000"/>
                                  <w:szCs w:val="24"/>
                                </w:rPr>
                                <w:t xml:space="preserve"> </w:t>
                              </w:r>
                              <w:r>
                                <w:rPr>
                                  <w:color w:val="000000"/>
                                  <w:szCs w:val="24"/>
                                </w:rPr>
                                <w:t>508, 510</w:t>
                              </w:r>
                              <w:r>
                                <w:rPr>
                                  <w:color w:val="000000"/>
                                  <w:szCs w:val="24"/>
                                  <w:vertAlign w:val="superscript"/>
                                </w:rPr>
                                <w:t>1</w:t>
                              </w:r>
                              <w:r>
                                <w:rPr>
                                  <w:color w:val="000000"/>
                                  <w:szCs w:val="24"/>
                                </w:rPr>
                                <w:t xml:space="preserve">, 511, 512, 513, 518, 519, 520, 521, 523,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527, 528, 530, 534, 535, 538, 540, 546, 553, 555</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ff0f3a6aba7e4b529315185577f0ace8"/>
                            <w:lock w:val="sdtLocked"/>
                            <w:richText/>
                          </w:sdtPr>
                          <w:sdtContent>
                            <w:p>
                              <w:pPr>
                                <w:spacing w:line="360" w:lineRule="auto"/>
                                <w:ind w:firstLine="720"/>
                                <w:jc w:val="both"/>
                                <w:textAlignment w:val="baseline"/>
                                <w:rPr>
                                  <w:szCs w:val="24"/>
                                </w:rPr>
                              </w:pPr>
                              <w:sdt>
                                <w:sdtPr>
                                  <w:alias w:val="Numeris"/>
                                  <w:tag w:val="nr_ff0f3a6aba7e4b529315185577f0ace8"/>
                                  <w:lock w:val="sdtLocked"/>
                                  <w:richText/>
                                </w:sdtPr>
                                <w:sdtContent>
                                  <w:r>
                                    <w:rPr>
                                      <w:szCs w:val="24"/>
                                      <w:lang w:eastAsia="lt-LT"/>
                                    </w:rPr>
                                    <w:t>63</w:t>
                                  </w:r>
                                </w:sdtContent>
                              </w:sdt>
                              <w:r>
                                <w:rPr>
                                  <w:szCs w:val="24"/>
                                  <w:lang w:eastAsia="lt-LT"/>
                                </w:rPr>
                                <w:t>) Lietuvos transporto saugos administracijos – dėl šio kodekso 101 straipsnio 5, 6 dalyse, 139 straipsnio 1, 2, 3, 4, 5, 6 dalyse, 150, 256, 307 straipsniuose, 369 straipsnio 5, 6 dalyse, 370, 370</w:t>
                              </w:r>
                              <w:r>
                                <w:rPr>
                                  <w:szCs w:val="24"/>
                                  <w:vertAlign w:val="superscript"/>
                                  <w:lang w:eastAsia="lt-LT"/>
                                </w:rPr>
                                <w:t>1</w:t>
                              </w:r>
                              <w:r>
                                <w:rPr>
                                  <w:szCs w:val="24"/>
                                  <w:lang w:eastAsia="lt-LT"/>
                                </w:rPr>
                                <w:t xml:space="preserve">, 372, 373, 374, 375, 376, 377, 378, 379, 380, 381, 382, 383, 384, 385, 386, 387, 388, 389, 390, 391, 392, 393, 394, 395, 396, 397, 398 straipsniuose, 401 straipsnio 2, 3, 4, 5, 6, 7, 8, 9, 10, 11, 12, 13, 14, 15, 16, 17, 18, 19, 20, 21, 22, 23, 25, 26 dalyse, </w:t>
                              </w:r>
                              <w:r>
                                <w:rPr>
                                  <w:bCs/>
                                  <w:szCs w:val="24"/>
                                  <w:lang w:eastAsia="lt-LT"/>
                                </w:rPr>
                                <w:t>401</w:t>
                              </w:r>
                              <w:r>
                                <w:rPr>
                                  <w:bCs/>
                                  <w:szCs w:val="24"/>
                                  <w:vertAlign w:val="superscript"/>
                                  <w:lang w:eastAsia="lt-LT"/>
                                </w:rPr>
                                <w:t>1</w:t>
                              </w:r>
                              <w:r>
                                <w:rPr>
                                  <w:bCs/>
                                  <w:szCs w:val="24"/>
                                  <w:lang w:eastAsia="lt-LT"/>
                                </w:rPr>
                                <w:t>,</w:t>
                              </w:r>
                              <w:r>
                                <w:rPr>
                                  <w:szCs w:val="24"/>
                                  <w:lang w:eastAsia="lt-LT"/>
                                </w:rPr>
                                <w:t xml:space="preserve"> 402, 403, 404, 405, 406, 407, 409, 410, 411, 413 straipsniuose, 415 straipsnio 2 dalyje, 425 straipsnyje, 426 straipsnio 4 dalyje, 429 straipsnyje, 431 straipsnio 1, 2, 3, 4 dalyse, 434 straipsnio 1, 2, 3 dalyse, 435, 436, 437, 438, 439, 440, 441, 442, 443, 444, 445, 446, 447, 448, 449, 449</w:t>
                              </w:r>
                              <w:r>
                                <w:rPr>
                                  <w:szCs w:val="24"/>
                                  <w:vertAlign w:val="superscript"/>
                                  <w:lang w:eastAsia="lt-LT"/>
                                </w:rPr>
                                <w:t>1</w:t>
                              </w:r>
                              <w:r>
                                <w:rPr>
                                  <w:szCs w:val="24"/>
                                  <w:lang w:eastAsia="lt-LT"/>
                                </w:rPr>
                                <w:t>, 450, 451, 452, 453, 454, 455, 456, 457, 458 straipsniuose, 459 straipsnio 1, 2, 3, 4, 5, 6, 7, 9, 10 dalyse, 460, 461, 462,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30efe564c0004a07970ab4e98cfbf2bd"/>
                            <w:lock w:val="sdtLocked"/>
                            <w:richText/>
                          </w:sdtPr>
                          <w:sdtContent>
                            <w:p>
                              <w:pPr>
                                <w:spacing w:line="360" w:lineRule="auto"/>
                                <w:ind w:firstLine="720"/>
                                <w:jc w:val="both"/>
                                <w:rPr>
                                  <w:szCs w:val="24"/>
                                </w:rPr>
                              </w:pPr>
                              <w:sdt>
                                <w:sdtPr>
                                  <w:alias w:val="Numeris"/>
                                  <w:tag w:val="nr_30efe564c0004a07970ab4e98cfbf2bd"/>
                                  <w:lock w:val="sdtLocked"/>
                                  <w:richText/>
                                </w:sdtPr>
                                <w:sdtContent>
                                  <w:r>
                                    <w:rPr>
                                      <w:szCs w:val="24"/>
                                    </w:rPr>
                                    <w:t>66</w:t>
                                  </w:r>
                                </w:sdtContent>
                              </w:sdt>
                              <w:r>
                                <w:rPr>
                                  <w:szCs w:val="24"/>
                                </w:rPr>
                                <w:t xml:space="preserve">) </w:t>
                              </w:r>
                              <w:r>
                                <w:t>Valstybinės mokesčių inspekcijos – dėl šio kodekso 93, 95, 99, 127, 132, 137, 143, 150, 151, 159, 160, 161, 162, 163, 164, 165, 166, 167, 168, 170, 172, 173, 174, 176, 187, 187</w:t>
                              </w:r>
                              <w:r>
                                <w:rPr>
                                  <w:vertAlign w:val="superscript"/>
                                </w:rPr>
                                <w:t>1</w:t>
                              </w:r>
                              <w:r>
                                <w:t>, 188, 188</w:t>
                              </w:r>
                              <w:r>
                                <w:rPr>
                                  <w:vertAlign w:val="superscript"/>
                                </w:rPr>
                                <w:t>1</w:t>
                              </w:r>
                              <w:r>
                                <w:t>, 188</w:t>
                              </w:r>
                              <w:r>
                                <w:rPr>
                                  <w:vertAlign w:val="superscript"/>
                                </w:rPr>
                                <w:t>3</w:t>
                              </w:r>
                              <w:r>
                                <w:t>, 188</w:t>
                              </w:r>
                              <w:r>
                                <w:rPr>
                                  <w:vertAlign w:val="superscript"/>
                                </w:rPr>
                                <w:t>4</w:t>
                              </w:r>
                              <w:r>
                                <w:t>, 188</w:t>
                              </w:r>
                              <w:r>
                                <w:rPr>
                                  <w:vertAlign w:val="superscript"/>
                                </w:rPr>
                                <w:t>5</w:t>
                              </w:r>
                              <w:r>
                                <w:t>,</w:t>
                              </w:r>
                              <w:r>
                                <w:rPr>
                                  <w:b/>
                                </w:rPr>
                                <w:t xml:space="preserve"> </w:t>
                              </w:r>
                              <w:r>
                                <w:t>189, 190, 191, 192, 194, 198</w:t>
                              </w:r>
                              <w:r>
                                <w:rPr>
                                  <w:vertAlign w:val="superscript"/>
                                </w:rPr>
                                <w:t>1</w:t>
                              </w:r>
                              <w:r>
                                <w:t>, 205, 207, 207</w:t>
                              </w:r>
                              <w:r>
                                <w:rPr>
                                  <w:vertAlign w:val="superscript"/>
                                </w:rPr>
                                <w:t>1</w:t>
                              </w:r>
                              <w:r>
                                <w:t>, 207</w:t>
                              </w:r>
                              <w:r>
                                <w:rPr>
                                  <w:vertAlign w:val="superscript"/>
                                </w:rPr>
                                <w:t>2</w:t>
                              </w:r>
                              <w:r>
                                <w:t xml:space="preserve"> straipsniuose, 209 straipsnio 1, 2, 3, 4, 5, 6, 7, 8 dalyse, 214 straipsnyje, 223 straipsnio 4, 5 dalyse, 224, 362</w:t>
                              </w:r>
                              <w:r>
                                <w:rPr>
                                  <w:vertAlign w:val="superscript"/>
                                </w:rPr>
                                <w:t>1</w:t>
                              </w:r>
                              <w:r>
                                <w:t>, 431, 449, 449</w:t>
                              </w:r>
                              <w:r>
                                <w:rPr>
                                  <w:vertAlign w:val="superscript"/>
                                </w:rPr>
                                <w:t>1</w:t>
                              </w:r>
                              <w:r>
                                <w:t xml:space="preserve"> straipsniuose, 450 straipsnio 1, 2, 17, 18 dalyse, 505, 507, 546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8e3ee6bcb4dd4e37b3ffa80f0d794cf1"/>
                            <w:lock w:val="sdtLocked"/>
                            <w:richText/>
                          </w:sdtPr>
                          <w:sdtContent>
                            <w:p>
                              <w:pPr>
                                <w:spacing w:line="360" w:lineRule="auto"/>
                                <w:ind w:firstLine="720"/>
                                <w:jc w:val="both"/>
                                <w:rPr>
                                  <w:szCs w:val="24"/>
                                </w:rPr>
                              </w:pPr>
                              <w:sdt>
                                <w:sdtPr>
                                  <w:alias w:val="Numeris"/>
                                  <w:tag w:val="nr_8e3ee6bcb4dd4e37b3ffa80f0d794cf1"/>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w:t>
                              </w:r>
                              <w:r>
                                <w:rPr>
                                  <w:bCs/>
                                  <w:color w:val="000000"/>
                                  <w:szCs w:val="24"/>
                                </w:rPr>
                                <w:t>5</w:t>
                              </w:r>
                              <w:r>
                                <w:rPr>
                                  <w:b/>
                                  <w:bCs/>
                                  <w:color w:val="000000"/>
                                  <w:szCs w:val="24"/>
                                </w:rPr>
                                <w:t xml:space="preserve"> </w:t>
                              </w:r>
                              <w:r>
                                <w:rPr>
                                  <w:color w:val="000000"/>
                                  <w:szCs w:val="24"/>
                                </w:rPr>
                                <w:t>dalyje, 526</w:t>
                              </w:r>
                              <w:r>
                                <w:rPr>
                                  <w:color w:val="000000"/>
                                  <w:szCs w:val="24"/>
                                  <w:vertAlign w:val="superscript"/>
                                </w:rPr>
                                <w:t>1</w:t>
                              </w:r>
                              <w:r>
                                <w:rPr>
                                  <w:color w:val="000000"/>
                                  <w:szCs w:val="24"/>
                                </w:rPr>
                                <w:t xml:space="preserve"> straipsnyje numatytų administracinių nusižengimų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4266366062cc4e6fb11dfe414fb72c30"/>
                            <w:lock w:val="sdtLocked"/>
                            <w:richText/>
                          </w:sdtPr>
                          <w:sdtContent>
                            <w:p>
                              <w:pPr>
                                <w:spacing w:line="380" w:lineRule="atLeast"/>
                                <w:ind w:firstLine="720"/>
                                <w:jc w:val="both"/>
                              </w:pPr>
                              <w:sdt>
                                <w:sdtPr>
                                  <w:alias w:val="Numeris"/>
                                  <w:tag w:val="nr_4266366062cc4e6fb11dfe414fb72c30"/>
                                  <w:lock w:val="sdtLocked"/>
                                  <w:richText/>
                                </w:sdtPr>
                                <w:sdtContent>
                                  <w:r>
                                    <w:rPr>
                                      <w:szCs w:val="24"/>
                                    </w:rPr>
                                    <w:t>82</w:t>
                                  </w:r>
                                </w:sdtContent>
                              </w:sdt>
                              <w:r>
                                <w:rPr>
                                  <w:szCs w:val="24"/>
                                </w:rPr>
                                <w:t>)</w:t>
                              </w:r>
                              <w:r>
                                <w:rPr>
                                  <w:szCs w:val="24"/>
                                  <w:lang w:eastAsia="lt-LT"/>
                                </w:rPr>
                                <w:t xml:space="preserve"> savivaldybių administracijų – dėl šio kodekso 45, 46, 48, 78, 114 st</w:t>
                              </w:r>
                              <w:r>
                                <w:rPr>
                                  <w:bCs/>
                                  <w:szCs w:val="24"/>
                                  <w:lang w:eastAsia="lt-LT"/>
                                </w:rPr>
                                <w:t>r</w:t>
                              </w:r>
                              <w:r>
                                <w:rPr>
                                  <w:szCs w:val="24"/>
                                  <w:lang w:eastAsia="lt-LT"/>
                                </w:rPr>
                                <w:t>aipsniuose, 144 straipsnio 1, 4, 5 dalyse, 148, 149, 150, 152, 153, 154, 155, 156, 166, 167, 168 straipsniuose, 205 straipsnio 7 dalyje, 223, 224 straipsniuose, 225 straipsnio 1 dalyje,</w:t>
                              </w:r>
                              <w:r>
                                <w:rPr>
                                  <w:b/>
                                  <w:bCs/>
                                  <w:szCs w:val="24"/>
                                  <w:lang w:eastAsia="lt-LT"/>
                                </w:rPr>
                                <w:t xml:space="preserve"> </w:t>
                              </w:r>
                              <w:r>
                                <w:rPr>
                                  <w:szCs w:val="24"/>
                                  <w:lang w:eastAsia="lt-LT"/>
                                </w:rPr>
                                <w:t>242 straipsnio 4, 5</w:t>
                              </w:r>
                              <w:r>
                                <w:rPr>
                                  <w:bCs/>
                                  <w:szCs w:val="24"/>
                                  <w:lang w:eastAsia="lt-LT"/>
                                </w:rPr>
                                <w:t xml:space="preserve"> dalyse</w:t>
                              </w:r>
                              <w:r>
                                <w:rPr>
                                  <w:szCs w:val="24"/>
                                  <w:lang w:eastAsia="lt-LT"/>
                                </w:rPr>
                                <w:t>, 268 straipsnio 7, 8 dalyse, 281, 286,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lt-LT"/>
                                </w:rPr>
                                <w:t>1</w:t>
                              </w:r>
                              <w:r>
                                <w:rPr>
                                  <w:szCs w:val="24"/>
                                  <w:lang w:eastAsia="lt-LT"/>
                                </w:rPr>
                                <w:t> dalyse, 418, 419 straipsniuose, 426 straipsnio 4 dalyje, 431 straipsnyje, 434 straipsnio 2 dalyje, 439, 446, 447 straipsniuose, 448 straipsnio 1, 2, 3, 4, 5, 6, 7, 8 dalyse, 449, 449</w:t>
                              </w:r>
                              <w:r>
                                <w:rPr>
                                  <w:szCs w:val="24"/>
                                  <w:vertAlign w:val="superscript"/>
                                  <w:lang w:eastAsia="lt-LT"/>
                                </w:rPr>
                                <w:t>1</w:t>
                              </w:r>
                              <w:r>
                                <w:rPr>
                                  <w:szCs w:val="24"/>
                                  <w:lang w:eastAsia="lt-LT"/>
                                </w:rPr>
                                <w:t>, 457, 459, 484, 484</w:t>
                              </w:r>
                              <w:r>
                                <w:rPr>
                                  <w:szCs w:val="24"/>
                                  <w:vertAlign w:val="superscript"/>
                                  <w:lang w:eastAsia="lt-LT"/>
                                </w:rPr>
                                <w:t>1</w:t>
                              </w:r>
                              <w:r>
                                <w:rPr>
                                  <w:szCs w:val="24"/>
                                  <w:lang w:eastAsia="lt-LT"/>
                                </w:rPr>
                                <w:t>, 485, 488, 491, 492, 497, 498, 499, 500, 501, 502, 503, 505, 505</w:t>
                              </w:r>
                              <w:r>
                                <w:rPr>
                                  <w:szCs w:val="24"/>
                                  <w:vertAlign w:val="superscript"/>
                                  <w:lang w:eastAsia="lt-LT"/>
                                </w:rPr>
                                <w:t>1</w:t>
                              </w:r>
                              <w:r>
                                <w:rPr>
                                  <w:szCs w:val="24"/>
                                  <w:lang w:eastAsia="lt-LT"/>
                                </w:rPr>
                                <w:t>, 507, 507</w:t>
                              </w:r>
                              <w:r>
                                <w:rPr>
                                  <w:szCs w:val="24"/>
                                  <w:vertAlign w:val="superscript"/>
                                  <w:lang w:eastAsia="lt-LT"/>
                                </w:rPr>
                                <w:t>1</w:t>
                              </w:r>
                              <w:r>
                                <w:rPr>
                                  <w:szCs w:val="24"/>
                                  <w:lang w:eastAsia="lt-LT"/>
                                </w:rPr>
                                <w:t>, 516, 517</w:t>
                              </w:r>
                              <w:r>
                                <w:rPr>
                                  <w:szCs w:val="24"/>
                                  <w:vertAlign w:val="superscript"/>
                                  <w:lang w:eastAsia="lt-LT"/>
                                </w:rPr>
                                <w:t>1</w:t>
                              </w:r>
                              <w:r>
                                <w:rPr>
                                  <w:szCs w:val="24"/>
                                  <w:lang w:eastAsia="lt-LT"/>
                                </w:rPr>
                                <w:t>, 517</w:t>
                              </w:r>
                              <w:r>
                                <w:rPr>
                                  <w:szCs w:val="24"/>
                                  <w:vertAlign w:val="superscript"/>
                                  <w:lang w:eastAsia="lt-LT"/>
                                </w:rPr>
                                <w:t>2</w:t>
                              </w:r>
                              <w:r>
                                <w:rPr>
                                  <w:szCs w:val="24"/>
                                  <w:lang w:eastAsia="lt-LT"/>
                                </w:rPr>
                                <w:t>, 517</w:t>
                              </w:r>
                              <w:r>
                                <w:rPr>
                                  <w:szCs w:val="24"/>
                                  <w:vertAlign w:val="superscript"/>
                                  <w:lang w:eastAsia="lt-LT"/>
                                </w:rPr>
                                <w:t>3</w:t>
                              </w:r>
                              <w:r>
                                <w:rPr>
                                  <w:szCs w:val="24"/>
                                  <w:lang w:eastAsia="lt-LT"/>
                                </w:rPr>
                                <w:t>, 517</w:t>
                              </w:r>
                              <w:r>
                                <w:rPr>
                                  <w:szCs w:val="24"/>
                                  <w:vertAlign w:val="superscript"/>
                                  <w:lang w:eastAsia="lt-LT"/>
                                </w:rPr>
                                <w:t>4</w:t>
                              </w:r>
                              <w:r>
                                <w:rPr>
                                  <w:szCs w:val="24"/>
                                  <w:lang w:eastAsia="lt-LT"/>
                                </w:rPr>
                                <w:t>, 518, 519, 526, 526</w:t>
                              </w:r>
                              <w:r>
                                <w:rPr>
                                  <w:szCs w:val="24"/>
                                  <w:vertAlign w:val="superscript"/>
                                  <w:lang w:eastAsia="lt-LT"/>
                                </w:rPr>
                                <w:t>1</w:t>
                              </w:r>
                              <w:r>
                                <w:rPr>
                                  <w:szCs w:val="24"/>
                                  <w:lang w:eastAsia="lt-LT"/>
                                </w:rPr>
                                <w:t>,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6"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cc64bc3e6dbd416cb82da3b356c23b21"/>
            <w:lock w:val="sdtLocked"/>
            <w:richText/>
          </w:sdtPr>
          <w:sdtContent>
            <w:p>
              <w:pPr>
                <w:spacing w:line="360" w:lineRule="auto"/>
                <w:ind w:firstLine="720"/>
                <w:jc w:val="both"/>
              </w:pPr>
              <w:sdt>
                <w:sdtPr>
                  <w:alias w:val="Numeris"/>
                  <w:tag w:val="nr_cc64bc3e6dbd416cb82da3b356c23b21"/>
                  <w:lock w:val="sdtLocked"/>
                  <w:richText/>
                </w:sdtPr>
                <w:sdtContent>
                  <w:r>
                    <w:rPr>
                      <w:bCs/>
                      <w:lang w:eastAsia="lt-LT"/>
                    </w:rPr>
                    <w:t>117</w:t>
                  </w:r>
                  <w:r>
                    <w:rPr>
                      <w:bCs/>
                      <w:vertAlign w:val="superscript"/>
                      <w:lang w:eastAsia="lt-LT"/>
                    </w:rPr>
                    <w:t>1</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7"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48" w:tgtFrame="_blank" w:history="1">
                <w:r>
                  <w:rPr>
                    <w:bCs/>
                    <w:color w:val="0000FF" w:themeColor="hyperlink"/>
                    <w:szCs w:val="24"/>
                    <w:u w:val="single"/>
                  </w:rPr>
                  <w:t>(ES) 2019/1937</w:t>
                </w:r>
              </w:hyperlink>
              <w:r>
                <w:rPr>
                  <w:bCs/>
                  <w:szCs w:val="24"/>
                </w:rPr>
                <w:t xml:space="preserve"> ir panaikinamas Reglamentas </w:t>
              </w:r>
              <w:hyperlink r:id="rId49"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8"/>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5B80DBF"/>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96.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1036.xml"/>
  <Relationship Id="rId17" Type="http://schemas.openxmlformats.org/officeDocument/2006/relationships/header" Target="header1037.xml"/>
  <Relationship Id="rId18" Type="http://schemas.openxmlformats.org/officeDocument/2006/relationships/footer" Target="footer1036.xml"/>
  <Relationship Id="rId19" Type="http://schemas.openxmlformats.org/officeDocument/2006/relationships/footer" Target="footer1037.xml"/>
  <Relationship Id="rId2" Type="http://schemas.openxmlformats.org/officeDocument/2006/relationships/header" Target="header497.xml"/>
  <Relationship Id="rId20" Type="http://schemas.openxmlformats.org/officeDocument/2006/relationships/header" Target="header1038.xml"/>
  <Relationship Id="rId21" Type="http://schemas.openxmlformats.org/officeDocument/2006/relationships/footer" Target="footer1038.xml"/>
  <Relationship Id="rId22" Type="http://schemas.openxmlformats.org/officeDocument/2006/relationships/hyperlink" TargetMode="External" Target="http://eur-lex.europa.eu/legal-content/LIT/TXT/?uri=CELEX:32012R0965&amp;locale=lt"/>
  <Relationship Id="rId23" Type="http://schemas.openxmlformats.org/officeDocument/2006/relationships/hyperlink" TargetMode="External" Target="http://eur-lex.europa.eu/legal-content/LIT/TXT/?uri=CELEX:3947R2019&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2011R1178&amp;locale=lt"/>
  <Relationship Id="rId26" Type="http://schemas.openxmlformats.org/officeDocument/2006/relationships/hyperlink" TargetMode="External" Target="http://eur-lex.europa.eu/legal-content/LIT/TXT/?uri=CELEX:32014R1321&amp;locale=lt"/>
  <Relationship Id="rId27" Type="http://schemas.openxmlformats.org/officeDocument/2006/relationships/hyperlink" TargetMode="External" Target="http://eur-lex.europa.eu/legal-content/LIT/TXT/?uri=CELEX:3340R2015&amp;locale=lt"/>
  <Relationship Id="rId28" Type="http://schemas.openxmlformats.org/officeDocument/2006/relationships/hyperlink" TargetMode="External" Target="http://eur-lex.europa.eu/legal-content/LIT/TXT/?uri=CELEX:31139R2018&amp;locale=lt"/>
  <Relationship Id="rId29" Type="http://schemas.openxmlformats.org/officeDocument/2006/relationships/hyperlink" TargetMode="External" Target="http://eur-lex.europa.eu/legal-content/LIT/TXT/?uri=CELEX:32011R1178&amp;locale=lt"/>
  <Relationship Id="rId3" Type="http://schemas.openxmlformats.org/officeDocument/2006/relationships/footer" Target="footer496.xml"/>
  <Relationship Id="rId30" Type="http://schemas.openxmlformats.org/officeDocument/2006/relationships/hyperlink" TargetMode="External" Target="http://eur-lex.europa.eu/legal-content/LIT/TXT/?uri=CELEX:32014R1321&amp;locale=lt"/>
  <Relationship Id="rId31" Type="http://schemas.openxmlformats.org/officeDocument/2006/relationships/hyperlink" TargetMode="External" Target="http://eur-lex.europa.eu/legal-content/LIT/TXT/?uri=CELEX:3340R2015&amp;locale=lt"/>
  <Relationship Id="rId32" Type="http://schemas.openxmlformats.org/officeDocument/2006/relationships/hyperlink" TargetMode="External" Target="http://eur-lex.europa.eu/legal-content/LIT/TXT/?uri=CELEX:31139R2018&amp;locale=lt"/>
  <Relationship Id="rId33" Type="http://schemas.openxmlformats.org/officeDocument/2006/relationships/hyperlink" TargetMode="External" Target="http://eur-lex.europa.eu/legal-content/LIT/TXT/?uri=CELEX:32012R0923&amp;locale=lt"/>
  <Relationship Id="rId34" Type="http://schemas.openxmlformats.org/officeDocument/2006/relationships/hyperlink" TargetMode="External" Target="http://eur-lex.europa.eu/legal-content/LIT/TXT/?uri=CELEX:32011R1035&amp;locale=lt"/>
  <Relationship Id="rId35" Type="http://schemas.openxmlformats.org/officeDocument/2006/relationships/hyperlink" TargetMode="External" Target="http://eur-lex.europa.eu/legal-content/LIT/TXT/?uri=CELEX:32007R1265&amp;locale=lt"/>
  <Relationship Id="rId36" Type="http://schemas.openxmlformats.org/officeDocument/2006/relationships/hyperlink" TargetMode="External" Target="http://eur-lex.europa.eu/legal-content/LIT/TXT/?uri=CELEX:32006R1794&amp;locale=lt"/>
  <Relationship Id="rId37" Type="http://schemas.openxmlformats.org/officeDocument/2006/relationships/hyperlink" TargetMode="External" Target="http://eur-lex.europa.eu/legal-content/LIT/TXT/?uri=CELEX:32006R0730&amp;locale=lt"/>
  <Relationship Id="rId38" Type="http://schemas.openxmlformats.org/officeDocument/2006/relationships/hyperlink" TargetMode="External" Target="http://eur-lex.europa.eu/legal-content/LIT/TXT/?uri=CELEX:32006R1033&amp;locale=lt"/>
  <Relationship Id="rId39" Type="http://schemas.openxmlformats.org/officeDocument/2006/relationships/hyperlink" TargetMode="External" Target="http://eur-lex.europa.eu/legal-content/LIT/TXT/?uri=CELEX:32010R0255&amp;locale=lt"/>
  <Relationship Id="rId4" Type="http://schemas.openxmlformats.org/officeDocument/2006/relationships/footer" Target="footer497.xml"/>
  <Relationship Id="rId40" Type="http://schemas.openxmlformats.org/officeDocument/2006/relationships/hyperlink" TargetMode="External" Target="http://eur-lex.europa.eu/legal-content/LIT/TXT/?uri=CELEX:31997R0338&amp;locale=lt"/>
  <Relationship Id="rId41" Type="http://schemas.openxmlformats.org/officeDocument/2006/relationships/hyperlink" TargetMode="External" Target="http://eur-lex.europa.eu/legal-content/LIT/TXT/?uri=CELEX:31997R0338&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3143R2014&amp;locale=lt"/>
  <Relationship Id="rId44" Type="http://schemas.openxmlformats.org/officeDocument/2006/relationships/hyperlink" TargetMode="External" Target="http://eur-lex.europa.eu/legal-content/LIT/TXT/?uri=CELEX:33143R2014&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1997R0338&amp;locale=lt"/>
  <Relationship Id="rId47" Type="http://schemas.openxmlformats.org/officeDocument/2006/relationships/hyperlink" TargetMode="External" Target="http://eur-lex.europa.eu/legal-content/LIT/TXT/?uri=CELEX:32024R0573&amp;locale=lt"/>
  <Relationship Id="rId48" Type="http://schemas.openxmlformats.org/officeDocument/2006/relationships/hyperlink" TargetMode="External" Target="http://eur-lex.europa.eu/legal-content/LIT/TXT/?uri=CELEX:32019L1937&amp;locale=lt"/>
  <Relationship Id="rId49" Type="http://schemas.openxmlformats.org/officeDocument/2006/relationships/hyperlink" TargetMode="External" Target="http://eur-lex.europa.eu/legal-content/LIT/TXT/?uri=CELEX:32014R0517&amp;locale=lt"/>
  <Relationship Id="rId5" Type="http://schemas.openxmlformats.org/officeDocument/2006/relationships/header" Target="header498.xml"/>
  <Relationship Id="rId50" Type="http://schemas.openxmlformats.org/officeDocument/2006/relationships/customXml" Target="../customXml/item1.xml"/>
  <Relationship Id="rId6" Type="http://schemas.openxmlformats.org/officeDocument/2006/relationships/footer" Target="footer49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27cffbaf3aff428490efe07a55628520">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89b184924547d19e79fb3dcec14a99"/>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3a2a7248850b42bcb709434ffd63d371">
          <Part Type="strDalis" Nr="1" Abbr="57 str. 1 d." DocPartId="0013226da5de4d76b2859354994a6632" PartId="3883bcea8eca450a8928a60cf872fd55"/>
          <Part Type="strDalis" Nr="2" Abbr="57 str. 2 d." DocPartId="75a9071a7e1948919672dcd4d51a6ae4" PartId="6d8803f9591349e5bc49a89230b9caa0"/>
          <Part Type="strDalis" Nr="3" Abbr="57 str. 3 d." DocPartId="a40751e97bdf4f6c9432673747c49eff" PartId="3ca99b75f9d34f02bb784e40e00ece0d"/>
          <Part Type="strDalis" Nr="4" Abbr="57 str. 4 d." DocPartId="2fd9621834db4dcda6367402daed60d9" PartId="1651e8e3042b441b8e6a61bc7b431851"/>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f0a4cb61ad5a4161999fceb9b47c4a00">
          <Part Type="strDalis" Nr="1" Abbr="58 str. 1 d." DocPartId="99038e1ef7dd468ba73a048fe43cc044" PartId="a7bdff034ea744d09c04a9d5a7d1fe44"/>
          <Part Type="strDalis" Nr="2" Abbr="58 str. 2 d." DocPartId="042628222ac84b76a389a1118b2b8203" PartId="1ebefa6e4f8a4b82941dbf4694b78f7d"/>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e43495f5025d4234ba576b2056d67a55"/>
          <Part Type="strDalis" Nr="5" Abbr="72 str. 5 d." DocPartId="c33a17b5a7464bafa42a7633d88ee9cd" PartId="aea3837c37394de2890b0c801c13328c"/>
          <Part Type="strDalis" Nr="6" Abbr="72 str. 6 d." DocPartId="eba29944b410401f9ca9a8881ff8856e" PartId="14c669a719ab4ba6ae4ac4bda47771bd"/>
          <Part Type="strDalis" Nr="7" Abbr="72 str. 7 d." DocPartId="0144fe17f71a492eaaae1fe50c3f7aff" PartId="d55249372d5c4cd69effbf6af2efa665"/>
          <Part Type="strDalis" Nr="8" Abbr="72 str. 8 d." DocPartId="a3ef08d56a414bdc896a4eafcbf40b2b" PartId="1125cc0a7e65451ba19914f7d62c9ef2"/>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b603c7a8d0184296bd6dd791ce87982c">
          <Part Type="strDalis" Nr="1" Abbr="77 str. 1 d." DocPartId="acaf58175a9c402e92e81b40d1560e24" PartId="09185c06bc5846ddbeff7eda0b5140c9"/>
          <Part Type="strDalis" Nr="2" Abbr="77 str. 2 d." DocPartId="e844f177ab68460d9e3f09f501316db9" PartId="c3a7949a9a01435cae80bffa2b215c14"/>
          <Part Type="strDalis" Nr="3" Abbr="77 str. 3 d." DocPartId="6b2c26b52de74606910885e389f0e75a" PartId="d37e16b38cab49cfa4d97c2c1f0b12b5"/>
          <Part Type="strDalis" Nr="4" Abbr="77 str. 4 d." DocPartId="d0a9951a5f4744a7885428f577904f61" PartId="ed394c3f95384349a71dac5b651ed1ef"/>
          <Part Type="strDalis" Nr="5" Abbr="77 str. 5 d." DocPartId="679ffbf865c142abad57a4d783782e64" PartId="b2e7c68314f24515bf04572346f4a99a"/>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436964c1a55745e5801555ce94e0716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duomenų tvarkytojui, Juridinių asmenų dalyvių informacinės sistemos tvarkytojui ir skelbimo juridinio asmens ar užsienio juridinio asmens filialo interneto svetainėje tvarkos pažeidimas" DocPartId="938aab85539244eeb5d1634302f74eb0" PartId="7f0bc40081a049a6976b8e8f441f69a0">
          <Part Type="strDalis" Nr="1" Abbr="223 str. 1 d." DocPartId="83919f73cadc4af6bb84365821a60cb6" PartId="461d7f991346497ab827e469fe0f3725"/>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atliekas buitiniuose aplinkos oro taršos šaltiniuose pažeidimas“." DocPartId="114b66d1998744649f941b83f4ebe60f" PartId="7cd6fb638a1f46caaa85dd71f5ccf6ec">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Type="strDalis" Nr="5" Abbr="242 str. 5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6dbd56ef48b64a2c99f5d5c5184eeafd"/>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9ca854c06092417ca074c6b75ba3202e"/>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928eaf97431e4e2abd0b33ab9e221e1a"/>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8d582ef11184d80a3af3fa9b9b2da60"/>
          <Part Type="strDalis" Nr="6" Abbr="351 str. 6 d." DocPartId="b3ad4b3910d34c9dbe4930c45f71f5ab" PartId="9266b2388ae54a05a185b519fcf1cfe4"/>
          <Part Type="strDalis" Nr="7" Abbr="351 str. 7 d." DocPartId="530a97b581b24b32b3a15f475463d05a" PartId="4cd1dd6017a14a739f80c826dbbbb679"/>
          <Part Type="strDalis" Nr="8" Abbr="351 str. 8 d." DocPartId="7d272a448a8e432aa1c984911616129d" PartId="5dc6b2fad09d420f99b2b992d24b83c5"/>
          <Part Type="strDalis" Nr="9" Abbr="351 str. 9 d." DocPartId="0a83eea5da5948cebd641a51df74fc51" PartId="927c6191d3de42d19cf3350e39b4318a"/>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09922115e46b48f6977c4cd07b9e50e1"/>
          <Part Type="strDalis" Nr="8" Abbr="394 str. 8 d." DocPartId="26d5adec01fa459c8a919bdfb99bf5fc" PartId="ada0e6676c1e4eaea6f54a92e7f6de66"/>
          <Part Type="strDalis" Nr="9" Abbr="394 str. 9 d." DocPartId="a42c70abc8de4a00b985244ddcaaf621" PartId="aa46345080e145ca847b25b9bfdfde0e"/>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1b73ec6b0ad749f5855c0bccc022cd4d"/>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4c4388e6a754ecea5e06313c7ac5530"/>
            <Part Type="strPunktas" Nr="31" Abbr="589 str. 1 d. 31 p." DocPartId="f1ad9552bb7e49b3b97b9ac5495f2ff0" PartId="c212fe289def4110aaa46c86ecaa094f"/>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c8921e0a91054088bb3b5f51b442473d"/>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ff0f3a6aba7e4b529315185577f0ace8"/>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30efe564c0004a07970ab4e98cfbf2bd"/>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8e3ee6bcb4dd4e37b3ffa80f0d794cf1"/>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4266366062cc4e6fb11dfe414fb72c30"/>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a1623b4fd62e45dfbd30cdd103541174" PartId="cc64bc3e6dbd416cb82da3b356c23b21"/>
    <Part Type="strDalis" Nr="118" Abbr="118 d." DocPartId="9063bfd42bc84ba8af3ce08cf0ce283e" PartId="9d7c04c046a44c9293aab7981d180709"/>
    <Part Type="strDalis" Nr="119" Abbr="119 d." DocPartId="2595569f911c4249a69bb203d2953201" PartId="2a22ada319bc48b4bd0992f1f4710580"/>
    <Part Type="strDalis" Nr="120" Abbr="120 d." DocPartId="d873c269645f4ff4b5d07e8f7fd316f7" PartId="dc2d1d63e63649dfbc83a66d25ada394"/>
    <Part Type="strDalis" Nr="121" Abbr="121 d." DocPartId="7e7489cec6574d45bb1c2bcf3a0a1fd6" PartId="2c2c4d4f438b401bafca4b5a8d7dfa63"/>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79C4AC3-08FF-4776-B665-EC4426E4AEBB}">
  <ds:schemaRefs>
    <ds:schemaRef ds:uri="http://lrs.lt/TAIS/DocParts"/>
  </ds:schemaRefs>
</ds:datastoreItem>
</file>

<file path=customXml/itemProps3.xml><?xml version="1.0" encoding="utf-8"?>
<ds:datastoreItem xmlns:ds="http://schemas.openxmlformats.org/officeDocument/2006/customXml" ds:itemID="{0B07E844-CFEF-4DE6-99A4-0801C4A2CC0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836</TotalTime>
  <Pages>478</Pages>
  <Words>146397</Words>
  <Characters>1059933</Characters>
  <Application>Microsoft Office Word</Application>
  <DocSecurity>0</DocSecurity>
  <Lines>8832</Lines>
  <Paragraphs>2407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1203923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2025-02-10T12:15:00Z</dcterms:modified>
  <revision>405</revision>
</coreProperties>
</file>