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29.xml" ContentType="application/vnd.openxmlformats-officedocument.wordprocessingml.footer+xml"/>
  <Override PartName="/word/footer113.xml" ContentType="application/vnd.openxmlformats-officedocument.wordprocessingml.footer+xml"/>
  <Override PartName="/word/footer1130.xml" ContentType="application/vnd.openxmlformats-officedocument.wordprocessingml.footer+xml"/>
  <Override PartName="/word/footer1131.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29.xml" ContentType="application/vnd.openxmlformats-officedocument.wordprocessingml.header+xml"/>
  <Override PartName="/word/header113.xml" ContentType="application/vnd.openxmlformats-officedocument.wordprocessingml.header+xml"/>
  <Override PartName="/word/header1130.xml" ContentType="application/vnd.openxmlformats-officedocument.wordprocessingml.header+xml"/>
  <Override PartName="/word/header1131.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2025-12-15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7e95e8f0381146f2a00718694afab595"/>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7e95e8f0381146f2a00718694afab595"/>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89b184924547d19e79fb3dcec14a99"/>
                        <w:lock w:val="sdtLocked"/>
                        <w:richText/>
                      </w:sdtPr>
                      <w:sdtContent>
                        <w:p>
                          <w:pPr>
                            <w:spacing w:line="360" w:lineRule="auto"/>
                            <w:ind w:firstLine="720"/>
                            <w:jc w:val="both"/>
                            <w:rPr>
                              <w:szCs w:val="24"/>
                            </w:rPr>
                          </w:pPr>
                          <w:sdt>
                            <w:sdtPr>
                              <w:alias w:val="Numeris"/>
                              <w:tag w:val="nr_9189b184924547d19e79fb3dcec14a99"/>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straipsnio 1 ir 2 dalyse, 295 straipsnio 4 dalyje, 296 straipsnio 1 dalyje, 297 straipsnio 1 dalyje, 299 straipsnio 1 dalyje, 305 straipsnio 1 ir 4 dalyse, 325 straipsnyje, 327 straipsnio 1 ir 3 dalyse,</w:t>
                          </w:r>
                          <w:r>
                            <w:rPr>
                              <w:bCs/>
                              <w:color w:val="000000"/>
                              <w:szCs w:val="24"/>
                            </w:rPr>
                            <w:t xml:space="preserve"> </w:t>
                          </w:r>
                          <w:r>
                            <w:rPr>
                              <w:color w:val="000000"/>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12180685b475497797153a9b30ed81bd"/>
                            <w:lock w:val="sdtLocked"/>
                            <w:richText/>
                          </w:sdtPr>
                          <w:sdtContent>
                            <w:p>
                              <w:pPr>
                                <w:widowControl w:val="0"/>
                                <w:tabs>
                                  <w:tab w:val="left" w:pos="709"/>
                                </w:tabs>
                                <w:spacing w:line="360" w:lineRule="auto"/>
                                <w:ind w:firstLine="720"/>
                                <w:jc w:val="both"/>
                                <w:rPr>
                                  <w:kern w:val="2"/>
                                  <w:szCs w:val="24"/>
                                </w:rPr>
                              </w:pPr>
                              <w:sdt>
                                <w:sdtPr>
                                  <w:alias w:val="Numeris"/>
                                  <w:tag w:val="nr_12180685b475497797153a9b30ed81bd"/>
                                  <w:lock w:val="sdtLocked"/>
                                  <w:richText/>
                                </w:sdtPr>
                                <w:sdtContent>
                                  <w:r>
                                    <w:rPr>
                                      <w:bCs/>
                                      <w:szCs w:val="24"/>
                                      <w:lang w:eastAsia="lt-LT"/>
                                    </w:rPr>
                                    <w:t>1</w:t>
                                  </w:r>
                                </w:sdtContent>
                              </w:sdt>
                              <w:r>
                                <w:rPr>
                                  <w:bCs/>
                                  <w:szCs w:val="24"/>
                                  <w:lang w:eastAsia="lt-LT"/>
                                </w:rPr>
                                <w:t xml:space="preserve">)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bCs/>
                                  <w:szCs w:val="24"/>
                                  <w:lang w:eastAsia="lt-LT"/>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c121070838cd4b59a711f85c9d3bb69b"/>
                        <w:lock w:val="sdtLocked"/>
                        <w:richText/>
                      </w:sdtPr>
                      <w:sdtContent>
                        <w:p>
                          <w:pPr>
                            <w:widowControl w:val="0"/>
                            <w:tabs>
                              <w:tab w:val="left" w:pos="709"/>
                            </w:tabs>
                            <w:spacing w:line="360" w:lineRule="auto"/>
                            <w:ind w:firstLine="720"/>
                            <w:jc w:val="both"/>
                            <w:rPr>
                              <w:szCs w:val="24"/>
                            </w:rPr>
                          </w:pPr>
                          <w:sdt>
                            <w:sdtPr>
                              <w:alias w:val="Numeris"/>
                              <w:tag w:val="nr_c121070838cd4b59a711f85c9d3bb69b"/>
                              <w:lock w:val="sdtLocked"/>
                              <w:richText/>
                            </w:sdtPr>
                            <w:sdtContent>
                              <w:r>
                                <w:rPr>
                                  <w:bCs/>
                                  <w:szCs w:val="24"/>
                                  <w:lang w:eastAsia="lt-LT"/>
                                </w:rPr>
                                <w:t>2</w:t>
                              </w:r>
                            </w:sdtContent>
                          </w:sdt>
                          <w:r>
                            <w:rPr>
                              <w:bCs/>
                              <w:szCs w:val="24"/>
                              <w:lang w:eastAsia="lt-LT"/>
                            </w:rPr>
                            <w:t xml:space="preserve">. Šio kodekso 612 straipsnyje numatytais atvejais administraciniu nurodymu siūlomos baudos dydis lygus pusei didžiausios minimalios baudos, o kai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lang w:eastAsia="lt-LT"/>
                            </w:rPr>
                            <w:t>,</w:t>
                          </w:r>
                          <w:r>
                            <w:rPr>
                              <w:bCs/>
                              <w:szCs w:val="24"/>
                              <w:lang w:eastAsia="lt-LT"/>
                            </w:rPr>
                            <w:t xml:space="preserv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012a221042c44d7cb3f351aece953aee"/>
                    <w:lock w:val="sdtLocked"/>
                    <w:richText/>
                  </w:sdtPr>
                  <w:sdtContent>
                    <w:p>
                      <w:pPr>
                        <w:spacing w:line="360" w:lineRule="atLeast"/>
                        <w:ind w:left="2268" w:hanging="1548"/>
                        <w:rPr>
                          <w:b/>
                          <w:szCs w:val="24"/>
                          <w:lang w:eastAsia="lt-LT"/>
                        </w:rPr>
                      </w:pPr>
                      <w:sdt>
                        <w:sdtPr>
                          <w:alias w:val="Numeris"/>
                          <w:tag w:val="nr_012a221042c44d7cb3f351aece953aee"/>
                          <w:lock w:val="sdtLocked"/>
                          <w:richText/>
                        </w:sdtPr>
                        <w:sdtContent>
                          <w:r>
                            <w:rPr>
                              <w:b/>
                              <w:bCs/>
                              <w:color w:val="000000"/>
                              <w:szCs w:val="24"/>
                              <w:lang w:eastAsia="lt-LT"/>
                            </w:rPr>
                            <w:t>77</w:t>
                          </w:r>
                        </w:sdtContent>
                      </w:sdt>
                      <w:r>
                        <w:rPr>
                          <w:b/>
                          <w:bCs/>
                          <w:color w:val="000000"/>
                          <w:szCs w:val="24"/>
                          <w:lang w:eastAsia="lt-LT"/>
                        </w:rPr>
                        <w:t xml:space="preserve"> straipsnis. </w:t>
                      </w:r>
                      <w:sdt>
                        <w:sdtPr>
                          <w:alias w:val="Pavadinimas"/>
                          <w:tag w:val="title_012a221042c44d7cb3f351aece953aee"/>
                          <w:lock w:val="sdtLocked"/>
                          <w:richText/>
                        </w:sdtPr>
                        <w:sdtContent>
                          <w:r>
                            <w:rPr>
                              <w:b/>
                              <w:color w:val="000000"/>
                              <w:szCs w:val="24"/>
                              <w:lang w:eastAsia="lt-LT"/>
                            </w:rPr>
                            <w:t xml:space="preserve">Tabako gaminių, susijusių gaminių, </w:t>
                          </w:r>
                          <w:r>
                            <w:rPr>
                              <w:b/>
                              <w:bCs/>
                              <w:color w:val="000000"/>
                              <w:szCs w:val="24"/>
                              <w:lang w:eastAsia="lt-LT"/>
                            </w:rPr>
                            <w:t xml:space="preserve">prekių, skirtų tabako gaminiams rūkyti ar pasiruošti rūkyti, įrenginių, skirtų tabako gaminiams ir (ar) susijusiems gaminiams vartoti, </w:t>
                          </w:r>
                          <w:r>
                            <w:rPr>
                              <w:b/>
                              <w:color w:val="000000"/>
                              <w:szCs w:val="24"/>
                              <w:lang w:eastAsia="lt-LT"/>
                            </w:rPr>
                            <w:t>nupirkimas, perdavimas ar kitoks realizavimas nepilnamečiams</w:t>
                          </w:r>
                        </w:sdtContent>
                      </w:sdt>
                    </w:p>
                    <w:sdt>
                      <w:sdtPr>
                        <w:alias w:val="77 str. 1 d."/>
                        <w:tag w:val="part_4d05c41b64fb4d8d9954f3e1036d6ab5"/>
                        <w:lock w:val="sdtLocked"/>
                        <w:richText/>
                      </w:sdtPr>
                      <w:sdtContent>
                        <w:p>
                          <w:pPr>
                            <w:spacing w:line="360" w:lineRule="atLeast"/>
                            <w:ind w:firstLine="720"/>
                            <w:jc w:val="both"/>
                            <w:rPr>
                              <w:szCs w:val="24"/>
                              <w:lang w:eastAsia="lt-LT"/>
                            </w:rPr>
                          </w:pPr>
                          <w:sdt>
                            <w:sdtPr>
                              <w:alias w:val="Numeris"/>
                              <w:tag w:val="nr_4d05c41b64fb4d8d9954f3e1036d6ab5"/>
                              <w:lock w:val="sdtLocked"/>
                              <w:richText/>
                            </w:sdtPr>
                            <w:sdtContent>
                              <w:r>
                                <w:rPr>
                                  <w:color w:val="000000"/>
                                  <w:szCs w:val="24"/>
                                  <w:lang w:eastAsia="lt-LT"/>
                                </w:rPr>
                                <w:t>1</w:t>
                              </w:r>
                            </w:sdtContent>
                          </w:sdt>
                          <w:r>
                            <w:rPr>
                              <w:color w:val="000000"/>
                              <w:szCs w:val="24"/>
                              <w:lang w:eastAsia="lt-LT"/>
                            </w:rPr>
                            <w:t>. Tabako gaminių ar susijusių gaminių, išskyrus elektronines cigaretes ir (ar) elektroninių cigarečių pildykles,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dviejų šimtų dvidešimt iki trijų šimtų dvidešimt eurų.</w:t>
                          </w:r>
                        </w:p>
                      </w:sdtContent>
                    </w:sdt>
                    <w:sdt>
                      <w:sdtPr>
                        <w:alias w:val="77 str. 2 d."/>
                        <w:tag w:val="part_ed35564bfbf842edb91305ea25c23367"/>
                        <w:lock w:val="sdtLocked"/>
                        <w:richText/>
                      </w:sdtPr>
                      <w:sdtContent>
                        <w:p>
                          <w:pPr>
                            <w:spacing w:line="360" w:lineRule="atLeast"/>
                            <w:ind w:firstLine="720"/>
                            <w:jc w:val="both"/>
                            <w:rPr>
                              <w:szCs w:val="24"/>
                              <w:lang w:eastAsia="lt-LT"/>
                            </w:rPr>
                          </w:pPr>
                          <w:sdt>
                            <w:sdtPr>
                              <w:alias w:val="Numeris"/>
                              <w:tag w:val="nr_ed35564bfbf842edb91305ea25c23367"/>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3 d."/>
                        <w:tag w:val="part_6344309f90904199ab13c89e77b0dcdc"/>
                        <w:lock w:val="sdtLocked"/>
                        <w:richText/>
                      </w:sdtPr>
                      <w:sdtContent>
                        <w:p>
                          <w:pPr>
                            <w:spacing w:line="360" w:lineRule="atLeast"/>
                            <w:ind w:firstLine="720"/>
                            <w:jc w:val="both"/>
                            <w:rPr>
                              <w:szCs w:val="24"/>
                              <w:lang w:eastAsia="lt-LT"/>
                            </w:rPr>
                          </w:pPr>
                          <w:sdt>
                            <w:sdtPr>
                              <w:alias w:val="Numeris"/>
                              <w:tag w:val="nr_6344309f90904199ab13c89e77b0dcdc"/>
                              <w:lock w:val="sdtLocked"/>
                              <w:richText/>
                            </w:sdtPr>
                            <w:sdtContent>
                              <w:r>
                                <w:rPr>
                                  <w:color w:val="000000"/>
                                  <w:szCs w:val="24"/>
                                  <w:lang w:eastAsia="lt-LT"/>
                                </w:rPr>
                                <w:t>3</w:t>
                              </w:r>
                            </w:sdtContent>
                          </w:sdt>
                          <w:r>
                            <w:rPr>
                              <w:color w:val="000000"/>
                              <w:szCs w:val="24"/>
                              <w:lang w:eastAsia="lt-LT"/>
                            </w:rPr>
                            <w:t>. Elektroninių cigarečių ir (ar) elektroninių cigarečių pildyklių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4 d."/>
                        <w:tag w:val="part_cd2b31c96596406fae7ade8301654e2f"/>
                        <w:lock w:val="sdtLocked"/>
                        <w:richText/>
                      </w:sdtPr>
                      <w:sdtContent>
                        <w:p>
                          <w:pPr>
                            <w:spacing w:line="360" w:lineRule="atLeast"/>
                            <w:ind w:firstLine="720"/>
                            <w:jc w:val="both"/>
                            <w:rPr>
                              <w:szCs w:val="24"/>
                              <w:lang w:eastAsia="lt-LT"/>
                            </w:rPr>
                          </w:pPr>
                          <w:sdt>
                            <w:sdtPr>
                              <w:alias w:val="Numeris"/>
                              <w:tag w:val="nr_cd2b31c96596406fae7ade8301654e2f"/>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penkių šimtų aštuoniasdešimt iki aštuonių šimtų dvidešimt eurų.</w:t>
                          </w:r>
                        </w:p>
                      </w:sdtContent>
                    </w:sdt>
                    <w:sdt>
                      <w:sdtPr>
                        <w:alias w:val="77 str. 5 d."/>
                        <w:tag w:val="part_5e6582962bd849a7a070d8340375e274"/>
                        <w:lock w:val="sdtLocked"/>
                        <w:richText/>
                      </w:sdtPr>
                      <w:sdtContent>
                        <w:p>
                          <w:pPr>
                            <w:spacing w:line="360" w:lineRule="atLeast"/>
                            <w:ind w:firstLine="720"/>
                            <w:jc w:val="both"/>
                            <w:rPr>
                              <w:szCs w:val="24"/>
                              <w:lang w:eastAsia="lt-LT"/>
                            </w:rPr>
                          </w:pPr>
                          <w:sdt>
                            <w:sdtPr>
                              <w:alias w:val="Numeris"/>
                              <w:tag w:val="nr_5e6582962bd849a7a070d8340375e274"/>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Prekių, skirtų tabako gaminiams rūkyti ar pasiruošti rūkyti, įrenginių, skirtų tabako gaminiams ir (ar) susijusiems gaminiams vartoti, nupirkimas, perdavimas ar kitoks realizavimas nepilnamečiui</w:t>
                          </w:r>
                        </w:p>
                        <w:p>
                          <w:pPr>
                            <w:spacing w:line="360" w:lineRule="atLeast"/>
                            <w:ind w:firstLine="720"/>
                            <w:jc w:val="both"/>
                            <w:rPr>
                              <w:szCs w:val="24"/>
                              <w:lang w:eastAsia="lt-LT"/>
                            </w:rPr>
                          </w:pPr>
                          <w:r>
                            <w:rPr>
                              <w:bCs/>
                              <w:color w:val="000000"/>
                              <w:szCs w:val="24"/>
                              <w:lang w:eastAsia="lt-LT"/>
                            </w:rPr>
                            <w:t>užtraukia baudą nuo dviejų šimtų iki trijų šimtų eurų.</w:t>
                          </w:r>
                        </w:p>
                      </w:sdtContent>
                    </w:sdt>
                    <w:sdt>
                      <w:sdtPr>
                        <w:alias w:val="77 str. 6 d."/>
                        <w:tag w:val="part_f3e6a89b0d6c42f389b4477340d73507"/>
                        <w:lock w:val="sdtLocked"/>
                        <w:richText/>
                      </w:sdtPr>
                      <w:sdtContent>
                        <w:p>
                          <w:pPr>
                            <w:spacing w:line="360" w:lineRule="atLeast"/>
                            <w:ind w:firstLine="720"/>
                            <w:jc w:val="both"/>
                            <w:rPr>
                              <w:szCs w:val="24"/>
                              <w:lang w:eastAsia="lt-LT"/>
                            </w:rPr>
                          </w:pPr>
                          <w:sdt>
                            <w:sdtPr>
                              <w:alias w:val="Numeris"/>
                              <w:tag w:val="nr_f3e6a89b0d6c42f389b4477340d73507"/>
                              <w:lock w:val="sdtLocked"/>
                              <w:richText/>
                            </w:sdtPr>
                            <w:sdtContent>
                              <w:r>
                                <w:rPr>
                                  <w:bCs/>
                                  <w:color w:val="000000"/>
                                  <w:szCs w:val="24"/>
                                  <w:lang w:eastAsia="lt-LT"/>
                                </w:rPr>
                                <w:t>6</w:t>
                              </w:r>
                            </w:sdtContent>
                          </w:sdt>
                          <w:r>
                            <w:rPr>
                              <w:bCs/>
                              <w:color w:val="000000"/>
                              <w:szCs w:val="24"/>
                              <w:lang w:eastAsia="lt-LT"/>
                            </w:rPr>
                            <w:t>. Šio straipsnio 5 dalyje numatytas administracinis pažeidimas, padarytas pakartotinai,</w:t>
                          </w:r>
                        </w:p>
                        <w:p>
                          <w:pPr>
                            <w:spacing w:line="360" w:lineRule="atLeast"/>
                            <w:ind w:firstLine="720"/>
                            <w:jc w:val="both"/>
                            <w:rPr>
                              <w:szCs w:val="24"/>
                              <w:lang w:eastAsia="lt-LT"/>
                            </w:rPr>
                          </w:pPr>
                          <w:r>
                            <w:rPr>
                              <w:bCs/>
                              <w:color w:val="000000"/>
                              <w:szCs w:val="24"/>
                              <w:lang w:eastAsia="lt-LT"/>
                            </w:rPr>
                            <w:t>užtraukia baudą nuo trijų šimtų iki penkių šimtų eurų.</w:t>
                          </w:r>
                        </w:p>
                      </w:sdtContent>
                    </w:sdt>
                    <w:sdt>
                      <w:sdtPr>
                        <w:alias w:val="77 str. 7 d."/>
                        <w:tag w:val="part_f0852b8953e446aab1575d4e12ca0ec6"/>
                        <w:lock w:val="sdtLocked"/>
                        <w:richText/>
                      </w:sdtPr>
                      <w:sdtContent>
                        <w:p>
                          <w:pPr>
                            <w:spacing w:line="360" w:lineRule="atLeast"/>
                            <w:ind w:firstLine="720"/>
                            <w:jc w:val="both"/>
                            <w:rPr>
                              <w:bCs/>
                              <w:szCs w:val="24"/>
                            </w:rPr>
                          </w:pPr>
                          <w:sdt>
                            <w:sdtPr>
                              <w:alias w:val="Numeris"/>
                              <w:tag w:val="nr_f0852b8953e446aab1575d4e12ca0ec6"/>
                              <w:lock w:val="sdtLocked"/>
                              <w:richText/>
                            </w:sdtPr>
                            <w:sdtContent>
                              <w:r>
                                <w:rPr>
                                  <w:color w:val="000000"/>
                                  <w:szCs w:val="24"/>
                                  <w:lang w:eastAsia="lt-LT"/>
                                </w:rPr>
                                <w:t>7</w:t>
                              </w:r>
                            </w:sdtContent>
                          </w:sdt>
                          <w:r>
                            <w:rPr>
                              <w:color w:val="000000"/>
                              <w:szCs w:val="24"/>
                              <w:lang w:eastAsia="lt-LT"/>
                            </w:rPr>
                            <w:t xml:space="preserve">. Už šio straipsnio 1, 2, 3, 4, </w:t>
                          </w:r>
                          <w:r>
                            <w:rPr>
                              <w:bCs/>
                              <w:color w:val="000000"/>
                              <w:szCs w:val="24"/>
                              <w:lang w:eastAsia="lt-LT"/>
                            </w:rPr>
                            <w:t>5, 6</w:t>
                          </w:r>
                          <w:r>
                            <w:rPr>
                              <w:color w:val="000000"/>
                              <w:szCs w:val="24"/>
                              <w:lang w:eastAsia="lt-LT"/>
                            </w:rPr>
                            <w:t xml:space="preserve"> dalyse numatytus administracinius nusižengimus privaloma skirti tabako gaminių, susijusių gaminių, </w:t>
                          </w:r>
                          <w:r>
                            <w:rPr>
                              <w:bCs/>
                              <w:color w:val="000000"/>
                              <w:szCs w:val="24"/>
                              <w:lang w:eastAsia="lt-LT"/>
                            </w:rPr>
                            <w:t xml:space="preserve">prekių, skirtų tabako gaminiams rūkyti ar pasiruošti rūkyti, įrenginių, skirtų tabako gaminiams ir (ar) susijusiems gaminiams vartoti, </w:t>
                          </w:r>
                          <w:r>
                            <w:rPr>
                              <w:color w:val="000000"/>
                              <w:szCs w:val="24"/>
                              <w:lang w:eastAsia="lt-LT"/>
                            </w:rPr>
                            <w:t>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70642d0f811f08918e1adc7c5b1ec">
                        <w:r w:rsidRPr="00532B9F">
                          <w:rPr>
                            <w:rFonts w:ascii="Times New Roman" w:eastAsia="MS Mincho" w:hAnsi="Times New Roman"/>
                            <w:sz w:val="20"/>
                            <w:i/>
                            <w:iCs/>
                            <w:color w:val="0000FF" w:themeColor="hyperlink"/>
                            <w:u w:val="single"/>
                          </w:rPr>
                          <w:t>XV-621</w:t>
                        </w:r>
                      </w:fldSimple>
                      <w:r>
                        <w:rPr>
                          <w:rFonts w:ascii="Times New Roman" w:eastAsia="MS Mincho" w:hAnsi="Times New Roman"/>
                          <w:sz w:val="20"/>
                          <w:i/>
                          <w:iCs/>
                        </w:rPr>
                        <w:t>,
2025-11-27,
paskelbta TAR 2025-12-04, i. k. 2025-20663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7f0bc40081a049a6976b8e8f441f69a0"/>
                    <w:lock w:val="sdtLocked"/>
                    <w:richText/>
                  </w:sdtPr>
                  <w:sdtContent>
                    <w:p>
                      <w:pPr>
                        <w:spacing w:line="360" w:lineRule="auto"/>
                        <w:ind w:left="2410" w:hanging="1690"/>
                        <w:jc w:val="both"/>
                        <w:rPr>
                          <w:color w:val="000000"/>
                          <w:szCs w:val="24"/>
                          <w:lang w:eastAsia="lt-LT"/>
                        </w:rPr>
                      </w:pPr>
                      <w:sdt>
                        <w:sdtPr>
                          <w:alias w:val="Numeris"/>
                          <w:tag w:val="nr_7f0bc40081a049a6976b8e8f441f69a0"/>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7f0bc40081a049a6976b8e8f441f69a0"/>
                          <w:lock w:val="sdtLocked"/>
                          <w:richText/>
                        </w:sdtPr>
                        <w:sdtContent>
                          <w:r>
                            <w:rPr>
                              <w:b/>
                              <w:bCs/>
                              <w:color w:val="000000"/>
                              <w:szCs w:val="24"/>
                              <w:lang w:eastAsia="lt-LT"/>
                            </w:rPr>
                            <w:t>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w:t>
                          </w:r>
                        </w:sdtContent>
                      </w:sdt>
                    </w:p>
                    <w:sdt>
                      <w:sdtPr>
                        <w:alias w:val="223 str. 1 d."/>
                        <w:tag w:val="part_461d7f991346497ab827e469fe0f3725"/>
                        <w:lock w:val="sdtLocked"/>
                        <w:richText/>
                      </w:sdtPr>
                      <w:sdtContent>
                        <w:p>
                          <w:pPr>
                            <w:spacing w:line="360" w:lineRule="auto"/>
                            <w:ind w:firstLine="720"/>
                            <w:jc w:val="both"/>
                            <w:rPr>
                              <w:color w:val="000000"/>
                              <w:szCs w:val="24"/>
                              <w:lang w:eastAsia="lt-LT"/>
                            </w:rPr>
                          </w:pPr>
                          <w:sdt>
                            <w:sdtPr>
                              <w:alias w:val="Numeris"/>
                              <w:tag w:val="nr_461d7f991346497ab827e469fe0f3725"/>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tvarkytojui,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7cd6fb638a1f46caaa85dd71f5ccf6ec"/>
                    <w:lock w:val="sdtLocked"/>
                    <w:richText/>
                  </w:sdtPr>
                  <w:sdtContent>
                    <w:p>
                      <w:pPr>
                        <w:widowControl w:val="0"/>
                        <w:spacing w:line="360" w:lineRule="auto"/>
                        <w:ind w:firstLine="720"/>
                        <w:jc w:val="both"/>
                        <w:rPr>
                          <w:szCs w:val="24"/>
                        </w:rPr>
                      </w:pPr>
                      <w:sdt>
                        <w:sdtPr>
                          <w:alias w:val="Numeris"/>
                          <w:tag w:val="nr_7cd6fb638a1f46caaa85dd71f5ccf6ec"/>
                          <w:lock w:val="sdtLocked"/>
                          <w:richText/>
                        </w:sdtPr>
                        <w:sdtContent>
                          <w:r>
                            <w:rPr>
                              <w:b/>
                              <w:szCs w:val="24"/>
                            </w:rPr>
                            <w:t>242</w:t>
                          </w:r>
                        </w:sdtContent>
                      </w:sdt>
                      <w:r>
                        <w:rPr>
                          <w:b/>
                          <w:szCs w:val="24"/>
                        </w:rPr>
                        <w:t xml:space="preserve"> straipsnis. </w:t>
                      </w:r>
                      <w:sdt>
                        <w:sdtPr>
                          <w:alias w:val="Pavadinimas"/>
                          <w:tag w:val="title_7cd6fb638a1f46caaa85dd71f5ccf6ec"/>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6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1"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2"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3"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4"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5"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6"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2"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53"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54"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3"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4"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5"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6" w:tgtFrame="_blank" w:history="1">
                            <w:r>
                              <w:rPr>
                                <w:color w:val="0000FF" w:themeColor="hyperlink"/>
                                <w:szCs w:val="24"/>
                                <w:u w:val="single"/>
                                <w:lang w:eastAsia="lt-LT"/>
                              </w:rPr>
                              <w:t>(ES) Nr. 1178/2011</w:t>
                            </w:r>
                          </w:hyperlink>
                          <w:r>
                            <w:rPr>
                              <w:szCs w:val="24"/>
                              <w:lang w:eastAsia="lt-LT"/>
                            </w:rPr>
                            <w:t xml:space="preserve">, Reglamente </w:t>
                          </w:r>
                          <w:hyperlink r:id="rId27"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8"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9"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30" w:tgtFrame="_blank" w:history="1">
                            <w:r>
                              <w:rPr>
                                <w:color w:val="0000FF" w:themeColor="hyperlink"/>
                                <w:szCs w:val="24"/>
                                <w:u w:val="single"/>
                                <w:lang w:eastAsia="lt-LT"/>
                              </w:rPr>
                              <w:t>(ES) Nr. 1178/2011</w:t>
                            </w:r>
                          </w:hyperlink>
                          <w:r>
                            <w:rPr>
                              <w:szCs w:val="24"/>
                              <w:lang w:eastAsia="lt-LT"/>
                            </w:rPr>
                            <w:t xml:space="preserve">, Reglamente </w:t>
                          </w:r>
                          <w:hyperlink r:id="rId31" w:tgtFrame="_blank" w:history="1">
                            <w:r>
                              <w:rPr>
                                <w:color w:val="0000FF" w:themeColor="hyperlink"/>
                                <w:szCs w:val="24"/>
                                <w:u w:val="single"/>
                                <w:lang w:eastAsia="lt-LT"/>
                              </w:rPr>
                              <w:t>(ES) Nr. 1321/2014</w:t>
                            </w:r>
                          </w:hyperlink>
                          <w:r>
                            <w:rPr>
                              <w:szCs w:val="24"/>
                              <w:lang w:eastAsia="lt-LT"/>
                            </w:rPr>
                            <w:t xml:space="preserve">, Reglamente </w:t>
                          </w:r>
                          <w:hyperlink r:id="rId32" w:tgtFrame="_blank" w:history="1">
                            <w:r>
                              <w:rPr>
                                <w:color w:val="0000FF" w:themeColor="hyperlink"/>
                                <w:szCs w:val="24"/>
                                <w:u w:val="single"/>
                                <w:lang w:eastAsia="lt-LT"/>
                              </w:rPr>
                              <w:t>(ES) 2015/340</w:t>
                            </w:r>
                          </w:hyperlink>
                          <w:r>
                            <w:rPr>
                              <w:szCs w:val="24"/>
                              <w:lang w:eastAsia="lt-LT"/>
                            </w:rPr>
                            <w:t xml:space="preserve"> ir Reglamente </w:t>
                          </w:r>
                          <w:hyperlink r:id="rId33"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34"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35"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36"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37"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38"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39"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40"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cbbc5995788d4feeba41afab8ab7344a"/>
                    <w:lock w:val="sdtLocked"/>
                    <w:richText/>
                  </w:sdtPr>
                  <w:sdtContent>
                    <w:p>
                      <w:pPr>
                        <w:widowControl w:val="0"/>
                        <w:spacing w:line="400" w:lineRule="atLeast"/>
                        <w:ind w:left="2410" w:hanging="1690"/>
                        <w:jc w:val="both"/>
                        <w:rPr>
                          <w:bCs/>
                          <w:szCs w:val="24"/>
                        </w:rPr>
                      </w:pPr>
                      <w:sdt>
                        <w:sdtPr>
                          <w:alias w:val="Numeris"/>
                          <w:tag w:val="nr_cbbc5995788d4feeba41afab8ab7344a"/>
                          <w:lock w:val="sdtLocked"/>
                          <w:richText/>
                        </w:sdtPr>
                        <w:sdtContent>
                          <w:r>
                            <w:rPr>
                              <w:b/>
                              <w:szCs w:val="24"/>
                            </w:rPr>
                            <w:t>419</w:t>
                          </w:r>
                        </w:sdtContent>
                      </w:sdt>
                      <w:r>
                        <w:rPr>
                          <w:b/>
                          <w:szCs w:val="24"/>
                        </w:rPr>
                        <w:t xml:space="preserve"> straipsnis. </w:t>
                      </w:r>
                      <w:sdt>
                        <w:sdtPr>
                          <w:alias w:val="Pavadinimas"/>
                          <w:tag w:val="title_cbbc5995788d4feeba41afab8ab7344a"/>
                          <w:lock w:val="sdtLocked"/>
                          <w:richText/>
                        </w:sdtPr>
                        <w:sdtContent>
                          <w:r>
                            <w:rPr>
                              <w:b/>
                              <w:szCs w:val="24"/>
                            </w:rPr>
                            <w:t>Vietinės rinkliavos už leidimą įvažiuoti transporto priemonėmis į valstybės saugomas teritorijas, savivaldybių įsteigtus saugomus draustinius, kraštovaizdžio objektų teritorijas nuostatų pažeidimas</w:t>
                          </w:r>
                        </w:sdtContent>
                      </w:sdt>
                    </w:p>
                    <w:sdt>
                      <w:sdtPr>
                        <w:alias w:val="419 str. 1 d."/>
                        <w:tag w:val="part_067fc930da704c47a4d67b8350a1cf46"/>
                        <w:lock w:val="sdtLocked"/>
                        <w:richText/>
                      </w:sdtPr>
                      <w:sdtContent>
                        <w:p>
                          <w:pPr>
                            <w:widowControl w:val="0"/>
                            <w:spacing w:line="400" w:lineRule="atLeast"/>
                            <w:ind w:firstLine="720"/>
                            <w:jc w:val="both"/>
                            <w:rPr>
                              <w:szCs w:val="24"/>
                            </w:rPr>
                          </w:pPr>
                          <w:sdt>
                            <w:sdtPr>
                              <w:alias w:val="Numeris"/>
                              <w:tag w:val="nr_067fc930da704c47a4d67b8350a1cf46"/>
                              <w:lock w:val="sdtLocked"/>
                              <w:richText/>
                            </w:sdtPr>
                            <w:sdtContent>
                              <w:r>
                                <w:rPr>
                                  <w:szCs w:val="24"/>
                                </w:rPr>
                                <w:t>1</w:t>
                              </w:r>
                            </w:sdtContent>
                          </w:sdt>
                          <w:r>
                            <w:rPr>
                              <w:szCs w:val="24"/>
                            </w:rPr>
                            <w:t>. Vietinės rinkliavos už leidimą įvažiuoti transporto priemonėmis į valstybės saugomas teritorijas, savivaldybių įsteigtus saugomus draustinius, kraštovaizdžio objektų teritorijas nuostatų pažeidimas</w:t>
                          </w:r>
                        </w:p>
                        <w:p>
                          <w:pPr>
                            <w:widowControl w:val="0"/>
                            <w:spacing w:line="400" w:lineRule="atLeast"/>
                            <w:ind w:firstLine="720"/>
                            <w:jc w:val="both"/>
                            <w:rPr>
                              <w:szCs w:val="24"/>
                            </w:rPr>
                          </w:pPr>
                          <w:r>
                            <w:rPr>
                              <w:szCs w:val="24"/>
                            </w:rPr>
                            <w:t>užtraukia baudą vairuotojams nuo dvidešimt iki keturiasdešimt eurų.</w:t>
                          </w:r>
                        </w:p>
                      </w:sdtContent>
                    </w:sdt>
                    <w:sdt>
                      <w:sdtPr>
                        <w:alias w:val="419 str. 2 d."/>
                        <w:tag w:val="part_331e3a1b3aba4f989e88a53836a1c66e"/>
                        <w:lock w:val="sdtLocked"/>
                        <w:richText/>
                      </w:sdtPr>
                      <w:sdtContent>
                        <w:p>
                          <w:pPr>
                            <w:widowControl w:val="0"/>
                            <w:spacing w:line="400" w:lineRule="atLeast"/>
                            <w:ind w:firstLine="720"/>
                            <w:jc w:val="both"/>
                            <w:rPr>
                              <w:szCs w:val="24"/>
                            </w:rPr>
                          </w:pPr>
                          <w:sdt>
                            <w:sdtPr>
                              <w:alias w:val="Numeris"/>
                              <w:tag w:val="nr_331e3a1b3aba4f989e88a53836a1c66e"/>
                              <w:lock w:val="sdtLocked"/>
                              <w:richText/>
                            </w:sdtPr>
                            <w:sdtContent>
                              <w:r>
                                <w:rPr>
                                  <w:szCs w:val="24"/>
                                </w:rPr>
                                <w:t>2</w:t>
                              </w:r>
                            </w:sdtContent>
                          </w:sdt>
                          <w:r>
                            <w:rPr>
                              <w:szCs w:val="24"/>
                            </w:rPr>
                            <w:t>. Šio straipsnio 1 dalyje numatytas administracinis nusižengimas, padarytas pakartotinai,</w:t>
                          </w:r>
                        </w:p>
                        <w:p>
                          <w:pPr>
                            <w:widowControl w:val="0"/>
                            <w:spacing w:line="400" w:lineRule="atLeast"/>
                            <w:ind w:firstLine="720"/>
                            <w:jc w:val="both"/>
                            <w:rPr>
                              <w:b/>
                              <w:bCs/>
                              <w:szCs w:val="24"/>
                            </w:rPr>
                          </w:pPr>
                          <w:r>
                            <w:rPr>
                              <w:szCs w:val="24"/>
                            </w:rPr>
                            <w:t>užtraukia baudą nuo keturiasdešimt iki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19-1 str."/>
                    <w:tag w:val="part_668b07867682426eba4e61f41a1b126e"/>
                    <w:lock w:val="sdtLocked"/>
                    <w:richText/>
                  </w:sdtPr>
                  <w:sdtContent>
                    <w:p>
                      <w:pPr>
                        <w:widowControl w:val="0"/>
                        <w:tabs>
                          <w:tab w:val="left" w:pos="1134"/>
                        </w:tabs>
                        <w:spacing w:line="400" w:lineRule="atLeast"/>
                        <w:ind w:left="2410" w:hanging="1690"/>
                        <w:jc w:val="both"/>
                        <w:rPr>
                          <w:b/>
                          <w:bCs/>
                          <w:szCs w:val="24"/>
                        </w:rPr>
                      </w:pPr>
                      <w:sdt>
                        <w:sdtPr>
                          <w:alias w:val="Numeris"/>
                          <w:tag w:val="nr_668b07867682426eba4e61f41a1b126e"/>
                          <w:lock w:val="sdtLocked"/>
                          <w:richText/>
                        </w:sdtPr>
                        <w:sdtContent>
                          <w:r>
                            <w:rPr>
                              <w:b/>
                              <w:bCs/>
                              <w:szCs w:val="24"/>
                            </w:rPr>
                            <w:t>419</w:t>
                          </w:r>
                          <w:r>
                            <w:rPr>
                              <w:b/>
                              <w:bCs/>
                              <w:szCs w:val="24"/>
                              <w:vertAlign w:val="superscript"/>
                            </w:rPr>
                            <w:t>1</w:t>
                          </w:r>
                        </w:sdtContent>
                      </w:sdt>
                      <w:r>
                        <w:rPr>
                          <w:b/>
                          <w:bCs/>
                          <w:szCs w:val="24"/>
                        </w:rPr>
                        <w:t xml:space="preserve"> straipsnis.</w:t>
                      </w:r>
                      <w:r>
                        <w:rPr>
                          <w:szCs w:val="24"/>
                        </w:rPr>
                        <w:t xml:space="preserve"> </w:t>
                      </w:r>
                      <w:sdt>
                        <w:sdtPr>
                          <w:alias w:val="Pavadinimas"/>
                          <w:tag w:val="title_668b07867682426eba4e61f41a1b126e"/>
                          <w:lock w:val="sdtLocked"/>
                          <w:richText/>
                        </w:sdtPr>
                        <w:sdtContent>
                          <w:r>
                            <w:rPr>
                              <w:b/>
                              <w:bCs/>
                              <w:szCs w:val="24"/>
                            </w:rPr>
                            <w:t>Įvažiavimo į</w:t>
                          </w:r>
                          <w:r>
                            <w:rPr>
                              <w:szCs w:val="24"/>
                            </w:rPr>
                            <w:t xml:space="preserve"> </w:t>
                          </w:r>
                          <w:r>
                            <w:rPr>
                              <w:b/>
                              <w:bCs/>
                              <w:szCs w:val="24"/>
                            </w:rPr>
                            <w:t>savivaldybių tarybų nustatytas mažos taršos zonas ir naudojimosi jomis tvarkos pažeidimas</w:t>
                          </w:r>
                        </w:sdtContent>
                      </w:sdt>
                    </w:p>
                    <w:sdt>
                      <w:sdtPr>
                        <w:alias w:val="419-1 str. 1 d."/>
                        <w:tag w:val="part_ac7913f156f0404dbdabf3b99c73df1c"/>
                        <w:lock w:val="sdtLocked"/>
                        <w:richText/>
                      </w:sdtPr>
                      <w:sdtContent>
                        <w:p>
                          <w:pPr>
                            <w:widowControl w:val="0"/>
                            <w:tabs>
                              <w:tab w:val="left" w:pos="993"/>
                            </w:tabs>
                            <w:spacing w:line="400" w:lineRule="atLeast"/>
                            <w:ind w:firstLine="720"/>
                            <w:jc w:val="both"/>
                            <w:rPr>
                              <w:bCs/>
                              <w:szCs w:val="24"/>
                            </w:rPr>
                          </w:pPr>
                          <w:sdt>
                            <w:sdtPr>
                              <w:alias w:val="Numeris"/>
                              <w:tag w:val="nr_ac7913f156f0404dbdabf3b99c73df1c"/>
                              <w:lock w:val="sdtLocked"/>
                              <w:richText/>
                            </w:sdtPr>
                            <w:sdtContent>
                              <w:r>
                                <w:rPr>
                                  <w:bCs/>
                                  <w:szCs w:val="24"/>
                                </w:rPr>
                                <w:t>1</w:t>
                              </w:r>
                            </w:sdtContent>
                          </w:sdt>
                          <w:r>
                            <w:rPr>
                              <w:bCs/>
                              <w:szCs w:val="24"/>
                            </w:rPr>
                            <w:t>. Įvažiavimo į savivaldybių tarybų nustatytas mažos taršos zonas ir naudojimosi jomis tvarkos pažeidimas</w:t>
                          </w:r>
                        </w:p>
                        <w:p>
                          <w:pPr>
                            <w:widowControl w:val="0"/>
                            <w:tabs>
                              <w:tab w:val="left" w:pos="993"/>
                            </w:tabs>
                            <w:spacing w:line="400" w:lineRule="atLeast"/>
                            <w:ind w:firstLine="720"/>
                            <w:jc w:val="both"/>
                            <w:rPr>
                              <w:bCs/>
                              <w:szCs w:val="24"/>
                            </w:rPr>
                          </w:pPr>
                          <w:r>
                            <w:rPr>
                              <w:bCs/>
                              <w:szCs w:val="24"/>
                            </w:rPr>
                            <w:t>užtraukia baudą vairuotojams nuo keturiasdešimt iki aštuoniasdešimt eurų.</w:t>
                          </w:r>
                        </w:p>
                      </w:sdtContent>
                    </w:sdt>
                    <w:sdt>
                      <w:sdtPr>
                        <w:alias w:val="419-1 str. 2 d."/>
                        <w:tag w:val="part_9e7ed06147194e62854a2455113b8677"/>
                        <w:lock w:val="sdtLocked"/>
                        <w:richText/>
                      </w:sdtPr>
                      <w:sdtContent>
                        <w:p>
                          <w:pPr>
                            <w:widowControl w:val="0"/>
                            <w:tabs>
                              <w:tab w:val="left" w:pos="1134"/>
                            </w:tabs>
                            <w:spacing w:line="400" w:lineRule="atLeast"/>
                            <w:ind w:firstLine="720"/>
                            <w:jc w:val="both"/>
                            <w:rPr>
                              <w:bCs/>
                              <w:szCs w:val="24"/>
                            </w:rPr>
                          </w:pPr>
                          <w:sdt>
                            <w:sdtPr>
                              <w:alias w:val="Numeris"/>
                              <w:tag w:val="nr_9e7ed06147194e62854a2455113b8677"/>
                              <w:lock w:val="sdtLocked"/>
                              <w:richText/>
                            </w:sdtPr>
                            <w:sdtContent>
                              <w:r>
                                <w:rPr>
                                  <w:bCs/>
                                  <w:szCs w:val="24"/>
                                </w:rPr>
                                <w:t>2</w:t>
                              </w:r>
                            </w:sdtContent>
                          </w:sdt>
                          <w:r>
                            <w:rPr>
                              <w:bCs/>
                              <w:szCs w:val="24"/>
                            </w:rPr>
                            <w:t>. Šio straipsnio 1 dalyje numatytas administracinis nusižengimas, padarytas pakartotinai,</w:t>
                          </w:r>
                        </w:p>
                        <w:p>
                          <w:pPr>
                            <w:widowControl w:val="0"/>
                            <w:tabs>
                              <w:tab w:val="left" w:pos="426"/>
                              <w:tab w:val="left" w:pos="1560"/>
                            </w:tabs>
                            <w:spacing w:line="400" w:lineRule="atLeast"/>
                            <w:ind w:firstLine="720"/>
                            <w:jc w:val="both"/>
                          </w:pPr>
                          <w:r>
                            <w:rPr>
                              <w:bCs/>
                              <w:szCs w:val="24"/>
                            </w:rPr>
                            <w:t>užtraukia baudą nuo aštuoniasdešimt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1b73ec6b0ad749f5855c0bccc022cd4d"/>
                            <w:lock w:val="sdtLocked"/>
                            <w:richText/>
                          </w:sdtPr>
                          <w:sdtContent>
                            <w:p>
                              <w:pPr>
                                <w:spacing w:line="360" w:lineRule="auto"/>
                                <w:ind w:firstLine="720"/>
                                <w:jc w:val="both"/>
                                <w:rPr>
                                  <w:szCs w:val="24"/>
                                </w:rPr>
                              </w:pPr>
                              <w:sdt>
                                <w:sdtPr>
                                  <w:alias w:val="Numeris"/>
                                  <w:tag w:val="nr_1b73ec6b0ad749f5855c0bccc022cd4d"/>
                                  <w:lock w:val="sdtLocked"/>
                                  <w:richText/>
                                </w:sdtPr>
                                <w:sdtContent>
                                  <w:r>
                                    <w:t>7</w:t>
                                  </w:r>
                                </w:sdtContent>
                              </w:sdt>
                              <w:r>
                                <w:t>) Lietuvos banko – dėl šio kodekso 196 straipsnio 2 dalyje, 198, 207</w:t>
                              </w:r>
                              <w:r>
                                <w:rPr>
                                  <w:vertAlign w:val="superscript"/>
                                </w:rPr>
                                <w:t>2</w:t>
                              </w:r>
                              <w:r>
                                <w:t xml:space="preserve">, 221, 222, 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4c4388e6a754ecea5e06313c7ac5530"/>
                            <w:lock w:val="sdtLocked"/>
                            <w:richText/>
                          </w:sdtPr>
                          <w:sdtContent>
                            <w:p>
                              <w:pPr>
                                <w:spacing w:line="360" w:lineRule="auto"/>
                                <w:ind w:firstLine="720"/>
                                <w:jc w:val="both"/>
                                <w:rPr>
                                  <w:szCs w:val="24"/>
                                </w:rPr>
                              </w:pPr>
                              <w:sdt>
                                <w:sdtPr>
                                  <w:alias w:val="Numeris"/>
                                  <w:tag w:val="nr_64c4388e6a754ecea5e06313c7ac5530"/>
                                  <w:lock w:val="sdtLocked"/>
                                  <w:richText/>
                                </w:sdtPr>
                                <w:sdtContent>
                                  <w:r>
                                    <w:rPr>
                                      <w:color w:val="000000"/>
                                      <w:szCs w:val="24"/>
                                      <w:lang w:eastAsia="lt-LT"/>
                                    </w:rPr>
                                    <w:t>30</w:t>
                                  </w:r>
                                </w:sdtContent>
                              </w:sdt>
                              <w:r>
                                <w:rPr>
                                  <w:color w:val="000000"/>
                                  <w:szCs w:val="24"/>
                                  <w:lang w:eastAsia="lt-LT"/>
                                </w:rPr>
                                <w:t xml:space="preserve">) </w:t>
                              </w:r>
                              <w:r>
                                <w:rPr>
                                  <w:color w:val="000000"/>
                                  <w:szCs w:val="24"/>
                                </w:rPr>
                                <w:t>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291 straipsnio 6 dalyje, 299 straipsnio 2, 3, 4 dalyse, 304</w:t>
                              </w:r>
                              <w:r>
                                <w:rPr>
                                  <w:color w:val="000000"/>
                                  <w:szCs w:val="24"/>
                                  <w:vertAlign w:val="superscript"/>
                                </w:rPr>
                                <w:t>1</w:t>
                              </w:r>
                              <w:r>
                                <w:rPr>
                                  <w:color w:val="000000"/>
                                  <w:szCs w:val="24"/>
                                </w:rPr>
                                <w:t xml:space="preserve"> straipsnyje, 304</w:t>
                              </w:r>
                              <w:r>
                                <w:rPr>
                                  <w:color w:val="000000"/>
                                  <w:szCs w:val="24"/>
                                  <w:vertAlign w:val="superscript"/>
                                </w:rPr>
                                <w:t>2</w:t>
                              </w:r>
                              <w:r>
                                <w:rPr>
                                  <w:color w:val="000000"/>
                                  <w:szCs w:val="24"/>
                                </w:rPr>
                                <w:t>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sdtContent>
                        </w:sdt>
                        <w:sdt>
                          <w:sdtPr>
                            <w:alias w:val="589 str. 1 d. 31 p."/>
                            <w:tag w:val="part_9b620975240d4adfb7bb90017cdaa58e"/>
                            <w:lock w:val="sdtLocked"/>
                            <w:richText/>
                          </w:sdtPr>
                          <w:sdtContent>
                            <w:p>
                              <w:pPr>
                                <w:spacing w:line="360" w:lineRule="auto"/>
                                <w:ind w:firstLine="720"/>
                                <w:jc w:val="both"/>
                                <w:rPr>
                                  <w:szCs w:val="24"/>
                                </w:rPr>
                              </w:pPr>
                              <w:sdt>
                                <w:sdtPr>
                                  <w:alias w:val="Numeris"/>
                                  <w:tag w:val="nr_9b620975240d4adfb7bb90017cdaa58e"/>
                                  <w:lock w:val="sdtLocked"/>
                                  <w:richText/>
                                </w:sdtPr>
                                <w:sdtContent>
                                  <w:r>
                                    <w:rPr>
                                      <w:szCs w:val="24"/>
                                      <w:lang w:eastAsia="lt-LT"/>
                                    </w:rPr>
                                    <w:t>31</w:t>
                                  </w:r>
                                </w:sdtContent>
                              </w:sdt>
                              <w:r>
                                <w:rPr>
                                  <w:szCs w:val="24"/>
                                  <w:lang w:eastAsia="lt-LT"/>
                                </w:rPr>
                                <w:t xml:space="preserve">) aplinkos apsaugos valstybinės kontrolės pareigūnai – dėl šio kodekso 48 straipsnio 1, 2 dalyse, 92 straipsnio 1 dalyje, 114 </w:t>
                              </w:r>
                              <w:r>
                                <w:rPr>
                                  <w:bCs/>
                                  <w:szCs w:val="24"/>
                                  <w:lang w:eastAsia="lt-LT"/>
                                </w:rPr>
                                <w:t>straipsnyje</w:t>
                              </w:r>
                              <w:r>
                                <w:rPr>
                                  <w:szCs w:val="24"/>
                                  <w:lang w:eastAsia="lt-LT"/>
                                </w:rPr>
                                <w:t>, 144 straipsnio 1, 4, 5 dalyse, 235, 236, 236</w:t>
                              </w:r>
                              <w:r>
                                <w:rPr>
                                  <w:szCs w:val="24"/>
                                  <w:vertAlign w:val="superscript"/>
                                  <w:lang w:eastAsia="lt-LT"/>
                                </w:rPr>
                                <w:t>1</w:t>
                              </w:r>
                              <w:r>
                                <w:rPr>
                                  <w:szCs w:val="24"/>
                                  <w:lang w:eastAsia="lt-LT"/>
                                </w:rPr>
                                <w:t>, 237, 238, 239, 241, 242, 243, 243</w:t>
                              </w:r>
                              <w:r>
                                <w:rPr>
                                  <w:szCs w:val="24"/>
                                  <w:vertAlign w:val="superscript"/>
                                  <w:lang w:eastAsia="lt-LT"/>
                                </w:rPr>
                                <w:t>1</w:t>
                              </w:r>
                              <w:r>
                                <w:rPr>
                                  <w:szCs w:val="24"/>
                                  <w:lang w:eastAsia="lt-LT"/>
                                </w:rPr>
                                <w:t xml:space="preserve">, 244, 246, 247 </w:t>
                              </w:r>
                              <w:r>
                                <w:rPr>
                                  <w:bCs/>
                                  <w:szCs w:val="24"/>
                                  <w:lang w:eastAsia="lt-LT"/>
                                </w:rPr>
                                <w:t>straipsniuose</w:t>
                              </w:r>
                              <w:r>
                                <w:rPr>
                                  <w:szCs w:val="24"/>
                                  <w:lang w:eastAsia="lt-LT"/>
                                </w:rPr>
                                <w:t>, 247</w:t>
                              </w:r>
                              <w:r>
                                <w:rPr>
                                  <w:szCs w:val="24"/>
                                  <w:vertAlign w:val="superscript"/>
                                  <w:lang w:eastAsia="lt-LT"/>
                                </w:rPr>
                                <w:t>1</w:t>
                              </w:r>
                              <w:r>
                                <w:rPr>
                                  <w:szCs w:val="24"/>
                                  <w:lang w:eastAsia="lt-LT"/>
                                </w:rPr>
                                <w:t xml:space="preserve"> straipsnio 3, 4 dalyse, 248, 248</w:t>
                              </w:r>
                              <w:r>
                                <w:rPr>
                                  <w:szCs w:val="24"/>
                                  <w:vertAlign w:val="superscript"/>
                                  <w:lang w:eastAsia="lt-LT"/>
                                </w:rPr>
                                <w:t>1</w:t>
                              </w:r>
                              <w:r>
                                <w:rPr>
                                  <w:szCs w:val="24"/>
                                  <w:lang w:eastAsia="lt-LT"/>
                                </w:rPr>
                                <w:t>, 248</w:t>
                              </w:r>
                              <w:r>
                                <w:rPr>
                                  <w:szCs w:val="24"/>
                                  <w:vertAlign w:val="superscript"/>
                                  <w:lang w:eastAsia="lt-LT"/>
                                </w:rPr>
                                <w:t>2</w:t>
                              </w:r>
                              <w:r>
                                <w:rPr>
                                  <w:szCs w:val="24"/>
                                  <w:lang w:eastAsia="lt-LT"/>
                                </w:rPr>
                                <w:t>, 248</w:t>
                              </w:r>
                              <w:r>
                                <w:rPr>
                                  <w:szCs w:val="24"/>
                                  <w:vertAlign w:val="superscript"/>
                                  <w:lang w:eastAsia="lt-LT"/>
                                </w:rPr>
                                <w:t>3</w:t>
                              </w:r>
                              <w:r>
                                <w:rPr>
                                  <w:szCs w:val="24"/>
                                  <w:lang w:eastAsia="lt-LT"/>
                                </w:rPr>
                                <w:t>, 249, 250, 251, 251</w:t>
                              </w:r>
                              <w:r>
                                <w:rPr>
                                  <w:szCs w:val="24"/>
                                  <w:vertAlign w:val="superscript"/>
                                  <w:lang w:eastAsia="lt-LT"/>
                                </w:rPr>
                                <w:t>1</w:t>
                              </w:r>
                              <w:r>
                                <w:rPr>
                                  <w:szCs w:val="24"/>
                                  <w:lang w:eastAsia="lt-LT"/>
                                </w:rPr>
                                <w:t>, 252, 253, 255, 255</w:t>
                              </w:r>
                              <w:r>
                                <w:rPr>
                                  <w:szCs w:val="24"/>
                                  <w:vertAlign w:val="superscript"/>
                                  <w:lang w:eastAsia="lt-LT"/>
                                </w:rPr>
                                <w:t>1</w:t>
                              </w:r>
                              <w:r>
                                <w:rPr>
                                  <w:szCs w:val="24"/>
                                  <w:lang w:eastAsia="lt-LT"/>
                                </w:rPr>
                                <w:t>, 256, 257, 258, 259, 260, 262, 264, 265, 266, 267, 268, 269, 270, 270</w:t>
                              </w:r>
                              <w:r>
                                <w:rPr>
                                  <w:szCs w:val="24"/>
                                  <w:vertAlign w:val="superscript"/>
                                  <w:lang w:eastAsia="lt-LT"/>
                                </w:rPr>
                                <w:t>1</w:t>
                              </w:r>
                              <w:r>
                                <w:rPr>
                                  <w:szCs w:val="24"/>
                                  <w:lang w:eastAsia="lt-LT"/>
                                </w:rPr>
                                <w:t xml:space="preserve"> straipsniuose, 271 straipsnio 1, 2, 3, 4, 6, 7, 8 dalyse, 272, 273, 274, 275, 276, 277, 278, 279, 280 straipsniuose, 281 straipsnio 1, 2, 3, 4, 5, 6</w:t>
                              </w:r>
                              <w:r>
                                <w:rPr>
                                  <w:szCs w:val="24"/>
                                  <w:vertAlign w:val="superscript"/>
                                  <w:lang w:eastAsia="lt-LT"/>
                                </w:rPr>
                                <w:t>1</w:t>
                              </w:r>
                              <w:r>
                                <w:rPr>
                                  <w:szCs w:val="24"/>
                                  <w:lang w:eastAsia="lt-LT"/>
                                </w:rPr>
                                <w:t>, 7, 8, 9 dalyse, 282, 283, 284, 285, 286, 287, 288, 289, 290, 291, 292, 293 straipsniuose, 294 straipsnio 2 dalyje, 295 straipsnio 1, 2 dalyse, 296 straipsnio 2 dalyje, 299 straipsnio 3 dalyje, 303, 304</w:t>
                              </w:r>
                              <w:r>
                                <w:rPr>
                                  <w:szCs w:val="24"/>
                                  <w:vertAlign w:val="superscript"/>
                                  <w:lang w:eastAsia="lt-LT"/>
                                </w:rPr>
                                <w:t>1</w:t>
                              </w:r>
                              <w:r>
                                <w:rPr>
                                  <w:szCs w:val="24"/>
                                  <w:lang w:eastAsia="lt-LT"/>
                                </w:rPr>
                                <w:t>, 304</w:t>
                              </w:r>
                              <w:r>
                                <w:rPr>
                                  <w:szCs w:val="24"/>
                                  <w:vertAlign w:val="superscript"/>
                                  <w:lang w:eastAsia="lt-LT"/>
                                </w:rPr>
                                <w:t>2</w:t>
                              </w:r>
                              <w:r>
                                <w:rPr>
                                  <w:szCs w:val="24"/>
                                  <w:lang w:eastAsia="lt-LT"/>
                                </w:rPr>
                                <w:t>, 305, 307, 308, 308</w:t>
                              </w:r>
                              <w:r>
                                <w:rPr>
                                  <w:szCs w:val="24"/>
                                  <w:vertAlign w:val="superscript"/>
                                  <w:lang w:eastAsia="lt-LT"/>
                                </w:rPr>
                                <w:t>1</w:t>
                              </w:r>
                              <w:r>
                                <w:rPr>
                                  <w:szCs w:val="24"/>
                                  <w:lang w:eastAsia="lt-LT"/>
                                </w:rPr>
                                <w:t>, 309, 310, 311, 312, 313, 315, 316, 317, 318 straipsniuose, 346 straipsnio 1, 2, 3, 4, 5, 5</w:t>
                              </w:r>
                              <w:r>
                                <w:rPr>
                                  <w:szCs w:val="24"/>
                                  <w:vertAlign w:val="superscript"/>
                                  <w:lang w:eastAsia="lt-LT"/>
                                </w:rPr>
                                <w:t>1</w:t>
                              </w:r>
                              <w:r>
                                <w:rPr>
                                  <w:szCs w:val="24"/>
                                  <w:lang w:eastAsia="lt-LT"/>
                                </w:rPr>
                                <w:t>, 5</w:t>
                              </w:r>
                              <w:r>
                                <w:rPr>
                                  <w:szCs w:val="24"/>
                                  <w:vertAlign w:val="superscript"/>
                                  <w:lang w:eastAsia="lt-LT"/>
                                </w:rPr>
                                <w:t>2</w:t>
                              </w:r>
                              <w:r>
                                <w:rPr>
                                  <w:szCs w:val="24"/>
                                  <w:lang w:eastAsia="lt-LT"/>
                                </w:rPr>
                                <w:t>, 16, 17, 18, 19 dalyse, 364 straipsnyje, 369 straipsnio 13, 14, 17, 18, 19, 20, 21, 22 dalyse, 426 straipsnio 4 dalyje, 431 straipsnio 1, 2, 3, 4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820f48d9b3b74243b963142a37d76906"/>
                            <w:lock w:val="sdtLocked"/>
                            <w:richText/>
                          </w:sdtPr>
                          <w:sdtContent>
                            <w:p>
                              <w:pPr>
                                <w:spacing w:line="360" w:lineRule="auto"/>
                                <w:ind w:firstLine="720"/>
                                <w:jc w:val="both"/>
                                <w:rPr>
                                  <w:szCs w:val="24"/>
                                </w:rPr>
                              </w:pPr>
                              <w:sdt>
                                <w:sdtPr>
                                  <w:alias w:val="Numeris"/>
                                  <w:tag w:val="nr_820f48d9b3b74243b963142a37d76906"/>
                                  <w:lock w:val="sdtLocked"/>
                                  <w:richText/>
                                </w:sdtPr>
                                <w:sdtContent>
                                  <w:r>
                                    <w:rPr>
                                      <w:szCs w:val="24"/>
                                    </w:rPr>
                                    <w:t>43</w:t>
                                  </w:r>
                                </w:sdtContent>
                              </w:sdt>
                              <w:r>
                                <w:rPr>
                                  <w:szCs w:val="24"/>
                                </w:rPr>
                                <w:t>) valstybinių miškų apsaugos pareigūnai – dėl šio kodekso 110, 112 straipsniuose, 247 straipsnio 1, 2, 3, 4, 5, 6,</w:t>
                              </w:r>
                              <w:r>
                                <w:rPr>
                                  <w:bCs/>
                                  <w:szCs w:val="24"/>
                                  <w:lang w:eastAsia="lt-LT"/>
                                </w:rPr>
                                <w:t xml:space="preserve"> </w:t>
                              </w:r>
                              <w:r>
                                <w:rPr>
                                  <w:szCs w:val="24"/>
                                  <w:lang w:eastAsia="lt-LT"/>
                                </w:rPr>
                                <w:t>6</w:t>
                              </w:r>
                              <w:r>
                                <w:rPr>
                                  <w:szCs w:val="24"/>
                                  <w:vertAlign w:val="superscript"/>
                                  <w:lang w:eastAsia="lt-LT"/>
                                </w:rPr>
                                <w:t>1</w:t>
                              </w:r>
                              <w:r>
                                <w:rPr>
                                  <w:szCs w:val="24"/>
                                  <w:lang w:eastAsia="lt-LT"/>
                                </w:rPr>
                                <w:t>,</w:t>
                              </w:r>
                              <w:r>
                                <w:rPr>
                                  <w:szCs w:val="24"/>
                                </w:rPr>
                                <w:t xml:space="preserve"> 7, 8, 9, 10, 11, 12, 13, 14, 15, 16 dalyse, 256 straipsnio 1 dalyje, 261, 270, 272, 274, 275, 277, 278, 279, 280, 282, 283 straipsniuose, kai pažeidimai padaryti miškų urėdijos patikėjimo teise valdomuose valstybiniuose miškuose, 290 straipsnyje,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c8921e0a91054088bb3b5f51b442473d"/>
                            <w:lock w:val="sdtLocked"/>
                            <w:richText/>
                          </w:sdtPr>
                          <w:sdtContent>
                            <w:p>
                              <w:pPr>
                                <w:spacing w:line="360" w:lineRule="auto"/>
                                <w:ind w:firstLine="720"/>
                                <w:jc w:val="both"/>
                              </w:pPr>
                              <w:sdt>
                                <w:sdtPr>
                                  <w:alias w:val="Numeris"/>
                                  <w:tag w:val="nr_c8921e0a91054088bb3b5f51b442473d"/>
                                  <w:lock w:val="sdtLocked"/>
                                  <w:richText/>
                                </w:sdtPr>
                                <w:sdtContent>
                                  <w:r>
                                    <w:rPr>
                                      <w:color w:val="000000"/>
                                      <w:szCs w:val="24"/>
                                    </w:rPr>
                                    <w:t>49</w:t>
                                  </w:r>
                                </w:sdtContent>
                              </w:sdt>
                              <w:r>
                                <w:rPr>
                                  <w:color w:val="000000"/>
                                  <w:szCs w:val="24"/>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color w:val="000000"/>
                                  <w:szCs w:val="24"/>
                                  <w:vertAlign w:val="superscript"/>
                                </w:rPr>
                                <w:t>1</w:t>
                              </w:r>
                              <w:r>
                                <w:rPr>
                                  <w:color w:val="000000"/>
                                  <w:szCs w:val="24"/>
                                </w:rPr>
                                <w:t>, 133, 134, 137, 142, 143, 150, 151, 152, 153, 154, 155, 159, 160, 161, 162, 163, 164, 166, 167, 168, 169, 170, 170</w:t>
                              </w:r>
                              <w:r>
                                <w:rPr>
                                  <w:color w:val="000000"/>
                                  <w:szCs w:val="24"/>
                                  <w:vertAlign w:val="superscript"/>
                                </w:rPr>
                                <w:t>1</w:t>
                              </w:r>
                              <w:r>
                                <w:rPr>
                                  <w:color w:val="000000"/>
                                  <w:szCs w:val="24"/>
                                </w:rPr>
                                <w:t>,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xml:space="preserve"> straipsniuose, 281 straipsnio 1, 2, 3, 4, 5 dalyse, 282, 290, 307, 321, 336, 339, 340, 342, 346, 366, 367, 368 straipsniuose, 369 straipsnio 5, 6, 11, 12, 15, 16 dalyse, 373 straipsnio 2 dalyje, 414, 415, 416, 417, 420, 421, 422, 422</w:t>
                              </w:r>
                              <w:r>
                                <w:rPr>
                                  <w:color w:val="000000"/>
                                  <w:szCs w:val="24"/>
                                  <w:vertAlign w:val="superscript"/>
                                </w:rPr>
                                <w:t>1</w:t>
                              </w:r>
                              <w:r>
                                <w:rPr>
                                  <w:color w:val="000000"/>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color w:val="000000"/>
                                  <w:szCs w:val="24"/>
                                  <w:vertAlign w:val="superscript"/>
                                </w:rPr>
                                <w:t>1</w:t>
                              </w:r>
                              <w:r>
                                <w:rPr>
                                  <w:color w:val="000000"/>
                                  <w:szCs w:val="24"/>
                                </w:rPr>
                                <w:t>, 479 straipsniuose, 480 straipsnio 1, 2 dalyse,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4</w:t>
                              </w:r>
                              <w:r>
                                <w:rPr>
                                  <w:color w:val="000000"/>
                                  <w:szCs w:val="24"/>
                                  <w:vertAlign w:val="superscript"/>
                                </w:rPr>
                                <w:t>1</w:t>
                              </w:r>
                              <w:r>
                                <w:rPr>
                                  <w:color w:val="000000"/>
                                  <w:szCs w:val="24"/>
                                </w:rPr>
                                <w:t>, 5, 6 dalyse, 507, 507</w:t>
                              </w:r>
                              <w:r>
                                <w:rPr>
                                  <w:color w:val="000000"/>
                                  <w:szCs w:val="24"/>
                                  <w:vertAlign w:val="superscript"/>
                                </w:rPr>
                                <w:t>1</w:t>
                              </w:r>
                              <w:r>
                                <w:rPr>
                                  <w:color w:val="000000"/>
                                  <w:szCs w:val="24"/>
                                </w:rPr>
                                <w:t>,</w:t>
                              </w:r>
                              <w:r>
                                <w:rPr>
                                  <w:bCs/>
                                  <w:color w:val="000000"/>
                                  <w:szCs w:val="24"/>
                                </w:rPr>
                                <w:t xml:space="preserve"> </w:t>
                              </w:r>
                              <w:r>
                                <w:rPr>
                                  <w:color w:val="000000"/>
                                  <w:szCs w:val="24"/>
                                </w:rPr>
                                <w:t>508, 510</w:t>
                              </w:r>
                              <w:r>
                                <w:rPr>
                                  <w:color w:val="000000"/>
                                  <w:szCs w:val="24"/>
                                  <w:vertAlign w:val="superscript"/>
                                </w:rPr>
                                <w:t>1</w:t>
                              </w:r>
                              <w:r>
                                <w:rPr>
                                  <w:color w:val="000000"/>
                                  <w:szCs w:val="24"/>
                                </w:rPr>
                                <w:t xml:space="preserve">, 511, 512, 513, 518, 519, 520, 521, 523,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527, 528, 530, 534, 535, 538, 540,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30efe564c0004a07970ab4e98cfbf2bd"/>
                            <w:lock w:val="sdtLocked"/>
                            <w:richText/>
                          </w:sdtPr>
                          <w:sdtContent>
                            <w:p>
                              <w:pPr>
                                <w:spacing w:line="360" w:lineRule="auto"/>
                                <w:ind w:firstLine="720"/>
                                <w:jc w:val="both"/>
                                <w:rPr>
                                  <w:szCs w:val="24"/>
                                </w:rPr>
                              </w:pPr>
                              <w:sdt>
                                <w:sdtPr>
                                  <w:alias w:val="Numeris"/>
                                  <w:tag w:val="nr_30efe564c0004a07970ab4e98cfbf2bd"/>
                                  <w:lock w:val="sdtLocked"/>
                                  <w:richText/>
                                </w:sdtPr>
                                <w:sdtContent>
                                  <w:r>
                                    <w:rPr>
                                      <w:szCs w:val="24"/>
                                    </w:rPr>
                                    <w:t>66</w:t>
                                  </w:r>
                                </w:sdtContent>
                              </w:sdt>
                              <w:r>
                                <w:rPr>
                                  <w:szCs w:val="24"/>
                                </w:rPr>
                                <w:t xml:space="preserve">) </w:t>
                              </w:r>
                              <w:r>
                                <w:t>Valstybinės mokesčių inspekcijos – dėl šio kodekso 93, 95, 99, 127, 132, 137, 143, 150, 151, 159, 160, 161, 162, 163, 164, 165, 166, 167, 168, 170, 172, 173, 174, 176, 187, 187</w:t>
                              </w:r>
                              <w:r>
                                <w:rPr>
                                  <w:vertAlign w:val="superscript"/>
                                </w:rPr>
                                <w:t>1</w:t>
                              </w:r>
                              <w:r>
                                <w:t>, 188, 188</w:t>
                              </w:r>
                              <w:r>
                                <w:rPr>
                                  <w:vertAlign w:val="superscript"/>
                                </w:rPr>
                                <w:t>1</w:t>
                              </w:r>
                              <w:r>
                                <w:t>, 188</w:t>
                              </w:r>
                              <w:r>
                                <w:rPr>
                                  <w:vertAlign w:val="superscript"/>
                                </w:rPr>
                                <w:t>3</w:t>
                              </w:r>
                              <w:r>
                                <w:t>, 188</w:t>
                              </w:r>
                              <w:r>
                                <w:rPr>
                                  <w:vertAlign w:val="superscript"/>
                                </w:rPr>
                                <w:t>4</w:t>
                              </w:r>
                              <w:r>
                                <w:t>, 188</w:t>
                              </w:r>
                              <w:r>
                                <w:rPr>
                                  <w:vertAlign w:val="superscript"/>
                                </w:rPr>
                                <w:t>5</w:t>
                              </w:r>
                              <w:r>
                                <w:t>,</w:t>
                              </w:r>
                              <w:r>
                                <w:rPr>
                                  <w:b/>
                                </w:rPr>
                                <w:t xml:space="preserve"> </w:t>
                              </w:r>
                              <w:r>
                                <w:t>189, 190, 191, 192, 194, 198</w:t>
                              </w:r>
                              <w:r>
                                <w:rPr>
                                  <w:vertAlign w:val="superscript"/>
                                </w:rPr>
                                <w:t>1</w:t>
                              </w:r>
                              <w:r>
                                <w:t>, 205, 207, 207</w:t>
                              </w:r>
                              <w:r>
                                <w:rPr>
                                  <w:vertAlign w:val="superscript"/>
                                </w:rPr>
                                <w:t>1</w:t>
                              </w:r>
                              <w:r>
                                <w:t>, 207</w:t>
                              </w:r>
                              <w:r>
                                <w:rPr>
                                  <w:vertAlign w:val="superscript"/>
                                </w:rPr>
                                <w:t>2</w:t>
                              </w:r>
                              <w:r>
                                <w:t xml:space="preserve"> straipsniuose, 209 straipsnio 1, 2, 3, 4, 5, 6, 7, 8 dalyse, 214 straipsnyje, 223 straipsnio 4, 5 dalyse, 224, 362</w:t>
                              </w:r>
                              <w:r>
                                <w:rPr>
                                  <w:vertAlign w:val="superscript"/>
                                </w:rPr>
                                <w:t>1</w:t>
                              </w:r>
                              <w:r>
                                <w:t>, 431, 449, 449</w:t>
                              </w:r>
                              <w:r>
                                <w:rPr>
                                  <w:vertAlign w:val="superscript"/>
                                </w:rPr>
                                <w:t>1</w:t>
                              </w:r>
                              <w:r>
                                <w:t xml:space="preserve"> straipsniuose, 450 straipsnio 1, 2, 17, 18 dalyse, 505, 507, 546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8e3ee6bcb4dd4e37b3ffa80f0d794cf1"/>
                            <w:lock w:val="sdtLocked"/>
                            <w:richText/>
                          </w:sdtPr>
                          <w:sdtContent>
                            <w:p>
                              <w:pPr>
                                <w:spacing w:line="360" w:lineRule="auto"/>
                                <w:ind w:firstLine="720"/>
                                <w:jc w:val="both"/>
                                <w:rPr>
                                  <w:szCs w:val="24"/>
                                </w:rPr>
                              </w:pPr>
                              <w:sdt>
                                <w:sdtPr>
                                  <w:alias w:val="Numeris"/>
                                  <w:tag w:val="nr_8e3ee6bcb4dd4e37b3ffa80f0d794cf1"/>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w:t>
                              </w:r>
                              <w:r>
                                <w:rPr>
                                  <w:bCs/>
                                  <w:color w:val="000000"/>
                                  <w:szCs w:val="24"/>
                                </w:rPr>
                                <w:t>5</w:t>
                              </w:r>
                              <w:r>
                                <w:rPr>
                                  <w:b/>
                                  <w:bCs/>
                                  <w:color w:val="000000"/>
                                  <w:szCs w:val="24"/>
                                </w:rPr>
                                <w:t xml:space="preserve"> </w:t>
                              </w:r>
                              <w:r>
                                <w:rPr>
                                  <w:color w:val="000000"/>
                                  <w:szCs w:val="24"/>
                                </w:rPr>
                                <w:t>dalyje, 526</w:t>
                              </w:r>
                              <w:r>
                                <w:rPr>
                                  <w:color w:val="000000"/>
                                  <w:szCs w:val="24"/>
                                  <w:vertAlign w:val="superscript"/>
                                </w:rPr>
                                <w:t>1</w:t>
                              </w:r>
                              <w:r>
                                <w:rPr>
                                  <w:color w:val="000000"/>
                                  <w:szCs w:val="24"/>
                                </w:rPr>
                                <w:t xml:space="preserve">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d5f2dd2ee05141e4b825a89f71a3f2e3"/>
                            <w:lock w:val="sdtLocked"/>
                            <w:richText/>
                          </w:sdtPr>
                          <w:sdtContent>
                            <w:p>
                              <w:pPr>
                                <w:widowControl w:val="0"/>
                                <w:tabs>
                                  <w:tab w:val="left" w:pos="1134"/>
                                </w:tabs>
                                <w:spacing w:line="400" w:lineRule="atLeast"/>
                                <w:ind w:firstLine="720"/>
                                <w:jc w:val="both"/>
                              </w:pPr>
                              <w:sdt>
                                <w:sdtPr>
                                  <w:alias w:val="Numeris"/>
                                  <w:tag w:val="nr_d5f2dd2ee05141e4b825a89f71a3f2e3"/>
                                  <w:lock w:val="sdtLocked"/>
                                  <w:richText/>
                                </w:sdtPr>
                                <w:sdtContent>
                                  <w:r>
                                    <w:rPr>
                                      <w:bCs/>
                                      <w:szCs w:val="24"/>
                                      <w:lang w:eastAsia="lt-LT"/>
                                    </w:rPr>
                                    <w:t>82</w:t>
                                  </w:r>
                                </w:sdtContent>
                              </w:sdt>
                              <w:r>
                                <w:rPr>
                                  <w:bCs/>
                                  <w:szCs w:val="24"/>
                                  <w:lang w:eastAsia="lt-LT"/>
                                </w:rPr>
                                <w:t>)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319, 332 straipsniuose, 333 straipsnio 7 dalyje, 335, 336, 344, 346, 347, 348, 349, 350, 359, 360, 365, 366, 367, 368 straipsniuose, 369 straipsnio 1, 2, 3, 4 dalyse, 371, 414 straipsniuose, 417 straipsnio 2, 2</w:t>
                              </w:r>
                              <w:r>
                                <w:rPr>
                                  <w:bCs/>
                                  <w:szCs w:val="24"/>
                                  <w:vertAlign w:val="superscript"/>
                                  <w:lang w:eastAsia="lt-LT"/>
                                </w:rPr>
                                <w:t>1</w:t>
                              </w:r>
                              <w:r>
                                <w:rPr>
                                  <w:bCs/>
                                  <w:szCs w:val="24"/>
                                  <w:lang w:eastAsia="lt-LT"/>
                                </w:rPr>
                                <w:t> dalyse, 418, 419</w:t>
                              </w:r>
                              <w:r>
                                <w:rPr>
                                  <w:szCs w:val="24"/>
                                  <w:lang w:eastAsia="lt-LT"/>
                                </w:rPr>
                                <w:t>, 419</w:t>
                              </w:r>
                              <w:r>
                                <w:rPr>
                                  <w:szCs w:val="24"/>
                                  <w:vertAlign w:val="superscript"/>
                                  <w:lang w:eastAsia="lt-LT"/>
                                </w:rPr>
                                <w:t>1</w:t>
                              </w:r>
                              <w:r>
                                <w:rPr>
                                  <w:bCs/>
                                  <w:szCs w:val="24"/>
                                  <w:lang w:eastAsia="lt-LT"/>
                                </w:rPr>
                                <w:t xml:space="preserve"> straipsniuose, 426 straipsnio 4 dalyje, 431 straipsnyje, 434 straipsnio 2 dalyje, 439, 446, 447 straipsniuose, 448 straipsnio 1, 2, 3, 4, 5, 6, 7, 8 dalyse, 449, 449</w:t>
                              </w:r>
                              <w:r>
                                <w:rPr>
                                  <w:bCs/>
                                  <w:szCs w:val="24"/>
                                  <w:vertAlign w:val="superscript"/>
                                  <w:lang w:eastAsia="lt-LT"/>
                                </w:rPr>
                                <w:t>1</w:t>
                              </w:r>
                              <w:r>
                                <w:rPr>
                                  <w:bCs/>
                                  <w:szCs w:val="24"/>
                                  <w:lang w:eastAsia="lt-LT"/>
                                </w:rPr>
                                <w:t>, 457, 459, 484, 484</w:t>
                              </w:r>
                              <w:r>
                                <w:rPr>
                                  <w:bCs/>
                                  <w:szCs w:val="24"/>
                                  <w:vertAlign w:val="superscript"/>
                                  <w:lang w:eastAsia="lt-LT"/>
                                </w:rPr>
                                <w:t>1</w:t>
                              </w:r>
                              <w:r>
                                <w:rPr>
                                  <w:bCs/>
                                  <w:szCs w:val="24"/>
                                  <w:lang w:eastAsia="lt-LT"/>
                                </w:rPr>
                                <w:t>, 485, 488, 491, 492, 497, 498, 499, 500, 501, 502, 503, 505, 505</w:t>
                              </w:r>
                              <w:r>
                                <w:rPr>
                                  <w:bCs/>
                                  <w:szCs w:val="24"/>
                                  <w:vertAlign w:val="superscript"/>
                                  <w:lang w:eastAsia="lt-LT"/>
                                </w:rPr>
                                <w:t>1</w:t>
                              </w:r>
                              <w:r>
                                <w:rPr>
                                  <w:bCs/>
                                  <w:szCs w:val="24"/>
                                  <w:lang w:eastAsia="lt-LT"/>
                                </w:rPr>
                                <w:t>, 507, 507</w:t>
                              </w:r>
                              <w:r>
                                <w:rPr>
                                  <w:bCs/>
                                  <w:szCs w:val="24"/>
                                  <w:vertAlign w:val="superscript"/>
                                  <w:lang w:eastAsia="lt-LT"/>
                                </w:rPr>
                                <w:t>1</w:t>
                              </w:r>
                              <w:r>
                                <w:rPr>
                                  <w:bCs/>
                                  <w:szCs w:val="24"/>
                                  <w:lang w:eastAsia="lt-LT"/>
                                </w:rPr>
                                <w:t>, 516, 517</w:t>
                              </w:r>
                              <w:r>
                                <w:rPr>
                                  <w:bCs/>
                                  <w:szCs w:val="24"/>
                                  <w:vertAlign w:val="superscript"/>
                                  <w:lang w:eastAsia="lt-LT"/>
                                </w:rPr>
                                <w:t>1</w:t>
                              </w:r>
                              <w:r>
                                <w:rPr>
                                  <w:bCs/>
                                  <w:szCs w:val="24"/>
                                  <w:lang w:eastAsia="lt-LT"/>
                                </w:rPr>
                                <w:t>, 517</w:t>
                              </w:r>
                              <w:r>
                                <w:rPr>
                                  <w:bCs/>
                                  <w:szCs w:val="24"/>
                                  <w:vertAlign w:val="superscript"/>
                                  <w:lang w:eastAsia="lt-LT"/>
                                </w:rPr>
                                <w:t>2</w:t>
                              </w:r>
                              <w:r>
                                <w:rPr>
                                  <w:bCs/>
                                  <w:szCs w:val="24"/>
                                  <w:lang w:eastAsia="lt-LT"/>
                                </w:rPr>
                                <w:t>, 517</w:t>
                              </w:r>
                              <w:r>
                                <w:rPr>
                                  <w:bCs/>
                                  <w:szCs w:val="24"/>
                                  <w:vertAlign w:val="superscript"/>
                                  <w:lang w:eastAsia="lt-LT"/>
                                </w:rPr>
                                <w:t>3</w:t>
                              </w:r>
                              <w:r>
                                <w:rPr>
                                  <w:bCs/>
                                  <w:szCs w:val="24"/>
                                  <w:lang w:eastAsia="lt-LT"/>
                                </w:rPr>
                                <w:t>, 517</w:t>
                              </w:r>
                              <w:r>
                                <w:rPr>
                                  <w:bCs/>
                                  <w:szCs w:val="24"/>
                                  <w:vertAlign w:val="superscript"/>
                                  <w:lang w:eastAsia="lt-LT"/>
                                </w:rPr>
                                <w:t>4</w:t>
                              </w:r>
                              <w:r>
                                <w:rPr>
                                  <w:bCs/>
                                  <w:szCs w:val="24"/>
                                  <w:lang w:eastAsia="lt-LT"/>
                                </w:rPr>
                                <w:t>, 518, 519, 526, 526</w:t>
                              </w:r>
                              <w:r>
                                <w:rPr>
                                  <w:bCs/>
                                  <w:szCs w:val="24"/>
                                  <w:vertAlign w:val="superscript"/>
                                  <w:lang w:eastAsia="lt-LT"/>
                                </w:rPr>
                                <w:t>1</w:t>
                              </w:r>
                              <w:r>
                                <w:rPr>
                                  <w:bCs/>
                                  <w:szCs w:val="24"/>
                                  <w:lang w:eastAsia="lt-LT"/>
                                </w:rPr>
                                <w:t>,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b7f6ee9f29248c3811a2f8a3e308cb4"/>
                        <w:lock w:val="sdtLocked"/>
                        <w:richText/>
                      </w:sdtPr>
                      <w:sdtContent>
                        <w:p>
                          <w:pPr>
                            <w:widowControl w:val="0"/>
                            <w:tabs>
                              <w:tab w:val="left" w:pos="993"/>
                              <w:tab w:val="left" w:pos="1560"/>
                            </w:tabs>
                            <w:spacing w:line="400" w:lineRule="atLeast"/>
                            <w:ind w:firstLine="720"/>
                            <w:jc w:val="both"/>
                            <w:rPr>
                              <w:szCs w:val="24"/>
                            </w:rPr>
                          </w:pPr>
                          <w:sdt>
                            <w:sdtPr>
                              <w:alias w:val="Numeris"/>
                              <w:tag w:val="nr_5b7f6ee9f29248c3811a2f8a3e308cb4"/>
                              <w:lock w:val="sdtLocked"/>
                              <w:richText/>
                            </w:sdtPr>
                            <w:sdtContent>
                              <w:r>
                                <w:rPr>
                                  <w:szCs w:val="24"/>
                                </w:rPr>
                                <w:t>1</w:t>
                              </w:r>
                            </w:sdtContent>
                          </w:sdt>
                          <w:r>
                            <w:rPr>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 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eccbac0395b4c37bf8a949c86f8d7f4"/>
                            <w:lock w:val="sdtLocked"/>
                            <w:richText/>
                          </w:sdtPr>
                          <w:sdtContent>
                            <w:p>
                              <w:pPr>
                                <w:widowControl w:val="0"/>
                                <w:tabs>
                                  <w:tab w:val="left" w:pos="993"/>
                                  <w:tab w:val="left" w:pos="1560"/>
                                </w:tabs>
                                <w:spacing w:line="400" w:lineRule="atLeast"/>
                                <w:ind w:firstLine="720"/>
                                <w:jc w:val="both"/>
                                <w:rPr>
                                  <w:szCs w:val="24"/>
                                </w:rPr>
                              </w:pPr>
                              <w:sdt>
                                <w:sdtPr>
                                  <w:alias w:val="Numeris"/>
                                  <w:tag w:val="nr_feccbac0395b4c37bf8a949c86f8d7f4"/>
                                  <w:lock w:val="sdtLocked"/>
                                  <w:richText/>
                                </w:sdtPr>
                                <w:sdtContent>
                                  <w:r>
                                    <w:rPr>
                                      <w:szCs w:val="24"/>
                                    </w:rPr>
                                    <w:t>2</w:t>
                                  </w:r>
                                </w:sdtContent>
                              </w:sdt>
                              <w:r>
                                <w:rPr>
                                  <w:szCs w:val="24"/>
                                </w:rPr>
                                <w:t xml:space="preserve">) asmuo per metus padarė pakartotinį administracinį nusižengimą, išskyrus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numatytus administracinius nusižengimus;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08e6031e177649ffa23c740519f9d7a1"/>
                        <w:lock w:val="sdtLocked"/>
                        <w:richText/>
                      </w:sdtPr>
                      <w:sdtContent>
                        <w:p>
                          <w:pPr>
                            <w:widowControl w:val="0"/>
                            <w:tabs>
                              <w:tab w:val="left" w:pos="993"/>
                              <w:tab w:val="left" w:pos="1560"/>
                            </w:tabs>
                            <w:spacing w:line="400" w:lineRule="atLeast"/>
                            <w:ind w:firstLine="720"/>
                            <w:jc w:val="both"/>
                            <w:rPr>
                              <w:szCs w:val="24"/>
                            </w:rPr>
                          </w:pPr>
                          <w:sdt>
                            <w:sdtPr>
                              <w:alias w:val="Numeris"/>
                              <w:tag w:val="nr_08e6031e177649ffa23c740519f9d7a1"/>
                              <w:lock w:val="sdtLocked"/>
                              <w:richText/>
                            </w:sdtPr>
                            <w:sdtContent>
                              <w:r>
                                <w:rPr>
                                  <w:szCs w:val="24"/>
                                </w:rPr>
                                <w:t>1</w:t>
                              </w:r>
                            </w:sdtContent>
                          </w:sdt>
                          <w:r>
                            <w:rPr>
                              <w:szCs w:val="24"/>
                            </w:rPr>
                            <w:t>. Kai šio kodekso 264 straipsnio 1 ir 2 dalyse (transporto priemonių važiavimas ar</w:t>
                          </w:r>
                          <w:r>
                            <w:t xml:space="preserve">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419</w:t>
                          </w:r>
                          <w:r>
                            <w:rPr>
                              <w:vertAlign w:val="superscript"/>
                            </w:rPr>
                            <w:t>1</w:t>
                          </w:r>
                          <w:r>
                            <w:t xml:space="preserve"> straipsniuose, 420 straipsnio 1 dalyje, 421 straipsnyje, 424 straipsnio 1, 3 ir 4 dalyse, 431 straipsnio 1, 2, 3 ir 4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7"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55"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d40c4e3f55004c0b9512a734b5844580"/>
            <w:lock w:val="sdtLocked"/>
            <w:richText/>
          </w:sdtPr>
          <w:sdtContent>
            <w:p>
              <w:pPr>
                <w:spacing w:line="360" w:lineRule="auto"/>
                <w:ind w:firstLine="720"/>
                <w:jc w:val="both"/>
              </w:pPr>
              <w:sdt>
                <w:sdtPr>
                  <w:alias w:val="Numeris"/>
                  <w:tag w:val="nr_d40c4e3f55004c0b9512a734b5844580"/>
                  <w:lock w:val="sdtLocked"/>
                  <w:richText/>
                </w:sdtPr>
                <w:sdtContent>
                  <w:r>
                    <w:rPr>
                      <w:bCs/>
                      <w:szCs w:val="24"/>
                    </w:rPr>
                    <w:t>118</w:t>
                  </w:r>
                  <w:r>
                    <w:rPr>
                      <w:bCs/>
                      <w:szCs w:val="24"/>
                      <w:vertAlign w:val="superscript"/>
                    </w:rPr>
                    <w:t>1</w:t>
                  </w:r>
                </w:sdtContent>
              </w:sdt>
              <w:r>
                <w:rPr>
                  <w:bCs/>
                  <w:szCs w:val="24"/>
                </w:rPr>
                <w:t>.</w:t>
              </w:r>
              <w:r>
                <w:rPr>
                  <w:szCs w:val="24"/>
                </w:rPr>
                <w:t xml:space="preserve"> </w:t>
              </w:r>
              <w:r>
                <w:rPr>
                  <w:bCs/>
                  <w:szCs w:val="24"/>
                </w:rPr>
                <w:t xml:space="preserve">2023 m. liepos 12 d. Europos Parlamento ir Tarybos reglamentas </w:t>
              </w:r>
              <w:hyperlink r:id="rId56"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57" w:tgtFrame="_blank" w:history="1">
                <w:r>
                  <w:rPr>
                    <w:bCs/>
                    <w:color w:val="0000FF" w:themeColor="hyperlink"/>
                    <w:szCs w:val="24"/>
                    <w:u w:val="single"/>
                  </w:rPr>
                  <w:t>2008/98/EB</w:t>
                </w:r>
              </w:hyperlink>
              <w:r>
                <w:rPr>
                  <w:bCs/>
                  <w:szCs w:val="24"/>
                </w:rPr>
                <w:t xml:space="preserve"> bei Reglamentas </w:t>
              </w:r>
              <w:hyperlink r:id="rId58" w:tgtFrame="_blank" w:history="1">
                <w:r>
                  <w:rPr>
                    <w:bCs/>
                    <w:color w:val="0000FF" w:themeColor="hyperlink"/>
                    <w:szCs w:val="24"/>
                    <w:u w:val="single"/>
                  </w:rPr>
                  <w:t>(ES) 2019/1020</w:t>
                </w:r>
              </w:hyperlink>
              <w:r>
                <w:rPr>
                  <w:bCs/>
                  <w:szCs w:val="24"/>
                </w:rPr>
                <w:t xml:space="preserve"> ir panaikinama Direktyva </w:t>
              </w:r>
              <w:hyperlink r:id="rId59"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8"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9" w:tgtFrame="_blank" w:history="1">
                <w:r>
                  <w:rPr>
                    <w:bCs/>
                    <w:color w:val="0000FF" w:themeColor="hyperlink"/>
                    <w:szCs w:val="24"/>
                    <w:u w:val="single"/>
                  </w:rPr>
                  <w:t>(ES) 2019/1937</w:t>
                </w:r>
              </w:hyperlink>
              <w:r>
                <w:rPr>
                  <w:bCs/>
                  <w:szCs w:val="24"/>
                </w:rPr>
                <w:t xml:space="preserve"> ir panaikinamas Reglamentas </w:t>
              </w:r>
              <w:hyperlink r:id="rId50"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51"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52"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70642d0f811f08918e1adc7c5b1ec">
            <w:r w:rsidRPr="00532B9F">
              <w:rPr>
                <w:rFonts w:ascii="Times New Roman" w:eastAsia="MS Mincho" w:hAnsi="Times New Roman"/>
                <w:sz w:val="20"/>
                <w:iCs/>
                <w:color w:val="0000FF" w:themeColor="hyperlink"/>
                <w:u w:val="single"/>
              </w:rPr>
              <w:t>XV-621</w:t>
            </w:r>
          </w:fldSimple>
          <w:r>
            <w:rPr>
              <w:rFonts w:ascii="Times New Roman" w:eastAsia="MS Mincho" w:hAnsi="Times New Roman"/>
              <w:sz w:val="20"/>
              <w:iCs/>
            </w:rPr>
            <w:t>,
2025-11-27,
paskelbta TAR 2025-12-04, i. k. 2025-20663                </w:t>
          </w:r>
        </w:p>
        <w:p>
          <w:pPr>
            <w:jc w:val="both"/>
            <w:rPr>
              <w:rFonts w:ascii="Times New Roman" w:hAnsi="Times New Roman"/>
            </w:rPr>
          </w:pPr>
          <w:r>
            <w:rPr>
              <w:rFonts w:ascii="Times New Roman" w:hAnsi="Times New Roman"/>
              <w:sz w:val="20"/>
            </w:rPr>
            <w:t>Lietuvos Respublikos administracinių nusižengimų kodekso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62573d1d511f08918e1adc7c5b1ec">
            <w:r w:rsidRPr="00532B9F">
              <w:rPr>
                <w:rFonts w:ascii="Times New Roman" w:eastAsia="MS Mincho" w:hAnsi="Times New Roman"/>
                <w:sz w:val="20"/>
                <w:iCs/>
                <w:color w:val="0000FF" w:themeColor="hyperlink"/>
                <w:u w:val="single"/>
              </w:rPr>
              <w:t>XV-624</w:t>
            </w:r>
          </w:fldSimple>
          <w:r>
            <w:rPr>
              <w:rFonts w:ascii="Times New Roman" w:eastAsia="MS Mincho" w:hAnsi="Times New Roman"/>
              <w:sz w:val="20"/>
              <w:iCs/>
            </w:rPr>
            <w:t>,
2025-11-27,
paskelbta TAR 2025-12-05, i. k. 2025-20827                </w:t>
          </w:r>
        </w:p>
        <w:p>
          <w:pPr>
            <w:jc w:val="both"/>
            <w:rPr>
              <w:rFonts w:ascii="Times New Roman" w:hAnsi="Times New Roman"/>
            </w:rPr>
          </w:pPr>
          <w:r>
            <w:rPr>
              <w:rFonts w:ascii="Times New Roman" w:hAnsi="Times New Roman"/>
              <w:sz w:val="20"/>
            </w:rPr>
            <w:t>Lietuvos Respublikos administracinių nusižengimų kodekso 33, 419, 589, 610 ir 611 straipsnių pakeitimo ir Kodekso papildymo 419-1 straipsniu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80"/>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7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1129.xml"/>
  <Relationship Id="rId17" Type="http://schemas.openxmlformats.org/officeDocument/2006/relationships/header" Target="header1130.xml"/>
  <Relationship Id="rId18" Type="http://schemas.openxmlformats.org/officeDocument/2006/relationships/footer" Target="footer1129.xml"/>
  <Relationship Id="rId19" Type="http://schemas.openxmlformats.org/officeDocument/2006/relationships/footer" Target="footer1130.xml"/>
  <Relationship Id="rId2" Type="http://schemas.openxmlformats.org/officeDocument/2006/relationships/header" Target="header572.xml"/>
  <Relationship Id="rId20" Type="http://schemas.openxmlformats.org/officeDocument/2006/relationships/header" Target="header1131.xml"/>
  <Relationship Id="rId21" Type="http://schemas.openxmlformats.org/officeDocument/2006/relationships/footer" Target="footer1131.xml"/>
  <Relationship Id="rId22" Type="http://schemas.openxmlformats.org/officeDocument/2006/relationships/hyperlink" TargetMode="External" Target="http://eur-lex.europa.eu/legal-content/LIT/TXT/?uri=CELEX:32021R0782&amp;locale=lt"/>
  <Relationship Id="rId23" Type="http://schemas.openxmlformats.org/officeDocument/2006/relationships/hyperlink" TargetMode="External" Target="http://eur-lex.europa.eu/legal-content/LIT/TXT/?uri=CELEX:32012R0965&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947R2019&amp;locale=lt"/>
  <Relationship Id="rId26" Type="http://schemas.openxmlformats.org/officeDocument/2006/relationships/hyperlink" TargetMode="External" Target="http://eur-lex.europa.eu/legal-content/LIT/TXT/?uri=CELEX:32011R1178&amp;locale=lt"/>
  <Relationship Id="rId27" Type="http://schemas.openxmlformats.org/officeDocument/2006/relationships/hyperlink" TargetMode="External" Target="http://eur-lex.europa.eu/legal-content/LIT/TXT/?uri=CELEX:32014R1321&amp;locale=lt"/>
  <Relationship Id="rId28" Type="http://schemas.openxmlformats.org/officeDocument/2006/relationships/hyperlink" TargetMode="External" Target="http://eur-lex.europa.eu/legal-content/LIT/TXT/?uri=CELEX:3340R2015&amp;locale=lt"/>
  <Relationship Id="rId29" Type="http://schemas.openxmlformats.org/officeDocument/2006/relationships/hyperlink" TargetMode="External" Target="http://eur-lex.europa.eu/legal-content/LIT/TXT/?uri=CELEX:31139R2018&amp;locale=lt"/>
  <Relationship Id="rId3" Type="http://schemas.openxmlformats.org/officeDocument/2006/relationships/footer" Target="footer571.xml"/>
  <Relationship Id="rId30" Type="http://schemas.openxmlformats.org/officeDocument/2006/relationships/hyperlink" TargetMode="External" Target="http://eur-lex.europa.eu/legal-content/LIT/TXT/?uri=CELEX:32011R1178&amp;locale=lt"/>
  <Relationship Id="rId31" Type="http://schemas.openxmlformats.org/officeDocument/2006/relationships/hyperlink" TargetMode="External" Target="http://eur-lex.europa.eu/legal-content/LIT/TXT/?uri=CELEX:32014R1321&amp;locale=lt"/>
  <Relationship Id="rId32" Type="http://schemas.openxmlformats.org/officeDocument/2006/relationships/hyperlink" TargetMode="External" Target="http://eur-lex.europa.eu/legal-content/LIT/TXT/?uri=CELEX:3340R2015&amp;locale=lt"/>
  <Relationship Id="rId33" Type="http://schemas.openxmlformats.org/officeDocument/2006/relationships/hyperlink" TargetMode="External" Target="http://eur-lex.europa.eu/legal-content/LIT/TXT/?uri=CELEX:31139R2018&amp;locale=lt"/>
  <Relationship Id="rId34" Type="http://schemas.openxmlformats.org/officeDocument/2006/relationships/hyperlink" TargetMode="External" Target="http://eur-lex.europa.eu/legal-content/LIT/TXT/?uri=CELEX:32012R0923&amp;locale=lt"/>
  <Relationship Id="rId35" Type="http://schemas.openxmlformats.org/officeDocument/2006/relationships/hyperlink" TargetMode="External" Target="http://eur-lex.europa.eu/legal-content/LIT/TXT/?uri=CELEX:32011R1035&amp;locale=lt"/>
  <Relationship Id="rId36" Type="http://schemas.openxmlformats.org/officeDocument/2006/relationships/hyperlink" TargetMode="External" Target="http://eur-lex.europa.eu/legal-content/LIT/TXT/?uri=CELEX:32007R1265&amp;locale=lt"/>
  <Relationship Id="rId37" Type="http://schemas.openxmlformats.org/officeDocument/2006/relationships/hyperlink" TargetMode="External" Target="http://eur-lex.europa.eu/legal-content/LIT/TXT/?uri=CELEX:32006R1794&amp;locale=lt"/>
  <Relationship Id="rId38" Type="http://schemas.openxmlformats.org/officeDocument/2006/relationships/hyperlink" TargetMode="External" Target="http://eur-lex.europa.eu/legal-content/LIT/TXT/?uri=CELEX:32006R0730&amp;locale=lt"/>
  <Relationship Id="rId39" Type="http://schemas.openxmlformats.org/officeDocument/2006/relationships/hyperlink" TargetMode="External" Target="http://eur-lex.europa.eu/legal-content/LIT/TXT/?uri=CELEX:32006R1033&amp;locale=lt"/>
  <Relationship Id="rId4" Type="http://schemas.openxmlformats.org/officeDocument/2006/relationships/footer" Target="footer572.xml"/>
  <Relationship Id="rId40" Type="http://schemas.openxmlformats.org/officeDocument/2006/relationships/hyperlink" TargetMode="External" Target="http://eur-lex.europa.eu/legal-content/LIT/TXT/?uri=CELEX:32010R0255&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1997R0338&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3143R2014&amp;locale=lt"/>
  <Relationship Id="rId47" Type="http://schemas.openxmlformats.org/officeDocument/2006/relationships/hyperlink" TargetMode="External" Target="http://eur-lex.europa.eu/legal-content/LIT/TXT/?uri=CELEX:31997R0338&amp;locale=lt"/>
  <Relationship Id="rId48" Type="http://schemas.openxmlformats.org/officeDocument/2006/relationships/hyperlink" TargetMode="External" Target="http://eur-lex.europa.eu/legal-content/LIT/TXT/?uri=CELEX:32024R0573&amp;locale=lt"/>
  <Relationship Id="rId49" Type="http://schemas.openxmlformats.org/officeDocument/2006/relationships/hyperlink" TargetMode="External" Target="http://eur-lex.europa.eu/legal-content/LIT/TXT/?uri=CELEX:32019L1937&amp;locale=lt"/>
  <Relationship Id="rId5" Type="http://schemas.openxmlformats.org/officeDocument/2006/relationships/header" Target="header573.xml"/>
  <Relationship Id="rId50" Type="http://schemas.openxmlformats.org/officeDocument/2006/relationships/hyperlink" TargetMode="External" Target="http://eur-lex.europa.eu/legal-content/LIT/TXT/?uri=CELEX:32014R0517&amp;locale=lt"/>
  <Relationship Id="rId51" Type="http://schemas.openxmlformats.org/officeDocument/2006/relationships/hyperlink" TargetMode="External" Target="http://eur-lex.europa.eu/legal-content/LIT/TXT/?uri=CELEX:32024L1226&amp;locale=lt"/>
  <Relationship Id="rId52" Type="http://schemas.openxmlformats.org/officeDocument/2006/relationships/hyperlink" TargetMode="External" Target="http://eur-lex.europa.eu/legal-content/LIT/TXT/?uri=CELEX:32018L1673&amp;locale=lt"/>
  <Relationship Id="rId53" Type="http://schemas.openxmlformats.org/officeDocument/2006/relationships/hyperlink" TargetMode="External" Target="http://eur-lex.europa.eu/legal-content/LIT/TXT/?uri=CELEX:32021R0782&amp;locale=lt"/>
  <Relationship Id="rId54" Type="http://schemas.openxmlformats.org/officeDocument/2006/relationships/hyperlink" TargetMode="External" Target="http://eur-lex.europa.eu/legal-content/LIT/TXT/?uri=CELEX:32021R0782&amp;locale=lt"/>
  <Relationship Id="rId55" Type="http://schemas.openxmlformats.org/officeDocument/2006/relationships/hyperlink" TargetMode="External" Target="http://eur-lex.europa.eu/legal-content/LIT/TXT/?uri=CELEX:32021R0782&amp;locale=lt"/>
  <Relationship Id="rId56" Type="http://schemas.openxmlformats.org/officeDocument/2006/relationships/hyperlink" TargetMode="External" Target="http://eur-lex.europa.eu/legal-content/LIT/TXT/?uri=CELEX:32023R1542&amp;locale=lt"/>
  <Relationship Id="rId57" Type="http://schemas.openxmlformats.org/officeDocument/2006/relationships/hyperlink" TargetMode="External" Target="http://eur-lex.europa.eu/legal-content/LIT/TXT/?uri=CELEX:32008L0098&amp;locale=lt"/>
  <Relationship Id="rId58" Type="http://schemas.openxmlformats.org/officeDocument/2006/relationships/hyperlink" TargetMode="External" Target="http://eur-lex.europa.eu/legal-content/LIT/TXT/?uri=CELEX:32019R1020&amp;locale=lt"/>
  <Relationship Id="rId59" Type="http://schemas.openxmlformats.org/officeDocument/2006/relationships/hyperlink" TargetMode="External" Target="http://eur-lex.europa.eu/legal-content/LIT/TXT/?uri=CELEX:32006L0066&amp;locale=lt"/>
  <Relationship Id="rId6" Type="http://schemas.openxmlformats.org/officeDocument/2006/relationships/footer" Target="footer573.xml"/>
  <Relationship Id="rId60" Type="http://schemas.openxmlformats.org/officeDocument/2006/relationships/customXml" Target="../customXml/item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7e95e8f0381146f2a00718694afab595">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89b184924547d19e79fb3dcec14a99"/>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12180685b475497797153a9b30ed81bd"/>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c121070838cd4b59a711f85c9d3bb69b"/>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susijusių gaminių, prekių, skirtų tabako gaminiams rūkyti ar pasiruošti rūkyti, įrenginių, skirtų tabako gaminiams ir (ar) susijusiems gaminiams vartoti, nupirkimas, perdavimas ar kitoks realizavimas nepilnamečiams" DocPartId="a1bfc373fdf940efb1b356ae229ca0c7" PartId="012a221042c44d7cb3f351aece953aee">
          <Part Type="strDalis" Nr="1" Abbr="77 str. 1 d." DocPartId="8dbcf667e5f5420eb94a7d88ef12ce81" PartId="4d05c41b64fb4d8d9954f3e1036d6ab5"/>
          <Part Type="strDalis" Nr="2" Abbr="77 str. 2 d." DocPartId="7179bfdb534e492589467234a6a1f056" PartId="ed35564bfbf842edb91305ea25c23367"/>
          <Part Type="strDalis" Nr="3" Abbr="77 str. 3 d." DocPartId="276bf083fb964165ab8e57cb26013486" PartId="6344309f90904199ab13c89e77b0dcdc"/>
          <Part Type="strDalis" Nr="4" Abbr="77 str. 4 d." DocPartId="5b9ee71dd375442594ce03380d4012bd" PartId="cd2b31c96596406fae7ade8301654e2f"/>
          <Part Type="strDalis" Nr="5" Abbr="77 str. 5 d." DocPartId="5db495227ba64bb682561a9aead4dc27" PartId="5e6582962bd849a7a070d8340375e274"/>
          <Part Type="strDalis" Nr="6" Abbr="77 str. 6 d." DocPartId="2dd239b8df1e43aba9db30bd4f683fe1" PartId="f3e6a89b0d6c42f389b4477340d73507"/>
          <Part Type="strDalis" Nr="7" Abbr="77 str. 7 d." DocPartId="c3769244e6dc4cf2a01990ee4b1766ac" PartId="f0852b8953e446aab1575d4e12ca0ec6"/>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7f0bc40081a049a6976b8e8f441f69a0">
          <Part Type="strDalis" Nr="1" Abbr="223 str. 1 d." DocPartId="83919f73cadc4af6bb84365821a60cb6" PartId="461d7f991346497ab827e469fe0f3725"/>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7cd6fb638a1f46caaa85dd71f5ccf6ec">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Type="strDalis" Nr="6" Abbr="6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ūklė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Privalomojo nurody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nuostatų pažeidimas" DocPartId="b4cbc312047d4e36a26963ac39bed1fa" PartId="cbbc5995788d4feeba41afab8ab7344a">
          <Part Type="strDalis" Nr="1" Abbr="419 str. 1 d." DocPartId="93fb51feed454c1b8598da0823b2daa1" PartId="067fc930da704c47a4d67b8350a1cf46"/>
          <Part Type="strDalis" Nr="2" Abbr="419 str. 2 d." DocPartId="108fa616b65e45fc933d872f26e0d2f5" PartId="331e3a1b3aba4f989e88a53836a1c66e"/>
        </Part>
        <Part Type="straipsnis" Nr="419-1" Abbr="419-1 str." Title="Įvažiavimo į savivaldybių tarybų nustatytas mažos taršos zonas ir naudojimosi jomis tvarkos pažeidimas" DocPartId="2cd89cb453894fd98c3d6b98e2e56b89" PartId="668b07867682426eba4e61f41a1b126e">
          <Part Type="strDalis" Nr="1" Abbr="419-1 str. 1 d." DocPartId="edcff3593ed04dc6ae1f302ad1ebbf25" PartId="ac7913f156f0404dbdabf3b99c73df1c"/>
          <Part Type="strDalis" Nr="2" Abbr="419-1 str. 2 d." DocPartId="9f1959b2b841447a93880c6e1944c8f0" PartId="9e7ed06147194e62854a2455113b8677"/>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ir alternatyviosios krašto apsaugos tarnybos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1b73ec6b0ad749f5855c0bccc022cd4d"/>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4c4388e6a754ecea5e06313c7ac5530"/>
            <Part Type="strPunktas" Nr="31" Abbr="589 str. 1 d. 31 p." DocPartId="f1ad9552bb7e49b3b97b9ac5495f2ff0" PartId="9b620975240d4adfb7bb90017cdaa58e"/>
            <Part Type="strPunktas" Nr="32" Abbr="589 str. 1 d. 32 p." DocPartId="4b060e1981354ac0a8e2466f1c3027ce" PartId="72712b79482e4e5e8c3e9b8ac5a4610b"/>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820f48d9b3b74243b963142a37d7690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c8921e0a91054088bb3b5f51b442473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30efe564c0004a07970ab4e98cfbf2bd"/>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8e3ee6bcb4dd4e37b3ffa80f0d794cf1"/>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d5f2dd2ee05141e4b825a89f71a3f2e3"/>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b7f6ee9f29248c3811a2f8a3e308cb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eccbac0395b4c37bf8a949c86f8d7f4"/>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08e6031e177649ffa23c740519f9d7a1"/>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218085ea1ad42eb98094143795a609e" PartId="d40c4e3f55004c0b9512a734b5844580"/>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B6D126C-2645-4715-A25F-3E87120078AB}">
  <ds:schemaRefs>
    <ds:schemaRef ds:uri="http://lrs.lt/TAIS/DocParts"/>
  </ds:schemaRefs>
</ds:datastoreItem>
</file>

<file path=customXml/itemProps3.xml><?xml version="1.0" encoding="utf-8"?>
<ds:datastoreItem xmlns:ds="http://schemas.openxmlformats.org/officeDocument/2006/customXml" ds:itemID="{7A24478D-4B48-4288-88CB-625DBB53549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913</TotalTime>
  <Pages>485</Pages>
  <Words>148865</Words>
  <Characters>1083270</Characters>
  <Application>Microsoft Office Word</Application>
  <DocSecurity>0</DocSecurity>
  <Lines>9027</Lines>
  <Paragraphs>2459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1229676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GRINKEVIČIŪTĖ Agnė</lastModifiedBy>
  <lastPrinted>2015-07-03T07:36:00Z</lastPrinted>
  <dcterms:modified xsi:type="dcterms:W3CDTF">2025-12-12T07:53:00Z</dcterms:modified>
  <revision>434</revision>
</coreProperties>
</file>