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2019-03-22 iki 2019-03-31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2e540868de345a0a9a90c6ace96decc"/>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2e540868de345a0a9a90c6ace96dec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3275dc45fc084270af0ec151aae800ae"/>
                        <w:lock w:val="sdtLocked"/>
                        <w:richText/>
                      </w:sdtPr>
                      <w:sdtContent>
                        <w:p>
                          <w:pPr>
                            <w:spacing w:line="360" w:lineRule="auto"/>
                            <w:ind w:firstLine="720"/>
                            <w:jc w:val="both"/>
                            <w:rPr>
                              <w:color w:val="000000"/>
                              <w:szCs w:val="24"/>
                            </w:rPr>
                          </w:pPr>
                          <w:sdt>
                            <w:sdtPr>
                              <w:alias w:val="Numeris"/>
                              <w:tag w:val="nr_3275dc45fc084270af0ec151aae800ae"/>
                              <w:lock w:val="sdtLocked"/>
                              <w:richText/>
                            </w:sdtPr>
                            <w:sdtContent>
                              <w:r>
                                <w:rPr>
                                  <w:color w:val="000000"/>
                                  <w:szCs w:val="24"/>
                                </w:rPr>
                                <w:t>7</w:t>
                              </w:r>
                            </w:sdtContent>
                          </w:sdt>
                          <w:r>
                            <w:rPr>
                              <w:color w:val="000000"/>
                              <w:szCs w:val="24"/>
                            </w:rPr>
                            <w:t xml:space="preserve">. Neblaivumo ar apsvaigimo nuo narkotinių, psichotropinių ar kitų psichiką veikiančių medžiagų patikrinimo vengimas arba alkoholio ar narkotinių, psichotropinių ar kitų psichiką veikiančių medžiagų vartojimas iki patikrinimo </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6f53777d3edd4e9ca71a4a8ae23c07f8"/>
                    <w:lock w:val="sdtLocked"/>
                    <w:richText/>
                  </w:sdtPr>
                  <w:sdtContent>
                    <w:p>
                      <w:pPr>
                        <w:spacing w:line="360" w:lineRule="auto"/>
                        <w:ind w:firstLine="720"/>
                        <w:jc w:val="both"/>
                        <w:rPr>
                          <w:bCs/>
                          <w:szCs w:val="24"/>
                        </w:rPr>
                      </w:pPr>
                      <w:sdt>
                        <w:sdtPr>
                          <w:alias w:val="Numeris"/>
                          <w:tag w:val="nr_6f53777d3edd4e9ca71a4a8ae23c07f8"/>
                          <w:lock w:val="sdtLocked"/>
                          <w:richText/>
                        </w:sdtPr>
                        <w:sdtContent>
                          <w:r>
                            <w:rPr>
                              <w:b/>
                              <w:bCs/>
                              <w:szCs w:val="24"/>
                            </w:rPr>
                            <w:t>424</w:t>
                          </w:r>
                        </w:sdtContent>
                      </w:sdt>
                      <w:r>
                        <w:rPr>
                          <w:b/>
                          <w:bCs/>
                          <w:szCs w:val="24"/>
                        </w:rPr>
                        <w:t xml:space="preserve"> straipsnis. </w:t>
                      </w:r>
                      <w:sdt>
                        <w:sdtPr>
                          <w:alias w:val="Pavadinimas"/>
                          <w:tag w:val="title_6f53777d3edd4e9ca71a4a8ae23c07f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8e16ec26a6fb4db4aee8b88f32d28728"/>
                            <w:lock w:val="sdtLocked"/>
                            <w:richText/>
                          </w:sdtPr>
                          <w:sdtContent>
                            <w:p>
                              <w:pPr>
                                <w:spacing w:line="360" w:lineRule="auto"/>
                                <w:ind w:firstLine="720"/>
                                <w:jc w:val="both"/>
                                <w:rPr>
                                  <w:szCs w:val="24"/>
                                </w:rPr>
                              </w:pPr>
                              <w:sdt>
                                <w:sdtPr>
                                  <w:alias w:val="Numeris"/>
                                  <w:tag w:val="nr_8e16ec26a6fb4db4aee8b88f32d28728"/>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555</w:t>
                              </w:r>
                              <w:r>
                                <w:rPr>
                                  <w:color w:val="000000"/>
                                  <w:szCs w:val="24"/>
                                  <w:vertAlign w:val="superscript"/>
                                </w:rPr>
                                <w:t xml:space="preserve">1 </w:t>
                              </w:r>
                              <w:r>
                                <w:rPr>
                                  <w:color w:val="000000"/>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49c3c5df58c4d75acf22a155202d737"/>
                            <w:lock w:val="sdtLocked"/>
                            <w:richText/>
                          </w:sdtPr>
                          <w:sdtContent>
                            <w:p>
                              <w:pPr>
                                <w:spacing w:line="360" w:lineRule="auto"/>
                                <w:ind w:firstLine="720"/>
                                <w:jc w:val="both"/>
                                <w:rPr>
                                  <w:szCs w:val="24"/>
                                </w:rPr>
                              </w:pPr>
                              <w:sdt>
                                <w:sdtPr>
                                  <w:alias w:val="Numeris"/>
                                  <w:tag w:val="nr_f49c3c5df58c4d75acf22a155202d737"/>
                                  <w:lock w:val="sdtLocked"/>
                                  <w:richText/>
                                </w:sdtPr>
                                <w:sdtContent>
                                  <w:r>
                                    <w:rPr>
                                      <w:szCs w:val="24"/>
                                    </w:rPr>
                                    <w:t>70</w:t>
                                  </w:r>
                                </w:sdtContent>
                              </w:sdt>
                              <w:r>
                                <w:rPr>
                                  <w:szCs w:val="24"/>
                                </w:rPr>
                                <w:t>) Valstybinės vartotojų teisių apsaugos tarnybos – dėl šio kodekso 45 straipsnyje, 49 straipsnio 3, 4, 5 dalyse, 49</w:t>
                              </w:r>
                              <w:r>
                                <w:rPr>
                                  <w:szCs w:val="24"/>
                                  <w:vertAlign w:val="superscript"/>
                                </w:rPr>
                                <w:t>1</w:t>
                              </w:r>
                              <w:r>
                                <w:rPr>
                                  <w:szCs w:val="24"/>
                                </w:rPr>
                                <w:t xml:space="preserve"> straipsnyje, 50 straipsnio 1, 2, 3, 4, 13, 14, 15, 16 dalyse, 70, 128, 129,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 d."/>
                        <w:tag w:val="part_050fe274c8ca4251955950cc1b647ad7"/>
                        <w:lock w:val="sdtLocked"/>
                        <w:richText/>
                      </w:sdtPr>
                      <w:sdtContent>
                        <w:p>
                          <w:pPr>
                            <w:spacing w:line="360" w:lineRule="auto"/>
                            <w:ind w:firstLine="720"/>
                            <w:jc w:val="both"/>
                            <w:rPr>
                              <w:szCs w:val="24"/>
                            </w:rPr>
                          </w:pPr>
                          <w:sdt>
                            <w:sdtPr>
                              <w:alias w:val="Numeris"/>
                              <w:tag w:val="nr_050fe274c8ca4251955950cc1b647ad7"/>
                              <w:lock w:val="sdtLocked"/>
                              <w:richText/>
                            </w:sdtPr>
                            <w:sdtContent>
                              <w:r>
                                <w:rPr>
                                  <w:color w:val="000000"/>
                                  <w:kern w:val="2"/>
                                  <w:szCs w:val="24"/>
                                </w:rPr>
                                <w:t>4</w:t>
                              </w:r>
                            </w:sdtContent>
                          </w:sdt>
                          <w:r>
                            <w:rPr>
                              <w:color w:val="000000"/>
                              <w:kern w:val="2"/>
                              <w:szCs w:val="24"/>
                            </w:rPr>
                            <w:t xml:space="preserve">. Kai įtariama, kad administracinis nusižengimas, už kurį pagal šį kodeksą gali būti skiriamas teisės </w:t>
                          </w:r>
                          <w:r>
                            <w:rPr>
                              <w:bCs/>
                              <w:color w:val="000000"/>
                              <w:kern w:val="2"/>
                              <w:szCs w:val="24"/>
                            </w:rPr>
                            <w:t>vairuoti transporto priemones</w:t>
                          </w:r>
                          <w:r>
                            <w:rPr>
                              <w:color w:val="000000"/>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administracinėn atsakomybėn traukiamo asmens</w:t>
                          </w:r>
                          <w:r>
                            <w:rPr>
                              <w:bCs/>
                              <w:color w:val="000000"/>
                              <w:kern w:val="2"/>
                              <w:szCs w:val="24"/>
                            </w:rPr>
                            <w:t xml:space="preserve"> teisė vairuoti transporto priemones sustabdoma tol, kol administracinio nusižengimo byloje įsiteisėja galutinis sprendimas ir apie tai įrašoma administracinio nusižengimo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4D265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17.xml"/>
  <Relationship Id="rId12" Type="http://schemas.openxmlformats.org/officeDocument/2006/relationships/header" Target="header218.xml"/>
  <Relationship Id="rId13" Type="http://schemas.openxmlformats.org/officeDocument/2006/relationships/footer" Target="footer217.xml"/>
  <Relationship Id="rId14" Type="http://schemas.openxmlformats.org/officeDocument/2006/relationships/footer" Target="footer218.xml"/>
  <Relationship Id="rId15" Type="http://schemas.openxmlformats.org/officeDocument/2006/relationships/header" Target="header219.xml"/>
  <Relationship Id="rId16" Type="http://schemas.openxmlformats.org/officeDocument/2006/relationships/footer" Target="footer21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2e540868de345a0a9a90c6ace96dec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3275dc45fc084270af0ec151aae800ae"/>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6f53777d3edd4e9ca71a4a8ae23c07f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8e16ec26a6fb4db4aee8b88f32d28728"/>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49c3c5df58c4d75acf22a155202d737"/>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4 d." DocPartId="d98695cee58c49878a4288f5bfae50da" PartId="050fe274c8ca4251955950cc1b647ad7"/>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228EE3-462B-4CB2-8B6E-68C36205D00C}">
  <ds:schemaRefs>
    <ds:schemaRef ds:uri="http://lrs.lt/TAIS/DocParts"/>
  </ds:schemaRefs>
</ds:datastoreItem>
</file>

<file path=customXml/itemProps3.xml><?xml version="1.0" encoding="utf-8"?>
<ds:datastoreItem xmlns:ds="http://schemas.openxmlformats.org/officeDocument/2006/customXml" ds:itemID="{70DF944A-EEA0-4458-AD30-77594ADD6C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337</TotalTime>
  <Pages>394</Pages>
  <Words>614826</Words>
  <Characters>350451</Characters>
  <Application>Microsoft Office Word</Application>
  <DocSecurity>0</DocSecurity>
  <Lines>2920</Lines>
  <Paragraphs>1926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963351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2019-03-25T07:24:00Z</dcterms:modified>
  <revision>177</revision>
</coreProperties>
</file>