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2022-01-29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02d2e519befd4df7952a64f67ad22746"/>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02d2e519befd4df7952a64f67ad2274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654318dc8d43ca9d41bc2c15e7710a"/>
                        <w:lock w:val="sdtLocked"/>
                        <w:richText/>
                      </w:sdtPr>
                      <w:sdtContent>
                        <w:p>
                          <w:pPr>
                            <w:spacing w:line="360" w:lineRule="auto"/>
                            <w:ind w:firstLine="720"/>
                            <w:jc w:val="both"/>
                            <w:rPr>
                              <w:szCs w:val="24"/>
                            </w:rPr>
                          </w:pPr>
                          <w:sdt>
                            <w:sdtPr>
                              <w:alias w:val="Numeris"/>
                              <w:tag w:val="nr_91654318dc8d43ca9d41bc2c15e7710a"/>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w:t>
                          </w:r>
                          <w:r>
                            <w:rPr>
                              <w:bCs/>
                              <w:szCs w:val="24"/>
                            </w:rPr>
                            <w:t>325</w:t>
                          </w:r>
                          <w:r>
                            <w:rPr>
                              <w:color w:val="000000"/>
                              <w:szCs w:val="24"/>
                            </w:rPr>
                            <w:t xml:space="preserve"> </w:t>
                          </w:r>
                          <w:r>
                            <w:rPr>
                              <w:bCs/>
                              <w:szCs w:val="24"/>
                            </w:rPr>
                            <w:t>straipsnyje, 327</w:t>
                          </w:r>
                          <w:r>
                            <w:rPr>
                              <w:color w:val="000000"/>
                              <w:szCs w:val="24"/>
                            </w:rPr>
                            <w:t xml:space="preserve"> </w:t>
                          </w:r>
                          <w:r>
                            <w:rPr>
                              <w:bCs/>
                              <w:szCs w:val="24"/>
                            </w:rPr>
                            <w:t>straipsnio 1 ir 3</w:t>
                          </w:r>
                          <w:r>
                            <w:rPr>
                              <w:color w:val="000000"/>
                              <w:szCs w:val="24"/>
                            </w:rPr>
                            <w:t xml:space="preserve"> </w:t>
                          </w:r>
                          <w:r>
                            <w:rPr>
                              <w:bCs/>
                              <w:szCs w:val="24"/>
                            </w:rPr>
                            <w:t>dalyse,</w:t>
                          </w:r>
                          <w:r>
                            <w:rPr>
                              <w:b/>
                              <w:bCs/>
                              <w:szCs w:val="24"/>
                            </w:rPr>
                            <w:t xml:space="preserve"> </w:t>
                          </w:r>
                          <w:r>
                            <w:rPr>
                              <w:color w:val="000000"/>
                              <w:szCs w:val="24"/>
                            </w:rPr>
                            <w:t>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xml:space="preserve">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66dab64169194e4494d2d159475ecafb"/>
                        <w:lock w:val="sdtLocked"/>
                        <w:richText/>
                      </w:sdtPr>
                      <w:sdtContent>
                        <w:p>
                          <w:pPr>
                            <w:spacing w:line="360" w:lineRule="auto"/>
                            <w:ind w:firstLine="720"/>
                            <w:jc w:val="both"/>
                            <w:rPr>
                              <w:color w:val="000000"/>
                              <w:szCs w:val="24"/>
                            </w:rPr>
                          </w:pPr>
                          <w:sdt>
                            <w:sdtPr>
                              <w:alias w:val="Numeris"/>
                              <w:tag w:val="nr_66dab64169194e4494d2d159475ecafb"/>
                              <w:lock w:val="sdtLocked"/>
                              <w:richText/>
                            </w:sdtPr>
                            <w:sdtContent>
                              <w:r>
                                <w:rPr>
                                  <w:color w:val="000000"/>
                                  <w:szCs w:val="24"/>
                                </w:rPr>
                                <w:t>4</w:t>
                              </w:r>
                            </w:sdtContent>
                          </w:sdt>
                          <w:r>
                            <w:rPr>
                              <w:color w:val="000000"/>
                              <w:szCs w:val="24"/>
                            </w:rPr>
                            <w:t>. Už šio kodekso 47 straipsnyje, 60 straipsnio 3 dalyje, 65, 122, 125, 127, 142, 174, 208 straipsniuose, 209 straipsnio 1, 2, 3, 4, 5, 6, 7, 8 dalyse, 213 straipsnio 1, 2, 3, 4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0a26ea2b13074b93a6868a12a88a651a"/>
                        <w:lock w:val="sdtLocked"/>
                        <w:richText/>
                      </w:sdtPr>
                      <w:sdtContent>
                        <w:p>
                          <w:pPr>
                            <w:spacing w:line="360" w:lineRule="auto"/>
                            <w:ind w:firstLine="720"/>
                            <w:jc w:val="both"/>
                            <w:rPr>
                              <w:szCs w:val="24"/>
                              <w:lang w:eastAsia="lt-LT"/>
                            </w:rPr>
                          </w:pPr>
                          <w:sdt>
                            <w:sdtPr>
                              <w:alias w:val="Numeris"/>
                              <w:tag w:val="nr_0a26ea2b13074b93a6868a12a88a651a"/>
                              <w:lock w:val="sdtLocked"/>
                              <w:richText/>
                            </w:sdtPr>
                            <w:sdtContent>
                              <w:r>
                                <w:rPr>
                                  <w:szCs w:val="24"/>
                                  <w:lang w:eastAsia="lt-LT"/>
                                </w:rPr>
                                <w:t>1</w:t>
                              </w:r>
                            </w:sdtContent>
                          </w:sdt>
                          <w:r>
                            <w:rPr>
                              <w:szCs w:val="24"/>
                              <w:lang w:eastAsia="lt-LT"/>
                            </w:rPr>
                            <w:t xml:space="preserve">.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 </w:t>
                          </w:r>
                        </w:p>
                        <w:p>
                          <w:pPr>
                            <w:spacing w:line="360" w:lineRule="auto"/>
                            <w:ind w:firstLine="720"/>
                            <w:jc w:val="both"/>
                          </w:pPr>
                          <w:r>
                            <w:rPr>
                              <w:szCs w:val="24"/>
                              <w:lang w:eastAsia="lt-LT"/>
                            </w:rPr>
                            <w:t>užtraukia baudą darbuotojui nuo šešiasdešimt iki dviejų šimtų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a3a3505e3dec47868ee5bbf25200a2c6"/>
                        <w:lock w:val="sdtLocked"/>
                        <w:richText/>
                      </w:sdtPr>
                      <w:sdtContent>
                        <w:p>
                          <w:pPr>
                            <w:spacing w:line="360" w:lineRule="auto"/>
                            <w:ind w:firstLine="720"/>
                            <w:jc w:val="both"/>
                            <w:rPr>
                              <w:szCs w:val="24"/>
                              <w:lang w:eastAsia="lt-LT"/>
                            </w:rPr>
                          </w:pPr>
                          <w:sdt>
                            <w:sdtPr>
                              <w:alias w:val="Numeris"/>
                              <w:tag w:val="nr_a3a3505e3dec47868ee5bbf25200a2c6"/>
                              <w:lock w:val="sdtLocked"/>
                              <w:richText/>
                            </w:sdtPr>
                            <w:sdtContent>
                              <w:r>
                                <w:rPr>
                                  <w:szCs w:val="24"/>
                                  <w:lang w:eastAsia="lt-LT"/>
                                </w:rPr>
                                <w:t>1</w:t>
                              </w:r>
                            </w:sdtContent>
                          </w:sdt>
                          <w:r>
                            <w:rPr>
                              <w:szCs w:val="24"/>
                              <w:lang w:eastAsia="lt-LT"/>
                            </w:rPr>
                            <w:t>. Informacijos apie atsiųstą laikinai dirbti į Lietuvos Respubliką užsienietį nepateikimas nustatyta tvarka Valstybinei darbo inspekcijai</w:t>
                          </w:r>
                        </w:p>
                        <w:p>
                          <w:pPr>
                            <w:spacing w:line="360" w:lineRule="auto"/>
                            <w:ind w:firstLine="720"/>
                            <w:jc w:val="both"/>
                            <w:rPr>
                              <w:szCs w:val="24"/>
                              <w:lang w:eastAsia="lt-LT"/>
                            </w:rPr>
                          </w:pPr>
                          <w:r>
                            <w:rPr>
                              <w:szCs w:val="24"/>
                              <w:lang w:eastAsia="lt-LT"/>
                            </w:rPr>
                            <w:t>užtraukia baudą darbdaviams ar kitiems atsakingiems asmenims nuo trijų šimtų šešiasdešimt iki šešių šimtų šešiasdešimt eurų.</w:t>
                          </w:r>
                        </w:p>
                      </w:sdtContent>
                    </w:sdt>
                    <w:sdt>
                      <w:sdtPr>
                        <w:alias w:val="101 str. 2 d."/>
                        <w:tag w:val="part_202ba663a06c4443ae45062821c7b42f"/>
                        <w:lock w:val="sdtLocked"/>
                        <w:richText/>
                      </w:sdtPr>
                      <w:sdtContent>
                        <w:p>
                          <w:pPr>
                            <w:spacing w:line="360" w:lineRule="auto"/>
                            <w:ind w:firstLine="720"/>
                            <w:jc w:val="both"/>
                            <w:rPr>
                              <w:szCs w:val="24"/>
                              <w:lang w:eastAsia="lt-LT"/>
                            </w:rPr>
                          </w:pPr>
                          <w:sdt>
                            <w:sdtPr>
                              <w:alias w:val="Numeris"/>
                              <w:tag w:val="nr_202ba663a06c4443ae45062821c7b42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szCs w:val="24"/>
                            </w:rPr>
                            <w:t xml:space="preserve">septynių šimtų dvidešimt </w:t>
                          </w:r>
                          <w:r>
                            <w:rPr>
                              <w:szCs w:val="24"/>
                              <w:lang w:eastAsia="lt-LT"/>
                            </w:rPr>
                            <w:t xml:space="preserve">iki vieno </w:t>
                          </w:r>
                          <w:r>
                            <w:rPr>
                              <w:szCs w:val="24"/>
                            </w:rPr>
                            <w:t xml:space="preserve">tūkstančio trijų šimtų dvidešimt </w:t>
                          </w:r>
                          <w:r>
                            <w:rPr>
                              <w:szCs w:val="24"/>
                              <w:lang w:eastAsia="lt-LT"/>
                            </w:rPr>
                            <w:t>eurų.</w:t>
                          </w:r>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1c7af2877c09433cb99779e99d32bb46"/>
                            <w:lock w:val="sdtLocked"/>
                            <w:richText/>
                          </w:sdtPr>
                          <w:sdtContent>
                            <w:p>
                              <w:pPr>
                                <w:widowControl w:val="0"/>
                                <w:spacing w:line="360" w:lineRule="auto"/>
                                <w:ind w:firstLine="720"/>
                                <w:jc w:val="both"/>
                                <w:rPr>
                                  <w:szCs w:val="24"/>
                                </w:rPr>
                              </w:pPr>
                              <w:sdt>
                                <w:sdtPr>
                                  <w:alias w:val="Numeris"/>
                                  <w:tag w:val="nr_1c7af2877c09433cb99779e99d32bb46"/>
                                  <w:lock w:val="sdtLocked"/>
                                  <w:richText/>
                                </w:sdtPr>
                                <w:sdtContent>
                                  <w:r>
                                    <w:rPr>
                                      <w:color w:val="000000"/>
                                      <w:szCs w:val="24"/>
                                    </w:rPr>
                                    <w:t>32</w:t>
                                  </w:r>
                                </w:sdtContent>
                              </w:sdt>
                              <w:r>
                                <w:rPr>
                                  <w:color w:val="000000"/>
                                  <w:szCs w:val="24"/>
                                </w:rPr>
                                <w:t xml:space="preserve">) Finansinių nusikaltimų tyrimo tarnybos prie Vidaus reikalų ministerijos – dėl šio kodekso 95, 99, 127, 143, 150, 155, 158, 160, 161, 162, 163, 164, 165, 166, 168, 171, 172, 173, 174, 176, 185, 186, 187, 188, 193, 198, 205 straipsniuose, 209 straipsnio 1, 2, 3, 4, 5, 6, 7, 8 dalyse, 214, 224 straipsniuose, </w:t>
                              </w:r>
                              <w:r>
                                <w:rPr>
                                  <w:bCs/>
                                  <w:szCs w:val="24"/>
                                </w:rPr>
                                <w:t>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w:t>
                              </w:r>
                              <w:r>
                                <w:rPr>
                                  <w:color w:val="000000"/>
                                  <w:szCs w:val="24"/>
                                </w:rPr>
                                <w:t xml:space="preserve"> 505 straipsnyje, 506 straipsnio 4, 4</w:t>
                              </w:r>
                              <w:r>
                                <w:rPr>
                                  <w:color w:val="000000"/>
                                  <w:szCs w:val="24"/>
                                  <w:vertAlign w:val="superscript"/>
                                </w:rPr>
                                <w:t>1</w:t>
                              </w:r>
                              <w:r>
                                <w:rPr>
                                  <w:color w:val="000000"/>
                                  <w:szCs w:val="24"/>
                                </w:rPr>
                                <w:t xml:space="preserve"> 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8087a3f695484a42a1402516a1760253"/>
                            <w:lock w:val="sdtLocked"/>
                            <w:richText/>
                          </w:sdtPr>
                          <w:sdtContent>
                            <w:p>
                              <w:pPr>
                                <w:tabs>
                                  <w:tab w:val="left" w:pos="504"/>
                                </w:tabs>
                                <w:spacing w:line="360" w:lineRule="auto"/>
                                <w:ind w:firstLine="720"/>
                                <w:jc w:val="both"/>
                                <w:rPr>
                                  <w:szCs w:val="24"/>
                                </w:rPr>
                              </w:pPr>
                              <w:sdt>
                                <w:sdtPr>
                                  <w:alias w:val="Numeris"/>
                                  <w:tag w:val="nr_8087a3f695484a42a1402516a1760253"/>
                                  <w:lock w:val="sdtLocked"/>
                                  <w:richText/>
                                </w:sdtPr>
                                <w:sdtContent>
                                  <w:r>
                                    <w:rPr>
                                      <w:szCs w:val="24"/>
                                    </w:rPr>
                                    <w:t>33</w:t>
                                  </w:r>
                                  <w:r>
                                    <w:rPr>
                                      <w:szCs w:val="24"/>
                                      <w:vertAlign w:val="superscript"/>
                                    </w:rPr>
                                    <w:t>1</w:t>
                                  </w:r>
                                </w:sdtContent>
                              </w:sdt>
                              <w:r>
                                <w:rPr>
                                  <w:szCs w:val="24"/>
                                </w:rPr>
                                <w:t>) Kalėjimų departamento prie Lietuvos Respublikos teisingumo ministerijos ir jam pavaldžių įstaigų –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5b6c2b8720fe41219cfa845d14922ac1"/>
                            <w:lock w:val="sdtLocked"/>
                            <w:richText/>
                          </w:sdtPr>
                          <w:sdtContent>
                            <w:p>
                              <w:pPr>
                                <w:widowControl w:val="0"/>
                                <w:spacing w:line="360" w:lineRule="auto"/>
                                <w:ind w:firstLine="720"/>
                                <w:jc w:val="both"/>
                                <w:rPr>
                                  <w:szCs w:val="24"/>
                                </w:rPr>
                              </w:pPr>
                              <w:sdt>
                                <w:sdtPr>
                                  <w:alias w:val="Numeris"/>
                                  <w:tag w:val="nr_5b6c2b8720fe41219cfa845d14922ac1"/>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w:t>
                              </w:r>
                              <w:r>
                                <w:rPr>
                                  <w:bCs/>
                                  <w:color w:val="000000"/>
                                  <w:szCs w:val="24"/>
                                </w:rPr>
                                <w:t>7, 8</w:t>
                              </w:r>
                              <w:r>
                                <w:rPr>
                                  <w:b/>
                                  <w:bCs/>
                                  <w:color w:val="000000"/>
                                  <w:szCs w:val="24"/>
                                </w:rPr>
                                <w:t xml:space="preserve"> </w:t>
                              </w:r>
                              <w:r>
                                <w:rPr>
                                  <w:color w:val="000000"/>
                                  <w:szCs w:val="24"/>
                                </w:rPr>
                                <w:t>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xml:space="preserve">, </w:t>
                              </w:r>
                              <w:r>
                                <w:rPr>
                                  <w:rFonts w:ascii="TimesLT" w:hAnsi="TimesLT"/>
                                  <w:lang w:val="en-US"/>
                                </w:rPr>
                                <w:t>515 </w:t>
                              </w:r>
                              <w:r>
                                <w:t>straipsniuose</w:t>
                              </w:r>
                              <w:r>
                                <w:rPr>
                                  <w:color w:val="000000"/>
                                  <w:szCs w:val="24"/>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bb2594a59c8400cb6243e33457388ee"/>
                            <w:lock w:val="sdtLocked"/>
                            <w:richText/>
                          </w:sdtPr>
                          <w:sdtContent>
                            <w:p>
                              <w:pPr>
                                <w:widowControl w:val="0"/>
                                <w:spacing w:line="360" w:lineRule="auto"/>
                                <w:ind w:firstLine="720"/>
                                <w:jc w:val="both"/>
                                <w:rPr>
                                  <w:szCs w:val="24"/>
                                </w:rPr>
                              </w:pPr>
                              <w:sdt>
                                <w:sdtPr>
                                  <w:alias w:val="Numeris"/>
                                  <w:tag w:val="nr_abb2594a59c8400cb6243e33457388ee"/>
                                  <w:lock w:val="sdtLocked"/>
                                  <w:richText/>
                                </w:sdtPr>
                                <w:sdtContent>
                                  <w:r>
                                    <w:rPr>
                                      <w:color w:val="000000"/>
                                      <w:szCs w:val="24"/>
                                    </w:rPr>
                                    <w:t>57</w:t>
                                  </w:r>
                                </w:sdtContent>
                              </w:sdt>
                              <w:r>
                                <w:rPr>
                                  <w:color w:val="000000"/>
                                  <w:szCs w:val="24"/>
                                </w:rPr>
                                <w:t>) Valstybinės augalininkystės tarnybos prie Žemės ūkio ministerijos – dėl šio kodekso 139, 156, 224 straipsniuose, 308</w:t>
                              </w:r>
                              <w:r>
                                <w:rPr>
                                  <w:color w:val="000000"/>
                                  <w:szCs w:val="24"/>
                                  <w:vertAlign w:val="superscript"/>
                                </w:rPr>
                                <w:t>1</w:t>
                              </w:r>
                              <w:r>
                                <w:rPr>
                                  <w:color w:val="000000"/>
                                  <w:szCs w:val="24"/>
                                </w:rPr>
                                <w:t xml:space="preserve"> straipsnio 5, 7 dalyse, 312, 337, 338, 341, 342, </w:t>
                              </w:r>
                              <w:r>
                                <w:rPr>
                                  <w:bCs/>
                                  <w:szCs w:val="24"/>
                                  <w:lang w:eastAsia="lt-LT"/>
                                </w:rPr>
                                <w:t>342</w:t>
                              </w:r>
                              <w:r>
                                <w:rPr>
                                  <w:bCs/>
                                  <w:szCs w:val="24"/>
                                  <w:vertAlign w:val="superscript"/>
                                  <w:lang w:eastAsia="lt-LT"/>
                                </w:rPr>
                                <w:t>1</w:t>
                              </w:r>
                              <w:r>
                                <w:rPr>
                                  <w:bCs/>
                                  <w:szCs w:val="24"/>
                                  <w:lang w:eastAsia="lt-LT"/>
                                </w:rPr>
                                <w:t>, 342</w:t>
                              </w:r>
                              <w:r>
                                <w:rPr>
                                  <w:bCs/>
                                  <w:szCs w:val="24"/>
                                  <w:vertAlign w:val="superscript"/>
                                  <w:lang w:eastAsia="lt-LT"/>
                                </w:rPr>
                                <w:t>2</w:t>
                              </w:r>
                              <w:r>
                                <w:rPr>
                                  <w:bCs/>
                                  <w:szCs w:val="24"/>
                                  <w:lang w:eastAsia="lt-LT"/>
                                </w:rPr>
                                <w:t>, 342</w:t>
                              </w:r>
                              <w:r>
                                <w:rPr>
                                  <w:bCs/>
                                  <w:szCs w:val="24"/>
                                  <w:vertAlign w:val="superscript"/>
                                  <w:lang w:eastAsia="lt-LT"/>
                                </w:rPr>
                                <w:t>3</w:t>
                              </w:r>
                              <w:r>
                                <w:rPr>
                                  <w:bCs/>
                                  <w:szCs w:val="24"/>
                                  <w:lang w:eastAsia="lt-LT"/>
                                </w:rPr>
                                <w:t>,</w:t>
                              </w:r>
                              <w:r>
                                <w:rPr>
                                  <w:szCs w:val="24"/>
                                  <w:lang w:eastAsia="lt-LT"/>
                                </w:rPr>
                                <w:t xml:space="preserve"> </w:t>
                              </w:r>
                              <w:r>
                                <w:rPr>
                                  <w:bCs/>
                                  <w:szCs w:val="24"/>
                                  <w:lang w:eastAsia="lt-LT"/>
                                </w:rPr>
                                <w:t>342</w:t>
                              </w:r>
                              <w:r>
                                <w:rPr>
                                  <w:bCs/>
                                  <w:szCs w:val="24"/>
                                  <w:vertAlign w:val="superscript"/>
                                  <w:lang w:eastAsia="lt-LT"/>
                                </w:rPr>
                                <w:t>4</w:t>
                              </w:r>
                              <w:r>
                                <w:rPr>
                                  <w:bCs/>
                                  <w:szCs w:val="24"/>
                                  <w:lang w:eastAsia="lt-LT"/>
                                </w:rPr>
                                <w:t>, 342</w:t>
                              </w:r>
                              <w:r>
                                <w:rPr>
                                  <w:bCs/>
                                  <w:szCs w:val="24"/>
                                  <w:vertAlign w:val="superscript"/>
                                  <w:lang w:eastAsia="lt-LT"/>
                                </w:rPr>
                                <w:t>5</w:t>
                              </w:r>
                              <w:r>
                                <w:rPr>
                                  <w:bCs/>
                                  <w:szCs w:val="24"/>
                                  <w:lang w:eastAsia="lt-LT"/>
                                </w:rPr>
                                <w:t>,</w:t>
                              </w:r>
                              <w:r>
                                <w:rPr>
                                  <w:bCs/>
                                  <w:color w:val="000000"/>
                                  <w:szCs w:val="24"/>
                                </w:rPr>
                                <w:t xml:space="preserve"> </w:t>
                              </w:r>
                              <w:r>
                                <w:rPr>
                                  <w:bCs/>
                                  <w:szCs w:val="24"/>
                                  <w:lang w:eastAsia="lt-LT"/>
                                </w:rPr>
                                <w:t>342</w:t>
                              </w:r>
                              <w:r>
                                <w:rPr>
                                  <w:bCs/>
                                  <w:szCs w:val="24"/>
                                  <w:vertAlign w:val="superscript"/>
                                  <w:lang w:eastAsia="lt-LT"/>
                                </w:rPr>
                                <w:t>6</w:t>
                              </w:r>
                              <w:r>
                                <w:rPr>
                                  <w:szCs w:val="24"/>
                                  <w:lang w:eastAsia="lt-LT"/>
                                </w:rPr>
                                <w:t xml:space="preserve">, </w:t>
                              </w:r>
                              <w:r>
                                <w:rPr>
                                  <w:szCs w:val="24"/>
                                  <w:lang w:val="en-US" w:eastAsia="lt-LT"/>
                                </w:rPr>
                                <w:t>342</w:t>
                              </w:r>
                              <w:r>
                                <w:rPr>
                                  <w:szCs w:val="24"/>
                                  <w:vertAlign w:val="superscript"/>
                                  <w:lang w:val="en-US" w:eastAsia="lt-LT"/>
                                </w:rPr>
                                <w:t>7</w:t>
                              </w:r>
                              <w:r>
                                <w:rPr>
                                  <w:szCs w:val="24"/>
                                  <w:lang w:val="en-US" w:eastAsia="lt-LT"/>
                                </w:rPr>
                                <w:t xml:space="preserve">, </w:t>
                              </w:r>
                              <w:r>
                                <w:rPr>
                                  <w:color w:val="000000"/>
                                  <w:szCs w:val="24"/>
                                </w:rPr>
                                <w:t>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41c8962aeb144875b03ec5feb3ab5a64"/>
                            <w:lock w:val="sdtLocked"/>
                            <w:richText/>
                          </w:sdtPr>
                          <w:sdtContent>
                            <w:p>
                              <w:pPr>
                                <w:spacing w:line="360" w:lineRule="auto"/>
                                <w:ind w:firstLine="720"/>
                                <w:jc w:val="both"/>
                                <w:rPr>
                                  <w:szCs w:val="24"/>
                                </w:rPr>
                              </w:pPr>
                              <w:sdt>
                                <w:sdtPr>
                                  <w:alias w:val="Numeris"/>
                                  <w:tag w:val="nr_41c8962aeb144875b03ec5feb3ab5a64"/>
                                  <w:lock w:val="sdtLocked"/>
                                  <w:richText/>
                                </w:sdtPr>
                                <w:sdtContent>
                                  <w:r>
                                    <w:rPr>
                                      <w:color w:val="000000"/>
                                      <w:szCs w:val="24"/>
                                      <w:lang w:eastAsia="lt-LT"/>
                                    </w:rPr>
                                    <w:t>66</w:t>
                                  </w:r>
                                </w:sdtContent>
                              </w:sdt>
                              <w:r>
                                <w:rPr>
                                  <w:color w:val="000000"/>
                                  <w:szCs w:val="24"/>
                                  <w:lang w:eastAsia="lt-LT"/>
                                </w:rPr>
                                <w:t xml:space="preserve">) Valstybinės mokesčių inspekcijos – dėl šio kodekso 93, 95, 99, 127, 132, 137, 143, 150, 151, 159, 160, 161, 162, 163, 164, 165, 166, 167, 168, 170, 172, 173, 174, </w:t>
                              </w:r>
                              <w:r>
                                <w:rPr>
                                  <w:szCs w:val="24"/>
                                  <w:lang w:eastAsia="lt-LT"/>
                                </w:rPr>
                                <w:t>176, 180</w:t>
                              </w:r>
                              <w:r>
                                <w:rPr>
                                  <w:color w:val="000000"/>
                                  <w:szCs w:val="24"/>
                                  <w:lang w:eastAsia="lt-LT"/>
                                </w:rPr>
                                <w:t xml:space="preserve">, 187, 188, </w:t>
                              </w:r>
                              <w:r>
                                <w:rPr>
                                  <w:color w:val="000000"/>
                                  <w:szCs w:val="24"/>
                                </w:rPr>
                                <w:t>188</w:t>
                              </w:r>
                              <w:r>
                                <w:rPr>
                                  <w:color w:val="000000"/>
                                  <w:szCs w:val="24"/>
                                  <w:vertAlign w:val="superscript"/>
                                </w:rPr>
                                <w:t>1</w:t>
                              </w:r>
                              <w:r>
                                <w:rPr>
                                  <w:color w:val="000000"/>
                                  <w:szCs w:val="24"/>
                                </w:rPr>
                                <w:t>,</w:t>
                              </w:r>
                              <w:r>
                                <w:rPr>
                                  <w:color w:val="000000"/>
                                  <w:szCs w:val="24"/>
                                  <w:lang w:eastAsia="lt-LT"/>
                                </w:rPr>
                                <w:t xml:space="preserve"> 189, 190, 191, 192, 194, 198</w:t>
                              </w:r>
                              <w:r>
                                <w:rPr>
                                  <w:color w:val="000000"/>
                                  <w:szCs w:val="24"/>
                                  <w:vertAlign w:val="superscript"/>
                                  <w:lang w:eastAsia="lt-LT"/>
                                </w:rPr>
                                <w:t>1</w:t>
                              </w:r>
                              <w:r>
                                <w:rPr>
                                  <w:color w:val="000000"/>
                                  <w:szCs w:val="24"/>
                                  <w:lang w:eastAsia="lt-LT"/>
                                </w:rPr>
                                <w:t>, 205, 207 straipsniuose, 209 straipsnio 1, 2, 3, 4, 5, 6, 7, 8 dalyse, 214, 224, 431, 449, 449</w:t>
                              </w:r>
                              <w:r>
                                <w:rPr>
                                  <w:color w:val="000000"/>
                                  <w:szCs w:val="24"/>
                                  <w:vertAlign w:val="superscript"/>
                                  <w:lang w:eastAsia="lt-LT"/>
                                </w:rPr>
                                <w:t>1</w:t>
                              </w:r>
                              <w:r>
                                <w:rPr>
                                  <w:color w:val="000000"/>
                                  <w:szCs w:val="24"/>
                                  <w:lang w:eastAsia="lt-LT"/>
                                </w:rPr>
                                <w:t>, 450,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12d87eaacaf47529978237e9bc3e175"/>
                            <w:lock w:val="sdtLocked"/>
                            <w:richText/>
                          </w:sdtPr>
                          <w:sdtContent>
                            <w:p>
                              <w:pPr>
                                <w:spacing w:line="360" w:lineRule="auto"/>
                                <w:ind w:firstLine="720"/>
                                <w:jc w:val="both"/>
                                <w:rPr>
                                  <w:szCs w:val="24"/>
                                </w:rPr>
                              </w:pPr>
                              <w:sdt>
                                <w:sdtPr>
                                  <w:alias w:val="Numeris"/>
                                  <w:tag w:val="nr_b12d87eaacaf47529978237e9bc3e175"/>
                                  <w:lock w:val="sdtLocked"/>
                                  <w:richText/>
                                </w:sdtPr>
                                <w:sdtContent>
                                  <w:r>
                                    <w:rPr>
                                      <w:color w:val="000000"/>
                                      <w:szCs w:val="24"/>
                                      <w:lang w:eastAsia="lt-LT"/>
                                    </w:rPr>
                                    <w:t>82</w:t>
                                  </w:r>
                                </w:sdtContent>
                              </w:sdt>
                              <w:r>
                                <w:rPr>
                                  <w:color w:val="000000"/>
                                  <w:szCs w:val="24"/>
                                  <w:lang w:eastAsia="lt-LT"/>
                                </w:rPr>
                                <w:t>) savivaldybių administracijų – dėl šio kodekso 45, 46, 48, 78, 114 straipsniuose, 144 straipsnio 1, 4, 5 dalyse, 148, 149, 150, 152, 153, 154, 155, 156, 166, 167, 168,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color w:val="000000"/>
                                  <w:szCs w:val="24"/>
                                  <w:vertAlign w:val="superscript"/>
                                  <w:lang w:eastAsia="lt-LT"/>
                                </w:rPr>
                                <w:t>1</w:t>
                              </w:r>
                              <w:r>
                                <w:rPr>
                                  <w:color w:val="000000"/>
                                  <w:szCs w:val="24"/>
                                  <w:lang w:eastAsia="lt-LT"/>
                                </w:rPr>
                                <w:t>, 457, 459, 484, 484</w:t>
                              </w:r>
                              <w:r>
                                <w:rPr>
                                  <w:color w:val="000000"/>
                                  <w:szCs w:val="24"/>
                                  <w:vertAlign w:val="superscript"/>
                                  <w:lang w:eastAsia="lt-LT"/>
                                </w:rPr>
                                <w:t>1</w:t>
                              </w:r>
                              <w:r>
                                <w:rPr>
                                  <w:color w:val="000000"/>
                                  <w:szCs w:val="24"/>
                                  <w:lang w:eastAsia="lt-LT"/>
                                </w:rPr>
                                <w:t>, 485, 488, 491, 492, 497, 498, 499, 500, 501, 502, 503, 505, 505</w:t>
                              </w:r>
                              <w:r>
                                <w:rPr>
                                  <w:color w:val="000000"/>
                                  <w:szCs w:val="24"/>
                                  <w:vertAlign w:val="superscript"/>
                                  <w:lang w:eastAsia="lt-LT"/>
                                </w:rPr>
                                <w:t>1</w:t>
                              </w:r>
                              <w:r>
                                <w:rPr>
                                  <w:color w:val="000000"/>
                                  <w:szCs w:val="24"/>
                                  <w:lang w:eastAsia="lt-LT"/>
                                </w:rPr>
                                <w:t>, 507, 516, 517</w:t>
                              </w:r>
                              <w:r>
                                <w:rPr>
                                  <w:color w:val="000000"/>
                                  <w:szCs w:val="24"/>
                                  <w:vertAlign w:val="superscript"/>
                                  <w:lang w:eastAsia="lt-LT"/>
                                </w:rPr>
                                <w:t>1</w:t>
                              </w:r>
                              <w:r>
                                <w:rPr>
                                  <w:color w:val="000000"/>
                                  <w:szCs w:val="24"/>
                                  <w:lang w:eastAsia="lt-LT"/>
                                </w:rPr>
                                <w:t>, 517</w:t>
                              </w:r>
                              <w:r>
                                <w:rPr>
                                  <w:color w:val="000000"/>
                                  <w:szCs w:val="24"/>
                                  <w:vertAlign w:val="superscript"/>
                                  <w:lang w:eastAsia="lt-LT"/>
                                </w:rPr>
                                <w:t>2</w:t>
                              </w:r>
                              <w:r>
                                <w:rPr>
                                  <w:color w:val="000000"/>
                                  <w:szCs w:val="24"/>
                                  <w:lang w:eastAsia="lt-LT"/>
                                </w:rPr>
                                <w:t>, 517</w:t>
                              </w:r>
                              <w:r>
                                <w:rPr>
                                  <w:color w:val="000000"/>
                                  <w:szCs w:val="24"/>
                                  <w:vertAlign w:val="superscript"/>
                                  <w:lang w:eastAsia="lt-LT"/>
                                </w:rPr>
                                <w:t>3</w:t>
                              </w:r>
                              <w:r>
                                <w:rPr>
                                  <w:color w:val="000000"/>
                                  <w:szCs w:val="24"/>
                                  <w:lang w:eastAsia="lt-LT"/>
                                </w:rPr>
                                <w:t>, 517</w:t>
                              </w:r>
                              <w:r>
                                <w:rPr>
                                  <w:color w:val="000000"/>
                                  <w:szCs w:val="24"/>
                                  <w:vertAlign w:val="superscript"/>
                                  <w:lang w:eastAsia="lt-LT"/>
                                </w:rPr>
                                <w:t>4</w:t>
                              </w:r>
                              <w:r>
                                <w:rPr>
                                  <w:color w:val="000000"/>
                                  <w:szCs w:val="24"/>
                                  <w:lang w:eastAsia="lt-LT"/>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62cc70e0a0644a1dbf2a616246d6396a"/>
                    <w:lock w:val="sdtLocked"/>
                    <w:richText/>
                  </w:sdtPr>
                  <w:sdtContent>
                    <w:p>
                      <w:pPr>
                        <w:suppressAutoHyphens/>
                        <w:spacing w:line="360" w:lineRule="auto"/>
                        <w:ind w:firstLine="720"/>
                        <w:jc w:val="both"/>
                        <w:rPr>
                          <w:b/>
                          <w:szCs w:val="24"/>
                        </w:rPr>
                      </w:pPr>
                      <w:sdt>
                        <w:sdtPr>
                          <w:alias w:val="Numeris"/>
                          <w:tag w:val="nr_62cc70e0a0644a1dbf2a616246d6396a"/>
                          <w:lock w:val="sdtLocked"/>
                          <w:richText/>
                        </w:sdtPr>
                        <w:sdtContent>
                          <w:r>
                            <w:rPr>
                              <w:b/>
                              <w:bCs/>
                              <w:szCs w:val="24"/>
                            </w:rPr>
                            <w:t>603</w:t>
                          </w:r>
                        </w:sdtContent>
                      </w:sdt>
                      <w:r>
                        <w:rPr>
                          <w:b/>
                          <w:bCs/>
                          <w:szCs w:val="24"/>
                        </w:rPr>
                        <w:t xml:space="preserve"> straipsnis. </w:t>
                      </w:r>
                      <w:sdt>
                        <w:sdtPr>
                          <w:alias w:val="Pavadinimas"/>
                          <w:tag w:val="title_62cc70e0a0644a1dbf2a616246d6396a"/>
                          <w:lock w:val="sdtLocked"/>
                          <w:richText/>
                        </w:sdtPr>
                        <w:sdtContent>
                          <w:r>
                            <w:rPr>
                              <w:b/>
                              <w:bCs/>
                              <w:szCs w:val="24"/>
                            </w:rPr>
                            <w:t>Priverstinis transporto priemonės nuvežimas</w:t>
                          </w:r>
                        </w:sdtContent>
                      </w:sdt>
                    </w:p>
                    <w:sdt>
                      <w:sdtPr>
                        <w:alias w:val="603 str. 1 d."/>
                        <w:tag w:val="part_63653e60ec7246fa9978d05b0d72c729"/>
                        <w:lock w:val="sdtLocked"/>
                        <w:richText/>
                      </w:sdtPr>
                      <w:sdtContent>
                        <w:p>
                          <w:pPr>
                            <w:suppressAutoHyphens/>
                            <w:spacing w:line="360" w:lineRule="auto"/>
                            <w:ind w:firstLine="720"/>
                            <w:jc w:val="both"/>
                            <w:rPr>
                              <w:szCs w:val="24"/>
                            </w:rPr>
                          </w:pPr>
                          <w:r>
                            <w:rPr>
                              <w:szCs w:val="24"/>
                            </w:rPr>
                            <w:t>Padarius šio kodekso 417 straipsnio 2 dalyje (sustojimas ar stovėjimas vietose, kuriose pagal Kelių eismo taisykles draudžiama sustoti ar stovėti, sustojimas ar stovėjimas nesilaikant kelio ženklų ir ženklinimo reikalavimų),</w:t>
                          </w:r>
                          <w:r>
                            <w:rPr>
                              <w:b/>
                              <w:szCs w:val="24"/>
                            </w:rPr>
                            <w:t xml:space="preserve"> </w:t>
                          </w:r>
                          <w:r>
                            <w:rPr>
                              <w:szCs w:val="24"/>
                            </w:rPr>
                            <w:t xml:space="preserve">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rPr>
                            <w:t xml:space="preserve">administracinio nusižengimo teiseną pradėję ar </w:t>
                          </w:r>
                          <w:r>
                            <w:rPr>
                              <w:bCs/>
                              <w:color w:val="000000"/>
                              <w:szCs w:val="24"/>
                            </w:rPr>
                            <w:t>administracinio nusižengimo tyrimą atliekantys</w:t>
                          </w:r>
                          <w:r>
                            <w:rPr>
                              <w:szCs w:val="24"/>
                            </w:rPr>
                            <w:t xml:space="preserve"> pareigūnai</w:t>
                          </w:r>
                          <w:r>
                            <w:rPr>
                              <w:b/>
                              <w:szCs w:val="24"/>
                            </w:rPr>
                            <w:t xml:space="preserve"> </w:t>
                          </w:r>
                          <w:r>
                            <w:rPr>
                              <w:szCs w:val="24"/>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rPr>
                            <w:t>ar šiame straipsnyje nustatyta tvarka realizuojama arba sunaikinama</w:t>
                          </w:r>
                          <w:r>
                            <w:rPr>
                              <w:szCs w:val="24"/>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13e620beb1fa408e95fc28b5e3d33bac"/>
                    <w:lock w:val="sdtLocked"/>
                    <w:richText/>
                  </w:sdtPr>
                  <w:sdtContent>
                    <w:p>
                      <w:pPr>
                        <w:spacing w:line="360" w:lineRule="auto"/>
                        <w:ind w:left="2268" w:hanging="1559"/>
                        <w:jc w:val="both"/>
                      </w:pPr>
                      <w:sdt>
                        <w:sdtPr>
                          <w:alias w:val="Numeris"/>
                          <w:tag w:val="nr_13e620beb1fa408e95fc28b5e3d33bac"/>
                          <w:lock w:val="sdtLocked"/>
                          <w:richText/>
                        </w:sdtPr>
                        <w:sdtContent>
                          <w:r>
                            <w:rPr>
                              <w:b/>
                              <w:bCs/>
                              <w:color w:val="000000"/>
                            </w:rPr>
                            <w:t>611</w:t>
                          </w:r>
                        </w:sdtContent>
                      </w:sdt>
                      <w:r>
                        <w:rPr>
                          <w:b/>
                          <w:bCs/>
                          <w:color w:val="000000"/>
                        </w:rPr>
                        <w:t xml:space="preserve"> straipsnis. </w:t>
                      </w:r>
                      <w:r>
                        <w:rPr>
                          <w:b/>
                          <w:color w:val="000000"/>
                        </w:rPr>
                        <w:t>Administracinio nusižengimo protokolo</w:t>
                      </w:r>
                      <w:r>
                        <w:rPr>
                          <w:b/>
                          <w:bCs/>
                          <w:color w:val="000000"/>
                        </w:rPr>
                        <w:t xml:space="preserve">, </w:t>
                      </w:r>
                      <w:r>
                        <w:rPr>
                          <w:b/>
                          <w:color w:val="000000"/>
                        </w:rPr>
                        <w:t xml:space="preserve">administracinio nurodymo </w:t>
                      </w:r>
                      <w:r>
                        <w:rPr>
                          <w:b/>
                          <w:bCs/>
                          <w:color w:val="000000"/>
                        </w:rPr>
                        <w:t>ir</w:t>
                      </w:r>
                      <w:r>
                        <w:rPr>
                          <w:b/>
                          <w:color w:val="000000"/>
                        </w:rPr>
                        <w:t xml:space="preserve"> </w:t>
                      </w:r>
                      <w:r>
                        <w:rPr>
                          <w:b/>
                          <w:bCs/>
                          <w:color w:val="000000"/>
                        </w:rPr>
                        <w:t>nutarimo surašymas</w:t>
                      </w:r>
                      <w:r>
                        <w:rPr>
                          <w:b/>
                          <w:color w:val="000000"/>
                        </w:rPr>
                        <w:t xml:space="preserve"> tais atvejais, kai nusižengimas užfiksuotas ne asmens, įtariamo administracinio nusižengimo padarymu, akivaizdoje</w:t>
                      </w:r>
                    </w:p>
                    <w:sdt>
                      <w:sdtPr>
                        <w:alias w:val="611 str. 1 d."/>
                        <w:tag w:val="part_41af3d5fcbd84ebda56512d94f9ddaa1"/>
                        <w:lock w:val="sdtLocked"/>
                        <w:richText/>
                      </w:sdtPr>
                      <w:sdtContent>
                        <w:p>
                          <w:pPr>
                            <w:spacing w:line="360" w:lineRule="auto"/>
                            <w:ind w:firstLine="720"/>
                            <w:jc w:val="both"/>
                          </w:pPr>
                          <w:sdt>
                            <w:sdtPr>
                              <w:alias w:val="Numeris"/>
                              <w:tag w:val="nr_41af3d5fcbd84ebda56512d94f9ddaa1"/>
                              <w:lock w:val="sdtLocked"/>
                              <w:richText/>
                            </w:sdtPr>
                            <w:sdtContent>
                              <w:r>
                                <w:t>1</w:t>
                              </w:r>
                            </w:sdtContent>
                          </w:sdt>
                          <w:r>
                            <w:t>.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431 straipsnio 1 ir 2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0d18bbf24f63447c96d1d619edc1ddc8"/>
                        <w:lock w:val="sdtLocked"/>
                        <w:richText/>
                      </w:sdtPr>
                      <w:sdtContent>
                        <w:p>
                          <w:pPr>
                            <w:spacing w:line="360" w:lineRule="auto"/>
                            <w:ind w:firstLine="720"/>
                            <w:jc w:val="both"/>
                          </w:pPr>
                          <w:sdt>
                            <w:sdtPr>
                              <w:alias w:val="Numeris"/>
                              <w:tag w:val="nr_0d18bbf24f63447c96d1d619edc1ddc8"/>
                              <w:lock w:val="sdtLocked"/>
                              <w:richText/>
                            </w:sdtPr>
                            <w:sdtContent>
                              <w:r>
                                <w:t>2</w:t>
                              </w:r>
                            </w:sdtContent>
                          </w:sdt>
                          <w: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ir 2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970d1a07bdf04181ae65f77a6b543ac3"/>
                        <w:lock w:val="sdtLocked"/>
                        <w:richText/>
                      </w:sdtPr>
                      <w:sdtContent>
                        <w:p>
                          <w:pPr>
                            <w:spacing w:line="360" w:lineRule="auto"/>
                            <w:ind w:firstLine="720"/>
                            <w:jc w:val="both"/>
                          </w:pPr>
                          <w:sdt>
                            <w:sdtPr>
                              <w:alias w:val="Numeris"/>
                              <w:tag w:val="nr_970d1a07bdf04181ae65f77a6b543ac3"/>
                              <w:lock w:val="sdtLocked"/>
                              <w:richText/>
                            </w:sdtPr>
                            <w:sdtContent>
                              <w:r>
                                <w:t>3</w:t>
                              </w:r>
                            </w:sdtContent>
                          </w:sdt>
                          <w:r>
                            <w:t>. Nustatant šio straipsnio 1 dalyje nurodytus administracinius nusižengimus (išskyrus šio kodekso 431 straipsnio 1 ir 2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4a0b250de231414fbb964455998278d9"/>
                        <w:lock w:val="sdtLocked"/>
                        <w:richText/>
                      </w:sdtPr>
                      <w:sdtContent>
                        <w:p>
                          <w:pPr>
                            <w:spacing w:line="360" w:lineRule="auto"/>
                            <w:ind w:firstLine="720"/>
                            <w:jc w:val="both"/>
                            <w:rPr>
                              <w:szCs w:val="24"/>
                            </w:rPr>
                          </w:pPr>
                          <w:sdt>
                            <w:sdtPr>
                              <w:alias w:val="Numeris"/>
                              <w:tag w:val="nr_4a0b250de231414fbb964455998278d9"/>
                              <w:lock w:val="sdtLocked"/>
                              <w:richText/>
                            </w:sdtPr>
                            <w:sdtContent>
                              <w:r>
                                <w:t>4</w:t>
                              </w:r>
                            </w:sdtContent>
                          </w:sdt>
                          <w: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color w:val="000000"/>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06c49bebd8f14193994cd61ddd0ce2e2"/>
                        <w:lock w:val="sdtLocked"/>
                        <w:richText/>
                      </w:sdtPr>
                      <w:sdtContent>
                        <w:p>
                          <w:pPr>
                            <w:spacing w:line="360" w:lineRule="auto"/>
                            <w:ind w:firstLine="720"/>
                            <w:jc w:val="both"/>
                            <w:rPr>
                              <w:b/>
                              <w:szCs w:val="24"/>
                            </w:rPr>
                          </w:pPr>
                          <w:sdt>
                            <w:sdtPr>
                              <w:alias w:val="Numeris"/>
                              <w:tag w:val="nr_06c49bebd8f14193994cd61ddd0ce2e2"/>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63940a42d0704aebbde97b28e87e2156"/>
                        <w:lock w:val="sdtLocked"/>
                        <w:richText/>
                      </w:sdtPr>
                      <w:sdtContent>
                        <w:p>
                          <w:pPr>
                            <w:spacing w:line="360" w:lineRule="auto"/>
                            <w:ind w:firstLine="720"/>
                            <w:jc w:val="both"/>
                            <w:rPr>
                              <w:szCs w:val="24"/>
                            </w:rPr>
                          </w:pPr>
                          <w:sdt>
                            <w:sdtPr>
                              <w:alias w:val="Numeris"/>
                              <w:tag w:val="nr_63940a42d0704aebbde97b28e87e2156"/>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36DC75"/>
  <w15:docId w15:val="{5AECCE74-2707-47F7-B7A3-97AAEE95CD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66.xml"/>
  <Relationship Id="rId11" Type="http://schemas.openxmlformats.org/officeDocument/2006/relationships/header" Target="header467.xml"/>
  <Relationship Id="rId12" Type="http://schemas.openxmlformats.org/officeDocument/2006/relationships/footer" Target="footer466.xml"/>
  <Relationship Id="rId13" Type="http://schemas.openxmlformats.org/officeDocument/2006/relationships/footer" Target="footer467.xml"/>
  <Relationship Id="rId14" Type="http://schemas.openxmlformats.org/officeDocument/2006/relationships/header" Target="header468.xml"/>
  <Relationship Id="rId15" Type="http://schemas.openxmlformats.org/officeDocument/2006/relationships/footer" Target="footer46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02d2e519befd4df7952a64f67ad2274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654318dc8d43ca9d41bc2c15e7710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66dab64169194e4494d2d159475ecafb">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0a26ea2b13074b93a6868a12a88a651a"/>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a3a3505e3dec47868ee5bbf25200a2c6"/>
          <Part Type="strDalis" Nr="2" Abbr="101 str. 2 d." DocPartId="fc344e62947346aebcf64caa223a65cd" PartId="202ba663a06c4443ae45062821c7b42f"/>
          <Part Type="strDalis" Nr="3" Abbr="101 str. 3 d." DocPartId="39d935fb40564f73b935e1286e0fda1b" PartId="a14959d0a5654e97b0c5fd612ff12b2d"/>
          <Part Type="strDalis" Nr="4" Abbr="101 str. 4 d." DocPartId="66e113e44fcd4ac3b6699b8441d90a7a" PartId="b07a7ee811d44375bed7a0892018705b"/>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1c7af2877c09433cb99779e99d32bb46"/>
            <Part Type="strPunktas" Nr="33" Abbr="589 str. 1 d. 33 p." DocPartId="6b2a0ca5516f455caea711941bc2bfaa" PartId="1d39c4916f224fce98d4c8f120873a12"/>
            <Part Type="strPunktas" Nr="33-1" Abbr="589 str. 1 d. 33-1 p." DocPartId="7f3aec409d14458a98bf759473b62dd8" PartId="8087a3f695484a42a1402516a1760253"/>
            <Part Type="strPunktas" Nr="34" Abbr="589 str. 1 d. 34 p." DocPartId="25540ea79a1e4a05add773c29ef0b73d" PartId="c33a1303814149adbe2af8f6fead4be9"/>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5b6c2b8720fe41219cfa845d14922ac1"/>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abb2594a59c8400cb6243e33457388ee"/>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41c8962aeb144875b03ec5feb3ab5a64"/>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12d87eaacaf47529978237e9bc3e175"/>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62cc70e0a0644a1dbf2a616246d6396a">
          <Part Type="strDalis" Nr="1" Abbr="603 str. 1 d." DocPartId="baad30ea4d9c4e0e8c0fcd12a58feb3d" PartId="63653e60ec7246fa9978d05b0d72c729"/>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DocPartId="d138a5bd75b84911a4f9aa3c198cf8a3" PartId="13e620beb1fa408e95fc28b5e3d33bac">
          <Part Type="strDalis" Nr="1" Abbr="611 str. 1 d." DocPartId="925fda8ec18945fa86c15173ed996d11" PartId="41af3d5fcbd84ebda56512d94f9ddaa1"/>
          <Part Type="strDalis" Nr="2" Abbr="611 str. 2 d." DocPartId="257d4bc8cea74d8ca6ec753246b4ce4a" PartId="0d18bbf24f63447c96d1d619edc1ddc8"/>
          <Part Type="strDalis" Nr="3" Abbr="611 str. 3 d." DocPartId="873011de3027404d98c37c6435e42e83" PartId="970d1a07bdf04181ae65f77a6b543ac3"/>
          <Part Type="strDalis" Nr="4" Abbr="611 str. 4 d." DocPartId="07097335833a480ba323aa9a4948e49b" PartId="4a0b250de231414fbb964455998278d9"/>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06c49bebd8f14193994cd61ddd0ce2e2"/>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63940a42d0704aebbde97b28e87e2156"/>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punktas" Nr="110" Abbr="pr. 110 p." DocPartId="e8e463c16f6b4001b633ad0df4bccc5e" PartId="ce81133102f3465a80fa896b65884877"/>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B314A8-3C2A-409F-A2D8-EBFCDACD3C38}">
  <ds:schemaRefs>
    <ds:schemaRef ds:uri="http://lrs.lt/TAIS/DocParts"/>
  </ds:schemaRefs>
</ds:datastoreItem>
</file>

<file path=customXml/itemProps3.xml><?xml version="1.0" encoding="utf-8"?>
<ds:datastoreItem xmlns:ds="http://schemas.openxmlformats.org/officeDocument/2006/customXml" ds:itemID="{F008959F-0D61-470A-9C99-D60B8D214BC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483</TotalTime>
  <Pages>429</Pages>
  <Words>129658</Words>
  <Characters>940202</Characters>
  <Application>Microsoft Office Word</Application>
  <DocSecurity>0</DocSecurity>
  <Lines>7835</Lines>
  <Paragraphs>2135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1067725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2022-02-04T14:30:00Z</dcterms:modified>
  <revision>284</revision>
</coreProperties>
</file>