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2025-07-03 iki 2025-07-31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db0523f9b8a047fcbb38691deb653390"/>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db0523f9b8a047fcbb38691deb653390"/>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e43495f5025d4234ba576b2056d67a55"/>
                        <w:lock w:val="sdtLocked"/>
                        <w:richText/>
                      </w:sdtPr>
                      <w:sdtContent>
                        <w:p>
                          <w:pPr>
                            <w:tabs>
                              <w:tab w:val="left" w:pos="1134"/>
                            </w:tabs>
                            <w:spacing w:line="360" w:lineRule="auto"/>
                            <w:ind w:firstLine="720"/>
                            <w:jc w:val="both"/>
                            <w:rPr>
                              <w:rFonts w:ascii="TimesLT" w:hAnsi="TimesLT"/>
                            </w:rPr>
                          </w:pPr>
                          <w:sdt>
                            <w:sdtPr>
                              <w:alias w:val="Numeris"/>
                              <w:tag w:val="nr_e43495f5025d4234ba576b2056d67a55"/>
                              <w:lock w:val="sdtLocked"/>
                              <w:richText/>
                            </w:sdtPr>
                            <w:sdtContent>
                              <w:r>
                                <w:rPr>
                                  <w:rFonts w:ascii="TimesLT" w:hAnsi="TimesLT"/>
                                  <w:iCs/>
                                  <w:szCs w:val="24"/>
                                  <w:lang w:eastAsia="lt-LT"/>
                                </w:rPr>
                                <w:t>4</w:t>
                              </w:r>
                            </w:sdtContent>
                          </w:sdt>
                          <w:r>
                            <w:rPr>
                              <w:rFonts w:ascii="TimesLT" w:hAnsi="TimesLT"/>
                              <w:iCs/>
                              <w:szCs w:val="24"/>
                              <w:lang w:eastAsia="lt-LT"/>
                            </w:rPr>
                            <w:t>.</w:t>
                          </w:r>
                          <w:r>
                            <w:rPr>
                              <w:rFonts w:ascii="TimesLT" w:hAnsi="TimesLT"/>
                              <w:szCs w:val="24"/>
                            </w:rPr>
                            <w:t xml:space="preserve"> Socialines,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6 dalyse, </w:t>
                          </w:r>
                          <w:r>
                            <w:rPr>
                              <w:rFonts w:ascii="TimesLT" w:hAnsi="TimesLT"/>
                            </w:rPr>
                            <w:t>nevykdymas</w:t>
                          </w:r>
                        </w:p>
                        <w:p>
                          <w:pPr>
                            <w:tabs>
                              <w:tab w:val="left" w:pos="1134"/>
                            </w:tabs>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14c669a719ab4ba6ae4ac4bda47771bd"/>
                        <w:lock w:val="sdtLocked"/>
                        <w:richText/>
                      </w:sdtPr>
                      <w:sdtContent>
                        <w:p>
                          <w:pPr>
                            <w:tabs>
                              <w:tab w:val="left" w:pos="1134"/>
                            </w:tabs>
                            <w:spacing w:line="360" w:lineRule="auto"/>
                            <w:ind w:firstLine="720"/>
                            <w:jc w:val="both"/>
                            <w:rPr>
                              <w:rFonts w:ascii="TimesLT" w:hAnsi="TimesLT"/>
                            </w:rPr>
                          </w:pPr>
                          <w:sdt>
                            <w:sdtPr>
                              <w:alias w:val="Numeris"/>
                              <w:tag w:val="nr_14c669a719ab4ba6ae4ac4bda47771bd"/>
                              <w:lock w:val="sdtLocked"/>
                              <w:richText/>
                            </w:sdtPr>
                            <w:sdtContent>
                              <w:r>
                                <w:rPr>
                                  <w:rFonts w:ascii="TimesLT" w:hAnsi="TimesLT"/>
                                </w:rPr>
                                <w:t>6</w:t>
                              </w:r>
                            </w:sdtContent>
                          </w:sdt>
                          <w:r>
                            <w:rPr>
                              <w:rFonts w:ascii="TimesLT" w:hAnsi="TimesLT"/>
                            </w:rPr>
                            <w:t>. S</w:t>
                          </w:r>
                          <w:r>
                            <w:rPr>
                              <w:rFonts w:ascii="TimesLT" w:hAnsi="TimesLT"/>
                              <w:szCs w:val="24"/>
                            </w:rPr>
                            <w:t xml:space="preserve">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jei šios paslaugos ar juridinių asmenų, kuriems teikiamos paslaugos, veikla tiesioginiais ir reguliariais kontaktais susijusios su vaikais</w:t>
                          </w:r>
                          <w:r>
                            <w:rPr>
                              <w:rFonts w:ascii="TimesLT" w:hAnsi="TimesLT"/>
                              <w:iCs/>
                              <w:szCs w:val="24"/>
                              <w:lang w:eastAsia="lt-LT"/>
                            </w:rPr>
                            <w:t xml:space="preserve">, </w:t>
                          </w:r>
                          <w:r>
                            <w:rPr>
                              <w:rFonts w:ascii="TimesLT" w:hAnsi="TimesLT"/>
                              <w:szCs w:val="24"/>
                            </w:rPr>
                            <w:t xml:space="preserve">priimančiųjų organizacijų pareigos, nurodytos Vaiko teisių apsaugos pagrindų įstatymo 30 straipsnio 5, 6 dalyse, </w:t>
                          </w:r>
                          <w:r>
                            <w:rPr>
                              <w:rFonts w:ascii="TimesLT" w:hAnsi="TimesLT"/>
                            </w:rPr>
                            <w:t>nevykdymas</w:t>
                          </w:r>
                          <w:r>
                            <w:rPr>
                              <w:rFonts w:ascii="TimesLT" w:hAnsi="TimesLT"/>
                              <w:szCs w:val="24"/>
                            </w:rPr>
                            <w:t xml:space="preserve"> arba pareigų, nurodytų Vaiko teisių apsaugos pagrindų įstatymo 30 straipsnio 9 dalyje, nevykdymas, jei šioje dalyje nurodytose </w:t>
                          </w:r>
                          <w:r>
                            <w:rPr>
                              <w:rFonts w:ascii="TimesLT" w:hAnsi="TimesLT"/>
                            </w:rPr>
                            <w:t>įstaigose, įmonėse, organizacijose dirba, užsiima savanoriška veikla, atlieka praktiką, stažuojasi ar teikia paslaugas asmuo,</w:t>
                          </w:r>
                          <w:r>
                            <w:rPr>
                              <w:rFonts w:ascii="TimesLT" w:hAnsi="TimesLT"/>
                              <w:szCs w:val="24"/>
                            </w:rPr>
                            <w:t xml:space="preserve"> kuris apkaltinamuoju teismo nuosprendžiu pripažintas kaltu dėl nusikalstamų veikų, nurodytų Vaiko teisių apsaugos pagrindų įstatymo 30 straipsnio 1 dalyje, arba asmuo, kuris yra padaręs Vaiko teisių apsaugos pagrindų įstatymo 30 straipsnio 1 dalyje nurodytas nusikalstamas veikas, bet atleistas nuo baudžiamosios atsakomybės Vaiko teisių apsaugos pagrindų įstatymo 30 straipsnio 1 dalyje nurodytais pagrindais, </w:t>
                          </w:r>
                        </w:p>
                        <w:p>
                          <w:pPr>
                            <w:tabs>
                              <w:tab w:val="left" w:pos="1134"/>
                            </w:tabs>
                            <w:spacing w:line="360" w:lineRule="auto"/>
                            <w:ind w:firstLine="720"/>
                            <w:jc w:val="both"/>
                            <w:rPr>
                              <w:rFonts w:ascii="TimesLT" w:hAnsi="TimesLT"/>
                            </w:rPr>
                          </w:pPr>
                          <w:r>
                            <w:rPr>
                              <w:rFonts w:ascii="TimesLT" w:hAnsi="TimesLT"/>
                            </w:rPr>
                            <w:t>užtraukia baudą nuo trijų tūkstančių iki penkių tūkstančių eurų.</w:t>
                          </w:r>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1125cc0a7e65451ba19914f7d62c9ef2"/>
                        <w:lock w:val="sdtLocked"/>
                        <w:richText/>
                      </w:sdtPr>
                      <w:sdtContent>
                        <w:p>
                          <w:pPr>
                            <w:spacing w:line="360" w:lineRule="auto"/>
                            <w:ind w:firstLine="720"/>
                            <w:jc w:val="both"/>
                            <w:rPr>
                              <w:rFonts w:ascii="TimesLT" w:hAnsi="TimesLT"/>
                            </w:rPr>
                          </w:pPr>
                          <w:sdt>
                            <w:sdtPr>
                              <w:alias w:val="Numeris"/>
                              <w:tag w:val="nr_1125cc0a7e65451ba19914f7d62c9ef2"/>
                              <w:lock w:val="sdtLocked"/>
                              <w:richText/>
                            </w:sdtPr>
                            <w:sdtContent>
                              <w:r>
                                <w:rPr>
                                  <w:rFonts w:ascii="TimesLT" w:hAnsi="TimesLT"/>
                                  <w:szCs w:val="24"/>
                                </w:rPr>
                                <w:t>8</w:t>
                              </w:r>
                            </w:sdtContent>
                          </w:sdt>
                          <w:r>
                            <w:rPr>
                              <w:rFonts w:ascii="TimesLT" w:hAnsi="TimesLT"/>
                              <w:szCs w:val="24"/>
                            </w:rPr>
                            <w:t xml:space="preserve">. </w:t>
                          </w:r>
                          <w:r>
                            <w:rPr>
                              <w:rFonts w:ascii="TimesLT" w:hAnsi="TimesLT"/>
                              <w:iCs/>
                            </w:rPr>
                            <w:t>Asmens, besiverčiančio individualia veikla, teikiančio paslaugas ar vykdančio bet kokią kitą veiklą, jei ši veikla</w:t>
                          </w:r>
                          <w:r>
                            <w:rPr>
                              <w:rFonts w:ascii="TimesLT" w:hAnsi="TimesLT"/>
                              <w:szCs w:val="24"/>
                            </w:rPr>
                            <w:t xml:space="preserve"> ar paslaugos tiesioginiais ir reguliariais kontaktais susijusios su vaikais</w:t>
                          </w:r>
                          <w:r>
                            <w:rPr>
                              <w:rFonts w:ascii="TimesLT" w:hAnsi="TimesLT"/>
                            </w:rPr>
                            <w:t>, pareigos, nurodytos Vaiko teisių apsaugos pagrindų įstatymo 30 straipsnio 6 dalyje, ir pareigos, nurodytos Vaiko teisių apsaugos pagrindų įstatymo 30 straipsnio 7 dalyje, nevykdymas</w:t>
                          </w:r>
                        </w:p>
                        <w:p>
                          <w:pPr>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2"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3"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4"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5"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6"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7"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3"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54"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55"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4"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5"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6"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7" w:tgtFrame="_blank" w:history="1">
                            <w:r>
                              <w:rPr>
                                <w:color w:val="0000FF" w:themeColor="hyperlink"/>
                                <w:szCs w:val="24"/>
                                <w:u w:val="single"/>
                                <w:lang w:eastAsia="lt-LT"/>
                              </w:rPr>
                              <w:t>(ES) Nr. 1178/2011</w:t>
                            </w:r>
                          </w:hyperlink>
                          <w:r>
                            <w:rPr>
                              <w:szCs w:val="24"/>
                              <w:lang w:eastAsia="lt-LT"/>
                            </w:rPr>
                            <w:t xml:space="preserve">, Reglamente </w:t>
                          </w:r>
                          <w:hyperlink r:id="rId28"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9"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30"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1" w:tgtFrame="_blank" w:history="1">
                            <w:r>
                              <w:rPr>
                                <w:color w:val="0000FF" w:themeColor="hyperlink"/>
                                <w:szCs w:val="24"/>
                                <w:u w:val="single"/>
                                <w:lang w:eastAsia="lt-LT"/>
                              </w:rPr>
                              <w:t>(ES) Nr. 1178/2011</w:t>
                            </w:r>
                          </w:hyperlink>
                          <w:r>
                            <w:rPr>
                              <w:szCs w:val="24"/>
                              <w:lang w:eastAsia="lt-LT"/>
                            </w:rPr>
                            <w:t xml:space="preserve">, Reglamente </w:t>
                          </w:r>
                          <w:hyperlink r:id="rId32" w:tgtFrame="_blank" w:history="1">
                            <w:r>
                              <w:rPr>
                                <w:color w:val="0000FF" w:themeColor="hyperlink"/>
                                <w:szCs w:val="24"/>
                                <w:u w:val="single"/>
                                <w:lang w:eastAsia="lt-LT"/>
                              </w:rPr>
                              <w:t>(ES) Nr. 1321/2014</w:t>
                            </w:r>
                          </w:hyperlink>
                          <w:r>
                            <w:rPr>
                              <w:szCs w:val="24"/>
                              <w:lang w:eastAsia="lt-LT"/>
                            </w:rPr>
                            <w:t xml:space="preserve">, Reglamente </w:t>
                          </w:r>
                          <w:hyperlink r:id="rId33" w:tgtFrame="_blank" w:history="1">
                            <w:r>
                              <w:rPr>
                                <w:color w:val="0000FF" w:themeColor="hyperlink"/>
                                <w:szCs w:val="24"/>
                                <w:u w:val="single"/>
                                <w:lang w:eastAsia="lt-LT"/>
                              </w:rPr>
                              <w:t>(ES) 2015/340</w:t>
                            </w:r>
                          </w:hyperlink>
                          <w:r>
                            <w:rPr>
                              <w:szCs w:val="24"/>
                              <w:lang w:eastAsia="lt-LT"/>
                            </w:rPr>
                            <w:t xml:space="preserve"> ir Reglamente </w:t>
                          </w:r>
                          <w:hyperlink r:id="rId34"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35"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36"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37"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38"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39"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40"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41"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9b620975240d4adfb7bb90017cdaa58e"/>
                            <w:lock w:val="sdtLocked"/>
                            <w:richText/>
                          </w:sdtPr>
                          <w:sdtContent>
                            <w:p>
                              <w:pPr>
                                <w:spacing w:line="360" w:lineRule="auto"/>
                                <w:ind w:firstLine="720"/>
                                <w:jc w:val="both"/>
                                <w:rPr>
                                  <w:szCs w:val="24"/>
                                </w:rPr>
                              </w:pPr>
                              <w:sdt>
                                <w:sdtPr>
                                  <w:alias w:val="Numeris"/>
                                  <w:tag w:val="nr_9b620975240d4adfb7bb90017cdaa58e"/>
                                  <w:lock w:val="sdtLocked"/>
                                  <w:richText/>
                                </w:sdtPr>
                                <w:sdtContent>
                                  <w:r>
                                    <w:rPr>
                                      <w:szCs w:val="24"/>
                                      <w:lang w:eastAsia="lt-LT"/>
                                    </w:rPr>
                                    <w:t>31</w:t>
                                  </w:r>
                                </w:sdtContent>
                              </w:sdt>
                              <w:r>
                                <w:rPr>
                                  <w:szCs w:val="24"/>
                                  <w:lang w:eastAsia="lt-LT"/>
                                </w:rPr>
                                <w:t xml:space="preserve">) aplinkos apsaugos valstybinės kontrolės pareigūnai – dėl šio kodekso 48 straipsnio 1, 2 dalyse, 92 straipsnio 1 dalyje, 114 </w:t>
                              </w:r>
                              <w:r>
                                <w:rPr>
                                  <w:bCs/>
                                  <w:szCs w:val="24"/>
                                  <w:lang w:eastAsia="lt-LT"/>
                                </w:rPr>
                                <w:t>straipsnyje</w:t>
                              </w:r>
                              <w:r>
                                <w:rPr>
                                  <w:szCs w:val="24"/>
                                  <w:lang w:eastAsia="lt-LT"/>
                                </w:rPr>
                                <w:t>, 144 straipsnio 1, 4, 5 dalyse, 235, 236, 236</w:t>
                              </w:r>
                              <w:r>
                                <w:rPr>
                                  <w:szCs w:val="24"/>
                                  <w:vertAlign w:val="superscript"/>
                                  <w:lang w:eastAsia="lt-LT"/>
                                </w:rPr>
                                <w:t>1</w:t>
                              </w:r>
                              <w:r>
                                <w:rPr>
                                  <w:szCs w:val="24"/>
                                  <w:lang w:eastAsia="lt-LT"/>
                                </w:rPr>
                                <w:t>, 237, 238, 239, 241, 242, 243, 243</w:t>
                              </w:r>
                              <w:r>
                                <w:rPr>
                                  <w:szCs w:val="24"/>
                                  <w:vertAlign w:val="superscript"/>
                                  <w:lang w:eastAsia="lt-LT"/>
                                </w:rPr>
                                <w:t>1</w:t>
                              </w:r>
                              <w:r>
                                <w:rPr>
                                  <w:szCs w:val="24"/>
                                  <w:lang w:eastAsia="lt-LT"/>
                                </w:rPr>
                                <w:t xml:space="preserve">, 244, 246, 247 </w:t>
                              </w:r>
                              <w:r>
                                <w:rPr>
                                  <w:bCs/>
                                  <w:szCs w:val="24"/>
                                  <w:lang w:eastAsia="lt-LT"/>
                                </w:rPr>
                                <w:t>straipsniuose</w:t>
                              </w:r>
                              <w:r>
                                <w:rPr>
                                  <w:szCs w:val="24"/>
                                  <w:lang w:eastAsia="lt-LT"/>
                                </w:rPr>
                                <w:t>, 247</w:t>
                              </w:r>
                              <w:r>
                                <w:rPr>
                                  <w:szCs w:val="24"/>
                                  <w:vertAlign w:val="superscript"/>
                                  <w:lang w:eastAsia="lt-LT"/>
                                </w:rPr>
                                <w:t>1</w:t>
                              </w:r>
                              <w:r>
                                <w:rPr>
                                  <w:szCs w:val="24"/>
                                  <w:lang w:eastAsia="lt-LT"/>
                                </w:rPr>
                                <w:t xml:space="preserve"> straipsnio 3, 4 dalyse, 248, 248</w:t>
                              </w:r>
                              <w:r>
                                <w:rPr>
                                  <w:szCs w:val="24"/>
                                  <w:vertAlign w:val="superscript"/>
                                  <w:lang w:eastAsia="lt-LT"/>
                                </w:rPr>
                                <w:t>1</w:t>
                              </w:r>
                              <w:r>
                                <w:rPr>
                                  <w:szCs w:val="24"/>
                                  <w:lang w:eastAsia="lt-LT"/>
                                </w:rPr>
                                <w:t>, 248</w:t>
                              </w:r>
                              <w:r>
                                <w:rPr>
                                  <w:szCs w:val="24"/>
                                  <w:vertAlign w:val="superscript"/>
                                  <w:lang w:eastAsia="lt-LT"/>
                                </w:rPr>
                                <w:t>2</w:t>
                              </w:r>
                              <w:r>
                                <w:rPr>
                                  <w:szCs w:val="24"/>
                                  <w:lang w:eastAsia="lt-LT"/>
                                </w:rPr>
                                <w:t>, 248</w:t>
                              </w:r>
                              <w:r>
                                <w:rPr>
                                  <w:szCs w:val="24"/>
                                  <w:vertAlign w:val="superscript"/>
                                  <w:lang w:eastAsia="lt-LT"/>
                                </w:rPr>
                                <w:t>3</w:t>
                              </w:r>
                              <w:r>
                                <w:rPr>
                                  <w:szCs w:val="24"/>
                                  <w:lang w:eastAsia="lt-LT"/>
                                </w:rPr>
                                <w:t>, 249, 250, 251, 251</w:t>
                              </w:r>
                              <w:r>
                                <w:rPr>
                                  <w:szCs w:val="24"/>
                                  <w:vertAlign w:val="superscript"/>
                                  <w:lang w:eastAsia="lt-LT"/>
                                </w:rPr>
                                <w:t>1</w:t>
                              </w:r>
                              <w:r>
                                <w:rPr>
                                  <w:szCs w:val="24"/>
                                  <w:lang w:eastAsia="lt-LT"/>
                                </w:rPr>
                                <w:t>, 252, 253, 255, 255</w:t>
                              </w:r>
                              <w:r>
                                <w:rPr>
                                  <w:szCs w:val="24"/>
                                  <w:vertAlign w:val="superscript"/>
                                  <w:lang w:eastAsia="lt-LT"/>
                                </w:rPr>
                                <w:t>1</w:t>
                              </w:r>
                              <w:r>
                                <w:rPr>
                                  <w:szCs w:val="24"/>
                                  <w:lang w:eastAsia="lt-LT"/>
                                </w:rPr>
                                <w:t>, 256, 257, 258, 259, 260, 262, 264, 265, 266, 267, 268, 269, 270, 270</w:t>
                              </w:r>
                              <w:r>
                                <w:rPr>
                                  <w:szCs w:val="24"/>
                                  <w:vertAlign w:val="superscript"/>
                                  <w:lang w:eastAsia="lt-LT"/>
                                </w:rPr>
                                <w:t>1</w:t>
                              </w:r>
                              <w:r>
                                <w:rPr>
                                  <w:szCs w:val="24"/>
                                  <w:lang w:eastAsia="lt-LT"/>
                                </w:rPr>
                                <w:t xml:space="preserve"> straipsniuose, 271 straipsnio 1, 2, 3, 4, 6, 7, 8 dalyse, 272, 273, 274, 275, 276, 277, 278, 279, 280 straipsniuose, 281 straipsnio 1, 2, 3, 4, 5, 6</w:t>
                              </w:r>
                              <w:r>
                                <w:rPr>
                                  <w:szCs w:val="24"/>
                                  <w:vertAlign w:val="superscript"/>
                                  <w:lang w:eastAsia="lt-LT"/>
                                </w:rPr>
                                <w:t>1</w:t>
                              </w:r>
                              <w:r>
                                <w:rPr>
                                  <w:szCs w:val="24"/>
                                  <w:lang w:eastAsia="lt-LT"/>
                                </w:rPr>
                                <w:t>, 7, 8, 9 dalyse, 282, 283, 284, 285, 286, 287, 288, 289, 290, 291, 292, 293 straipsniuose, 294 straipsnio 2 dalyje, 295 straipsnio 1, 2 dalyse, 296 straipsnio 2 dalyje, 299 straipsnio 3 dalyje, 303, 304</w:t>
                              </w:r>
                              <w:r>
                                <w:rPr>
                                  <w:szCs w:val="24"/>
                                  <w:vertAlign w:val="superscript"/>
                                  <w:lang w:eastAsia="lt-LT"/>
                                </w:rPr>
                                <w:t>1</w:t>
                              </w:r>
                              <w:r>
                                <w:rPr>
                                  <w:szCs w:val="24"/>
                                  <w:lang w:eastAsia="lt-LT"/>
                                </w:rPr>
                                <w:t>, 304</w:t>
                              </w:r>
                              <w:r>
                                <w:rPr>
                                  <w:szCs w:val="24"/>
                                  <w:vertAlign w:val="superscript"/>
                                  <w:lang w:eastAsia="lt-LT"/>
                                </w:rPr>
                                <w:t>2</w:t>
                              </w:r>
                              <w:r>
                                <w:rPr>
                                  <w:szCs w:val="24"/>
                                  <w:lang w:eastAsia="lt-LT"/>
                                </w:rPr>
                                <w:t>, 305, 307, 308, 308</w:t>
                              </w:r>
                              <w:r>
                                <w:rPr>
                                  <w:szCs w:val="24"/>
                                  <w:vertAlign w:val="superscript"/>
                                  <w:lang w:eastAsia="lt-LT"/>
                                </w:rPr>
                                <w:t>1</w:t>
                              </w:r>
                              <w:r>
                                <w:rPr>
                                  <w:szCs w:val="24"/>
                                  <w:lang w:eastAsia="lt-LT"/>
                                </w:rPr>
                                <w:t>, 309, 310, 311, 312, 313, 315, 316, 317, 318 straipsniuose, 346 straipsnio 1, 2, 3, 4, 5, 5</w:t>
                              </w:r>
                              <w:r>
                                <w:rPr>
                                  <w:szCs w:val="24"/>
                                  <w:vertAlign w:val="superscript"/>
                                  <w:lang w:eastAsia="lt-LT"/>
                                </w:rPr>
                                <w:t>1</w:t>
                              </w:r>
                              <w:r>
                                <w:rPr>
                                  <w:szCs w:val="24"/>
                                  <w:lang w:eastAsia="lt-LT"/>
                                </w:rPr>
                                <w:t>, 5</w:t>
                              </w:r>
                              <w:r>
                                <w:rPr>
                                  <w:szCs w:val="24"/>
                                  <w:vertAlign w:val="superscript"/>
                                  <w:lang w:eastAsia="lt-LT"/>
                                </w:rPr>
                                <w:t>2</w:t>
                              </w:r>
                              <w:r>
                                <w:rPr>
                                  <w:szCs w:val="24"/>
                                  <w:lang w:eastAsia="lt-LT"/>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30efe564c0004a07970ab4e98cfbf2bd"/>
                            <w:lock w:val="sdtLocked"/>
                            <w:richText/>
                          </w:sdtPr>
                          <w:sdtContent>
                            <w:p>
                              <w:pPr>
                                <w:spacing w:line="360" w:lineRule="auto"/>
                                <w:ind w:firstLine="720"/>
                                <w:jc w:val="both"/>
                                <w:rPr>
                                  <w:szCs w:val="24"/>
                                </w:rPr>
                              </w:pPr>
                              <w:sdt>
                                <w:sdtPr>
                                  <w:alias w:val="Numeris"/>
                                  <w:tag w:val="nr_30efe564c0004a07970ab4e98cfbf2bd"/>
                                  <w:lock w:val="sdtLocked"/>
                                  <w:richText/>
                                </w:sdtPr>
                                <w:sdtContent>
                                  <w:r>
                                    <w:rPr>
                                      <w:szCs w:val="24"/>
                                    </w:rPr>
                                    <w:t>66</w:t>
                                  </w:r>
                                </w:sdtContent>
                              </w:sdt>
                              <w:r>
                                <w:rPr>
                                  <w:szCs w:val="24"/>
                                </w:rPr>
                                <w:t xml:space="preserve">) </w:t>
                              </w:r>
                              <w:r>
                                <w:t>Valstybinės mokesčių inspekcijos – dėl šio kodekso 93, 95, 99, 127, 132, 137, 143, 150, 151, 159, 160, 161, 162, 163, 164, 165, 166, 167, 168, 170, 172, 173, 174, 176, 187, 187</w:t>
                              </w:r>
                              <w:r>
                                <w:rPr>
                                  <w:vertAlign w:val="superscript"/>
                                </w:rPr>
                                <w:t>1</w:t>
                              </w:r>
                              <w:r>
                                <w:t>, 188, 188</w:t>
                              </w:r>
                              <w:r>
                                <w:rPr>
                                  <w:vertAlign w:val="superscript"/>
                                </w:rPr>
                                <w:t>1</w:t>
                              </w:r>
                              <w:r>
                                <w:t>, 188</w:t>
                              </w:r>
                              <w:r>
                                <w:rPr>
                                  <w:vertAlign w:val="superscript"/>
                                </w:rPr>
                                <w:t>3</w:t>
                              </w:r>
                              <w:r>
                                <w:t>, 188</w:t>
                              </w:r>
                              <w:r>
                                <w:rPr>
                                  <w:vertAlign w:val="superscript"/>
                                </w:rPr>
                                <w:t>4</w:t>
                              </w:r>
                              <w:r>
                                <w:t>, 188</w:t>
                              </w:r>
                              <w:r>
                                <w:rPr>
                                  <w:vertAlign w:val="superscript"/>
                                </w:rPr>
                                <w:t>5</w:t>
                              </w:r>
                              <w:r>
                                <w:t>,</w:t>
                              </w:r>
                              <w:r>
                                <w:rPr>
                                  <w:b/>
                                </w:rPr>
                                <w:t xml:space="preserve"> </w:t>
                              </w:r>
                              <w:r>
                                <w:t>189, 190, 191, 192, 194, 198</w:t>
                              </w:r>
                              <w:r>
                                <w:rPr>
                                  <w:vertAlign w:val="superscript"/>
                                </w:rPr>
                                <w:t>1</w:t>
                              </w:r>
                              <w:r>
                                <w:t>, 205, 207, 207</w:t>
                              </w:r>
                              <w:r>
                                <w:rPr>
                                  <w:vertAlign w:val="superscript"/>
                                </w:rPr>
                                <w:t>1</w:t>
                              </w:r>
                              <w:r>
                                <w:t>, 207</w:t>
                              </w:r>
                              <w:r>
                                <w:rPr>
                                  <w:vertAlign w:val="superscript"/>
                                </w:rPr>
                                <w:t>2</w:t>
                              </w:r>
                              <w:r>
                                <w:t xml:space="preserve"> straipsniuose, 209 straipsnio 1, 2, 3, 4, 5, 6, 7, 8 dalyse, 214 straipsnyje, 223 straipsnio 4, 5 dalyse, 224, 362</w:t>
                              </w:r>
                              <w:r>
                                <w:rPr>
                                  <w:vertAlign w:val="superscript"/>
                                </w:rPr>
                                <w:t>1</w:t>
                              </w:r>
                              <w:r>
                                <w:t>, 431, 449, 449</w:t>
                              </w:r>
                              <w:r>
                                <w:rPr>
                                  <w:vertAlign w:val="superscript"/>
                                </w:rPr>
                                <w:t>1</w:t>
                              </w:r>
                              <w:r>
                                <w:t xml:space="preserve"> straipsniuose, 450 straipsnio 1, 2, 17, 18 dalyse, 505, 507, 546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266366062cc4e6fb11dfe414fb72c30"/>
                            <w:lock w:val="sdtLocked"/>
                            <w:richText/>
                          </w:sdtPr>
                          <w:sdtContent>
                            <w:p>
                              <w:pPr>
                                <w:spacing w:line="380" w:lineRule="atLeast"/>
                                <w:ind w:firstLine="720"/>
                                <w:jc w:val="both"/>
                              </w:pPr>
                              <w:sdt>
                                <w:sdtPr>
                                  <w:alias w:val="Numeris"/>
                                  <w:tag w:val="nr_4266366062cc4e6fb11dfe414fb72c30"/>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aipsniuose, 144 straipsnio 1, 4, 5 dalyse, 148, 149, 150, 152, 153, 154, 155, 156, 166, 167, 168 straipsniuose, 205 straipsnio 7 dalyje, 223, 224 straipsniuose, 225 straipsnio 1 dalyje,</w:t>
                              </w:r>
                              <w:r>
                                <w:rPr>
                                  <w:b/>
                                  <w:bCs/>
                                  <w:szCs w:val="24"/>
                                  <w:lang w:eastAsia="lt-LT"/>
                                </w:rPr>
                                <w:t xml:space="preserve"> </w:t>
                              </w:r>
                              <w:r>
                                <w:rPr>
                                  <w:szCs w:val="24"/>
                                  <w:lang w:eastAsia="lt-LT"/>
                                </w:rPr>
                                <w:t>242 straipsnio 4, 5</w:t>
                              </w:r>
                              <w:r>
                                <w:rPr>
                                  <w:bCs/>
                                  <w:szCs w:val="24"/>
                                  <w:lang w:eastAsia="lt-LT"/>
                                </w:rPr>
                                <w:t xml:space="preserve"> dalyse</w:t>
                              </w:r>
                              <w:r>
                                <w:rPr>
                                  <w:szCs w:val="24"/>
                                  <w:lang w:eastAsia="lt-LT"/>
                                </w:rPr>
                                <w:t>,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8"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56"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9"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50" w:tgtFrame="_blank" w:history="1">
                <w:r>
                  <w:rPr>
                    <w:bCs/>
                    <w:color w:val="0000FF" w:themeColor="hyperlink"/>
                    <w:szCs w:val="24"/>
                    <w:u w:val="single"/>
                  </w:rPr>
                  <w:t>(ES) 2019/1937</w:t>
                </w:r>
              </w:hyperlink>
              <w:r>
                <w:rPr>
                  <w:bCs/>
                  <w:szCs w:val="24"/>
                </w:rPr>
                <w:t xml:space="preserve"> ir panaikinamas Reglamentas </w:t>
              </w:r>
              <w:hyperlink r:id="rId51"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52"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53"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E91589"/>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47.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1090.xml"/>
  <Relationship Id="rId18" Type="http://schemas.openxmlformats.org/officeDocument/2006/relationships/header" Target="header1091.xml"/>
  <Relationship Id="rId19" Type="http://schemas.openxmlformats.org/officeDocument/2006/relationships/footer" Target="footer1090.xml"/>
  <Relationship Id="rId2" Type="http://schemas.openxmlformats.org/officeDocument/2006/relationships/header" Target="header548.xml"/>
  <Relationship Id="rId20" Type="http://schemas.openxmlformats.org/officeDocument/2006/relationships/footer" Target="footer1091.xml"/>
  <Relationship Id="rId21" Type="http://schemas.openxmlformats.org/officeDocument/2006/relationships/header" Target="header1092.xml"/>
  <Relationship Id="rId22" Type="http://schemas.openxmlformats.org/officeDocument/2006/relationships/footer" Target="footer1092.xml"/>
  <Relationship Id="rId23" Type="http://schemas.openxmlformats.org/officeDocument/2006/relationships/hyperlink" TargetMode="External" Target="http://eur-lex.europa.eu/legal-content/LIT/TXT/?uri=CELEX:32021R0782&amp;locale=lt"/>
  <Relationship Id="rId24" Type="http://schemas.openxmlformats.org/officeDocument/2006/relationships/hyperlink" TargetMode="External" Target="http://eur-lex.europa.eu/legal-content/LIT/TXT/?uri=CELEX:32012R0965&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947R2019&amp;locale=lt"/>
  <Relationship Id="rId27" Type="http://schemas.openxmlformats.org/officeDocument/2006/relationships/hyperlink" TargetMode="External" Target="http://eur-lex.europa.eu/legal-content/LIT/TXT/?uri=CELEX:32011R1178&amp;locale=lt"/>
  <Relationship Id="rId28" Type="http://schemas.openxmlformats.org/officeDocument/2006/relationships/hyperlink" TargetMode="External" Target="http://eur-lex.europa.eu/legal-content/LIT/TXT/?uri=CELEX:32014R1321&amp;locale=lt"/>
  <Relationship Id="rId29" Type="http://schemas.openxmlformats.org/officeDocument/2006/relationships/hyperlink" TargetMode="External" Target="http://eur-lex.europa.eu/legal-content/LIT/TXT/?uri=CELEX:3340R2015&amp;locale=lt"/>
  <Relationship Id="rId3" Type="http://schemas.openxmlformats.org/officeDocument/2006/relationships/footer" Target="footer547.xml"/>
  <Relationship Id="rId30" Type="http://schemas.openxmlformats.org/officeDocument/2006/relationships/hyperlink" TargetMode="External" Target="http://eur-lex.europa.eu/legal-content/LIT/TXT/?uri=CELEX:31139R2018&amp;locale=lt"/>
  <Relationship Id="rId31" Type="http://schemas.openxmlformats.org/officeDocument/2006/relationships/hyperlink" TargetMode="External" Target="http://eur-lex.europa.eu/legal-content/LIT/TXT/?uri=CELEX:32011R1178&amp;locale=lt"/>
  <Relationship Id="rId32" Type="http://schemas.openxmlformats.org/officeDocument/2006/relationships/hyperlink" TargetMode="External" Target="http://eur-lex.europa.eu/legal-content/LIT/TXT/?uri=CELEX:32014R1321&amp;locale=lt"/>
  <Relationship Id="rId33" Type="http://schemas.openxmlformats.org/officeDocument/2006/relationships/hyperlink" TargetMode="External" Target="http://eur-lex.europa.eu/legal-content/LIT/TXT/?uri=CELEX:3340R2015&amp;locale=lt"/>
  <Relationship Id="rId34" Type="http://schemas.openxmlformats.org/officeDocument/2006/relationships/hyperlink" TargetMode="External" Target="http://eur-lex.europa.eu/legal-content/LIT/TXT/?uri=CELEX:31139R2018&amp;locale=lt"/>
  <Relationship Id="rId35" Type="http://schemas.openxmlformats.org/officeDocument/2006/relationships/hyperlink" TargetMode="External" Target="http://eur-lex.europa.eu/legal-content/LIT/TXT/?uri=CELEX:32012R0923&amp;locale=lt"/>
  <Relationship Id="rId36" Type="http://schemas.openxmlformats.org/officeDocument/2006/relationships/hyperlink" TargetMode="External" Target="http://eur-lex.europa.eu/legal-content/LIT/TXT/?uri=CELEX:32011R1035&amp;locale=lt"/>
  <Relationship Id="rId37" Type="http://schemas.openxmlformats.org/officeDocument/2006/relationships/hyperlink" TargetMode="External" Target="http://eur-lex.europa.eu/legal-content/LIT/TXT/?uri=CELEX:32007R1265&amp;locale=lt"/>
  <Relationship Id="rId38" Type="http://schemas.openxmlformats.org/officeDocument/2006/relationships/hyperlink" TargetMode="External" Target="http://eur-lex.europa.eu/legal-content/LIT/TXT/?uri=CELEX:32006R1794&amp;locale=lt"/>
  <Relationship Id="rId39" Type="http://schemas.openxmlformats.org/officeDocument/2006/relationships/hyperlink" TargetMode="External" Target="http://eur-lex.europa.eu/legal-content/LIT/TXT/?uri=CELEX:32006R0730&amp;locale=lt"/>
  <Relationship Id="rId4" Type="http://schemas.openxmlformats.org/officeDocument/2006/relationships/footer" Target="footer548.xml"/>
  <Relationship Id="rId40" Type="http://schemas.openxmlformats.org/officeDocument/2006/relationships/hyperlink" TargetMode="External" Target="http://eur-lex.europa.eu/legal-content/LIT/TXT/?uri=CELEX:32006R1033&amp;locale=lt"/>
  <Relationship Id="rId41" Type="http://schemas.openxmlformats.org/officeDocument/2006/relationships/hyperlink" TargetMode="External" Target="http://eur-lex.europa.eu/legal-content/LIT/TXT/?uri=CELEX:32010R0255&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1997R0338&amp;locale=lt"/>
  <Relationship Id="rId44" Type="http://schemas.openxmlformats.org/officeDocument/2006/relationships/hyperlink" TargetMode="External" Target="http://eur-lex.europa.eu/legal-content/LIT/TXT/?uri=CELEX:31997R0338&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3143R2014&amp;locale=lt"/>
  <Relationship Id="rId47" Type="http://schemas.openxmlformats.org/officeDocument/2006/relationships/hyperlink" TargetMode="External" Target="http://eur-lex.europa.eu/legal-content/LIT/TXT/?uri=CELEX:33143R2014&amp;locale=lt"/>
  <Relationship Id="rId48" Type="http://schemas.openxmlformats.org/officeDocument/2006/relationships/hyperlink" TargetMode="External" Target="http://eur-lex.europa.eu/legal-content/LIT/TXT/?uri=CELEX:31997R0338&amp;locale=lt"/>
  <Relationship Id="rId49" Type="http://schemas.openxmlformats.org/officeDocument/2006/relationships/hyperlink" TargetMode="External" Target="http://eur-lex.europa.eu/legal-content/LIT/TXT/?uri=CELEX:32024R0573&amp;locale=lt"/>
  <Relationship Id="rId5" Type="http://schemas.openxmlformats.org/officeDocument/2006/relationships/header" Target="header549.xml"/>
  <Relationship Id="rId50" Type="http://schemas.openxmlformats.org/officeDocument/2006/relationships/hyperlink" TargetMode="External" Target="http://eur-lex.europa.eu/legal-content/LIT/TXT/?uri=CELEX:32019L1937&amp;locale=lt"/>
  <Relationship Id="rId51" Type="http://schemas.openxmlformats.org/officeDocument/2006/relationships/hyperlink" TargetMode="External" Target="http://eur-lex.europa.eu/legal-content/LIT/TXT/?uri=CELEX:32014R0517&amp;locale=lt"/>
  <Relationship Id="rId52" Type="http://schemas.openxmlformats.org/officeDocument/2006/relationships/hyperlink" TargetMode="External" Target="http://eur-lex.europa.eu/legal-content/LIT/TXT/?uri=CELEX:32024L1226&amp;locale=lt"/>
  <Relationship Id="rId53" Type="http://schemas.openxmlformats.org/officeDocument/2006/relationships/hyperlink" TargetMode="External" Target="http://eur-lex.europa.eu/legal-content/LIT/TXT/?uri=CELEX:32018L1673&amp;locale=lt"/>
  <Relationship Id="rId54" Type="http://schemas.openxmlformats.org/officeDocument/2006/relationships/hyperlink" TargetMode="External" Target="http://eur-lex.europa.eu/legal-content/LIT/TXT/?uri=CELEX:32021R0782&amp;locale=lt"/>
  <Relationship Id="rId55" Type="http://schemas.openxmlformats.org/officeDocument/2006/relationships/hyperlink" TargetMode="External" Target="http://eur-lex.europa.eu/legal-content/LIT/TXT/?uri=CELEX:32021R0782&amp;locale=lt"/>
  <Relationship Id="rId56" Type="http://schemas.openxmlformats.org/officeDocument/2006/relationships/hyperlink" TargetMode="External" Target="http://eur-lex.europa.eu/legal-content/LIT/TXT/?uri=CELEX:32021R0782&amp;locale=lt"/>
  <Relationship Id="rId57" Type="http://schemas.openxmlformats.org/officeDocument/2006/relationships/customXml" Target="../customXml/item1.xml"/>
  <Relationship Id="rId6" Type="http://schemas.openxmlformats.org/officeDocument/2006/relationships/footer" Target="footer54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db0523f9b8a047fcbb38691deb653390">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e43495f5025d4234ba576b2056d67a55"/>
          <Part Type="strDalis" Nr="5" Abbr="72 str. 5 d." DocPartId="c33a17b5a7464bafa42a7633d88ee9cd" PartId="aea3837c37394de2890b0c801c13328c"/>
          <Part Type="strDalis" Nr="6" Abbr="72 str. 6 d." DocPartId="eba29944b410401f9ca9a8881ff8856e" PartId="14c669a719ab4ba6ae4ac4bda47771bd"/>
          <Part Type="strDalis" Nr="7" Abbr="72 str. 7 d." DocPartId="0144fe17f71a492eaaae1fe50c3f7aff" PartId="d55249372d5c4cd69effbf6af2efa665"/>
          <Part Type="strDalis" Nr="8" Abbr="72 str. 8 d." DocPartId="a3ef08d56a414bdc896a4eafcbf40b2b" PartId="1125cc0a7e65451ba19914f7d62c9ef2"/>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ūklė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ir alternatyviosios krašto apsaugos tarnybos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9b620975240d4adfb7bb90017cdaa58e"/>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30efe564c0004a07970ab4e98cfbf2bd"/>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266366062cc4e6fb11dfe414fb72c30"/>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65E4125-AFA6-4247-AA8F-B17053AA8188}">
  <ds:schemaRefs>
    <ds:schemaRef ds:uri="http://lrs.lt/TAIS/DocParts"/>
  </ds:schemaRefs>
</ds:datastoreItem>
</file>

<file path=customXml/itemProps3.xml><?xml version="1.0" encoding="utf-8"?>
<ds:datastoreItem xmlns:ds="http://schemas.openxmlformats.org/officeDocument/2006/customXml" ds:itemID="{E259D85E-D54B-4747-9A8F-1525BA5E9F4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879</TotalTime>
  <Pages>479</Pages>
  <Words>146761</Words>
  <Characters>1067183</Characters>
  <Application>Microsoft Office Word</Application>
  <DocSecurity>0</DocSecurity>
  <Lines>8893</Lines>
  <Paragraphs>2423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1211521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GRINKEVIČIŪTĖ Agnė</lastModifiedBy>
  <lastPrinted>2015-07-03T07:36:00Z</lastPrinted>
  <dcterms:modified xsi:type="dcterms:W3CDTF">2025-07-03T10:04:00Z</dcterms:modified>
  <revision>422</revision>
</coreProperties>
</file>