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2020-01-01 iki 2020-01-01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a41a57aacc8646d0bc2e64105c8abca9"/>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a41a57aacc8646d0bc2e64105c8abca9"/>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hd w:val="clear" w:color="000000" w:fill="auto"/>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hd w:val="clear" w:color="000000" w:fill="auto"/>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hd w:val="clear" w:color="000000" w:fill="auto"/>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hd w:val="clear" w:color="000000" w:fill="auto"/>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hd w:val="clear" w:color="000000" w:fill="auto"/>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hd w:val="clear" w:color="000000" w:fill="auto"/>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hd w:val="clear" w:color="000000" w:fill="auto"/>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hd w:val="clear" w:color="000000" w:fill="auto"/>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hd w:val="clear" w:color="000000" w:fill="auto"/>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6a746327046947ac91eeca7341de2bbd"/>
                            <w:lock w:val="sdtLocked"/>
                            <w:richText/>
                          </w:sdtPr>
                          <w:sdtContent>
                            <w:p>
                              <w:pPr>
                                <w:tabs>
                                  <w:tab w:val="left" w:pos="1134"/>
                                </w:tabs>
                                <w:spacing w:line="360" w:lineRule="auto"/>
                                <w:ind w:firstLine="720"/>
                                <w:jc w:val="both"/>
                                <w:rPr>
                                  <w:szCs w:val="24"/>
                                </w:rPr>
                              </w:pPr>
                              <w:sdt>
                                <w:sdtPr>
                                  <w:alias w:val="Numeris"/>
                                  <w:tag w:val="nr_6a746327046947ac91eeca7341de2bbd"/>
                                  <w:lock w:val="sdtLocked"/>
                                  <w:richText/>
                                </w:sdtPr>
                                <w:sdtContent>
                                  <w:r>
                                    <w:rPr>
                                      <w:color w:val="000000"/>
                                    </w:rPr>
                                    <w:t>31</w:t>
                                  </w:r>
                                </w:sdtContent>
                              </w:sdt>
                              <w:r>
                                <w:rPr>
                                  <w:color w:val="000000"/>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vertAlign w:val="superscript"/>
                                </w:rPr>
                                <w:t>1</w:t>
                              </w:r>
                              <w:r>
                                <w:rPr>
                                  <w:color w:val="000000"/>
                                </w:rPr>
                                <w:t>, 237, 238, 239, 241, 242, 243, 243</w:t>
                              </w:r>
                              <w:r>
                                <w:rPr>
                                  <w:color w:val="000000"/>
                                  <w:vertAlign w:val="superscript"/>
                                </w:rPr>
                                <w:t>1</w:t>
                              </w:r>
                              <w:r>
                                <w:rPr>
                                  <w:color w:val="000000"/>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vertAlign w:val="superscript"/>
                                </w:rPr>
                                <w:t>1</w:t>
                              </w:r>
                              <w:r>
                                <w:rPr>
                                  <w:color w:val="000000"/>
                                </w:rPr>
                                <w:t>, 304</w:t>
                              </w:r>
                              <w:r>
                                <w:rPr>
                                  <w:color w:val="000000"/>
                                  <w:vertAlign w:val="superscript"/>
                                </w:rPr>
                                <w:t>2</w:t>
                              </w:r>
                              <w:r>
                                <w:rPr>
                                  <w:color w:val="000000"/>
                                </w:rPr>
                                <w:t>, 305, 306, 307, 308, 308</w:t>
                              </w:r>
                              <w:r>
                                <w:rPr>
                                  <w:color w:val="000000"/>
                                  <w:vertAlign w:val="superscript"/>
                                </w:rPr>
                                <w:t>1</w:t>
                              </w:r>
                              <w:r>
                                <w:rPr>
                                  <w:color w:val="000000"/>
                                </w:rPr>
                                <w:t>, 309, 310, 311, 312, 313, 315, 316, 317, 318, 346 straipsniuose, 369 straipsnio 13, 14, 17, 18, 19, 20, 21, 22 dalyse, 426 straipsnio 4 dalyje, 431 straipsnio 1, 2 dalyse,</w:t>
                              </w:r>
                              <w:r>
                                <w:rPr>
                                  <w:b/>
                                  <w:color w:val="000000"/>
                                </w:rPr>
                                <w:t xml:space="preserve"> </w:t>
                              </w:r>
                              <w:r>
                                <w:rPr>
                                  <w:color w:val="000000"/>
                                </w:rPr>
                                <w:t>505, 507, 546 straipsniuose numatytų administracinių nusižengimų, o aplinkos apsaugos valstybinės kontrolės institucijų aplinkos apsaugos valstybinės kontrolės pareigūnai – ir dėl šio kodekso 491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32 p."/>
                            <w:tag w:val="part_0678d34d44e8410999dddf5875a8ef01"/>
                            <w:lock w:val="sdtLocked"/>
                            <w:richText/>
                          </w:sdtPr>
                          <w:sdtContent>
                            <w:p>
                              <w:pPr>
                                <w:spacing w:line="360" w:lineRule="auto"/>
                                <w:ind w:firstLine="720"/>
                                <w:jc w:val="both"/>
                                <w:rPr>
                                  <w:szCs w:val="24"/>
                                </w:rPr>
                              </w:pPr>
                              <w:sdt>
                                <w:sdtPr>
                                  <w:alias w:val="Numeris"/>
                                  <w:tag w:val="nr_0678d34d44e8410999dddf5875a8ef01"/>
                                  <w:lock w:val="sdtLocked"/>
                                  <w:richText/>
                                </w:sdtPr>
                                <w:sdtContent>
                                  <w:r>
                                    <w:rPr>
                                      <w:szCs w:val="24"/>
                                    </w:rPr>
                                    <w:t>32</w:t>
                                  </w:r>
                                </w:sdtContent>
                              </w:sdt>
                              <w:r>
                                <w:rPr>
                                  <w:szCs w:val="24"/>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dalyje,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33-1 p."/>
                            <w:tag w:val="part_dde386fa267843f29d09e082857d81de"/>
                            <w:lock w:val="sdtLocked"/>
                            <w:richText/>
                          </w:sdtPr>
                          <w:sdtContent>
                            <w:p>
                              <w:pPr>
                                <w:tabs>
                                  <w:tab w:val="left" w:pos="1276"/>
                                </w:tabs>
                                <w:spacing w:line="360" w:lineRule="auto"/>
                                <w:ind w:firstLine="720"/>
                                <w:jc w:val="both"/>
                                <w:rPr>
                                  <w:szCs w:val="24"/>
                                </w:rPr>
                              </w:pPr>
                              <w:sdt>
                                <w:sdtPr>
                                  <w:alias w:val="Numeris"/>
                                  <w:tag w:val="nr_dde386fa267843f29d09e082857d81de"/>
                                  <w:lock w:val="sdtLocked"/>
                                  <w:richText/>
                                </w:sdtPr>
                                <w:sdtContent>
                                  <w:r>
                                    <w:rPr>
                                      <w:szCs w:val="24"/>
                                    </w:rPr>
                                    <w:t>33</w:t>
                                  </w:r>
                                  <w:r>
                                    <w:rPr>
                                      <w:szCs w:val="24"/>
                                      <w:vertAlign w:val="superscript"/>
                                    </w:rPr>
                                    <w:t>1</w:t>
                                  </w:r>
                                </w:sdtContent>
                              </w:sdt>
                              <w:r>
                                <w:rPr>
                                  <w:szCs w:val="24"/>
                                </w:rPr>
                                <w:t xml:space="preserve">) Kalėjimų departamento prie Lietuvos Respublikos teisingumo ministerijos ir jam pavaldžių įstaigų – dėl šio kodekso </w:t>
                              </w:r>
                              <w:r>
                                <w:rPr>
                                  <w:bCs/>
                                  <w:szCs w:val="24"/>
                                  <w:lang w:eastAsia="lt-LT"/>
                                </w:rPr>
                                <w:t>71, 76, 77, 108, 109, 115, 137, 226, 481, 485, 490 straipsniuose, 506 straipsnio 4 dalyje, 507, 508</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cf8e131e1b341f4b3cf92ad8150f5a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1cf8e131e1b341f4b3cf92ad8150f5a7"/>
                                  <w:lock w:val="sdtLocked"/>
                                  <w:richText/>
                                </w:sdtPr>
                                <w:sdtContent>
                                  <w:r>
                                    <w:rPr>
                                      <w:rFonts w:eastAsia="Arial Unicode MS"/>
                                      <w:color w:val="000000"/>
                                      <w:szCs w:val="24"/>
                                      <w:bdr w:val="nil"/>
                                    </w:rPr>
                                    <w:t>37</w:t>
                                  </w:r>
                                </w:sdtContent>
                              </w:sdt>
                              <w:r>
                                <w:rPr>
                                  <w:rFonts w:eastAsia="Arial Unicode MS"/>
                                  <w:color w:val="000000"/>
                                  <w:szCs w:val="24"/>
                                  <w:bdr w:val="nil"/>
                                </w:rPr>
                                <w:t xml:space="preserve">) Lietuvos geologijos tarnybos prie Aplinkos ministerijos – dėl šio kodekso 111, 239, 253, </w:t>
                              </w:r>
                              <w:r>
                                <w:rPr>
                                  <w:rFonts w:eastAsia="Arial Unicode MS"/>
                                  <w:bCs/>
                                  <w:color w:val="000000"/>
                                  <w:szCs w:val="24"/>
                                  <w:bdr w:val="nil"/>
                                </w:rPr>
                                <w:t>256,</w:t>
                              </w:r>
                              <w:r>
                                <w:rPr>
                                  <w:rFonts w:eastAsia="Arial Unicode MS"/>
                                  <w:color w:val="000000"/>
                                  <w:szCs w:val="24"/>
                                  <w:bdr w:val="nil"/>
                                </w:rPr>
                                <w:t xml:space="preserve">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e2d1c58292584c3db2ab85f70891bf2f"/>
                            <w:lock w:val="sdtLocked"/>
                            <w:richText/>
                          </w:sdtPr>
                          <w:sdtContent>
                            <w:p>
                              <w:pPr>
                                <w:spacing w:line="360" w:lineRule="auto"/>
                                <w:ind w:firstLine="720"/>
                                <w:jc w:val="both"/>
                                <w:rPr>
                                  <w:szCs w:val="24"/>
                                </w:rPr>
                              </w:pPr>
                              <w:sdt>
                                <w:sdtPr>
                                  <w:alias w:val="Numeris"/>
                                  <w:tag w:val="nr_e2d1c58292584c3db2ab85f70891bf2f"/>
                                  <w:lock w:val="sdtLocked"/>
                                  <w:richText/>
                                </w:sdtPr>
                                <w:sdtContent>
                                  <w:r>
                                    <w:rPr>
                                      <w:color w:val="000000"/>
                                    </w:rPr>
                                    <w:t>50</w:t>
                                  </w:r>
                                </w:sdtContent>
                              </w:sdt>
                              <w:r>
                                <w:rPr>
                                  <w:color w:val="000000"/>
                                </w:rPr>
                                <w:t>) Priešgaisrinės apsaugos ir gelbėjimo departamento prie Vidaus reikalų ministerijos – dėl šio kodekso 254, 279, 286, 288, 491, 493, 505 straipsniuose, 506 straipsnio 4 dalyje,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e39470d4911f4c719599d74768818366"/>
                            <w:lock w:val="sdtLocked"/>
                            <w:richText/>
                          </w:sdtPr>
                          <w:sdtContent>
                            <w:p>
                              <w:pPr>
                                <w:tabs>
                                  <w:tab w:val="left" w:pos="851"/>
                                  <w:tab w:val="left" w:pos="1276"/>
                                </w:tabs>
                                <w:spacing w:line="360" w:lineRule="auto"/>
                                <w:ind w:firstLine="720"/>
                                <w:jc w:val="both"/>
                                <w:rPr>
                                  <w:szCs w:val="24"/>
                                </w:rPr>
                              </w:pPr>
                              <w:sdt>
                                <w:sdtPr>
                                  <w:alias w:val="Numeris"/>
                                  <w:tag w:val="nr_e39470d4911f4c719599d74768818366"/>
                                  <w:lock w:val="sdtLocked"/>
                                  <w:richText/>
                                </w:sdtPr>
                                <w:sdtContent>
                                  <w:r>
                                    <w:rPr>
                                      <w:szCs w:val="24"/>
                                    </w:rPr>
                                    <w:t>55</w:t>
                                  </w:r>
                                </w:sdtContent>
                              </w:sdt>
                              <w:r>
                                <w:rPr>
                                  <w:szCs w:val="24"/>
                                </w:rPr>
                                <w:t xml:space="preserve">) Valstybės sienos apsaugos tarnybos prie Vidaus reikalų ministerijos – dėl šio kodekso </w:t>
                              </w:r>
                              <w:r>
                                <w:rPr>
                                  <w:bCs/>
                                  <w:color w:val="000000"/>
                                  <w:szCs w:val="24"/>
                                </w:rPr>
                                <w:t xml:space="preserve">47 straipsnio 3 dalyje, </w:t>
                              </w:r>
                              <w:r>
                                <w:rPr>
                                  <w:szCs w:val="24"/>
                                </w:rPr>
                                <w:t>65 straipsnio 3 dalyje, 115, 208 straipsniuose, 209 straipsnio 1, 2, 3, 4, 5, 6, 7, 8 dalyse, 214, 224,</w:t>
                              </w:r>
                              <w:r>
                                <w:rPr>
                                  <w:bCs/>
                                  <w:color w:val="000000"/>
                                  <w:szCs w:val="24"/>
                                </w:rPr>
                                <w:t xml:space="preserve"> 256, 266 straipsniuose,</w:t>
                              </w:r>
                              <w:r>
                                <w:rPr>
                                  <w:color w:val="000000"/>
                                  <w:szCs w:val="24"/>
                                </w:rPr>
                                <w:t xml:space="preserve"> </w:t>
                              </w:r>
                              <w:r>
                                <w:rPr>
                                  <w:bCs/>
                                  <w:color w:val="000000"/>
                                  <w:szCs w:val="24"/>
                                </w:rPr>
                                <w:t>282 straipsnio 1 dalyje,</w:t>
                              </w:r>
                              <w:r>
                                <w:rPr>
                                  <w:color w:val="000000"/>
                                  <w:szCs w:val="24"/>
                                </w:rPr>
                                <w:t xml:space="preserve"> </w:t>
                              </w:r>
                              <w:r>
                                <w:rPr>
                                  <w:bCs/>
                                  <w:color w:val="000000"/>
                                  <w:szCs w:val="24"/>
                                </w:rPr>
                                <w:t>290 straipsnio 1 dalyje,</w:t>
                              </w:r>
                              <w:r>
                                <w:rPr>
                                  <w:color w:val="000000"/>
                                  <w:szCs w:val="24"/>
                                </w:rPr>
                                <w:t xml:space="preserve"> </w:t>
                              </w:r>
                              <w:r>
                                <w:rPr>
                                  <w:bCs/>
                                  <w:color w:val="000000"/>
                                  <w:szCs w:val="24"/>
                                </w:rPr>
                                <w:t>373 straipsnio 1 dalyje,</w:t>
                              </w:r>
                              <w:r>
                                <w:rPr>
                                  <w:color w:val="000000"/>
                                  <w:szCs w:val="24"/>
                                </w:rPr>
                                <w:t xml:space="preserve"> </w:t>
                              </w:r>
                              <w:r>
                                <w:rPr>
                                  <w:bCs/>
                                  <w:color w:val="000000"/>
                                  <w:szCs w:val="24"/>
                                </w:rPr>
                                <w:t>374 straipsnyje,</w:t>
                              </w:r>
                              <w:r>
                                <w:rPr>
                                  <w:color w:val="000000"/>
                                  <w:szCs w:val="24"/>
                                </w:rPr>
                                <w:t xml:space="preserve"> </w:t>
                              </w:r>
                              <w:r>
                                <w:rPr>
                                  <w:bCs/>
                                  <w:color w:val="000000"/>
                                  <w:szCs w:val="24"/>
                                </w:rPr>
                                <w:t>406 straipsnio 1, 2, 3, 5 dalyse,</w:t>
                              </w:r>
                              <w:r>
                                <w:rPr>
                                  <w:color w:val="000000"/>
                                  <w:szCs w:val="24"/>
                                </w:rPr>
                                <w:t xml:space="preserve"> </w:t>
                              </w:r>
                              <w:r>
                                <w:rPr>
                                  <w:szCs w:val="24"/>
                                </w:rPr>
                                <w:t xml:space="preserve">408 straipsnyje, </w:t>
                              </w:r>
                              <w:r>
                                <w:rPr>
                                  <w:bCs/>
                                  <w:color w:val="000000"/>
                                  <w:szCs w:val="24"/>
                                </w:rPr>
                                <w:t xml:space="preserve">410 straipsnio 1 dalyje, </w:t>
                              </w:r>
                              <w:r>
                                <w:rPr>
                                  <w:szCs w:val="24"/>
                                </w:rPr>
                                <w:t xml:space="preserve">415 straipsnyje, </w:t>
                              </w:r>
                              <w:r>
                                <w:rPr>
                                  <w:bCs/>
                                  <w:color w:val="000000"/>
                                  <w:szCs w:val="24"/>
                                </w:rPr>
                                <w:t>416 straipsnio 1, 2, 3, 4, 5, 6 dalyse,</w:t>
                              </w:r>
                              <w:r>
                                <w:rPr>
                                  <w:szCs w:val="24"/>
                                </w:rPr>
                                <w:t xml:space="preserve"> 417 straipsnio 1, 2, 3, 4, 6, 7 dalyse, </w:t>
                              </w:r>
                              <w:r>
                                <w:rPr>
                                  <w:bCs/>
                                  <w:color w:val="000000"/>
                                  <w:szCs w:val="24"/>
                                </w:rPr>
                                <w:t>420 straipsnio 1, 2 dalyse,</w:t>
                              </w:r>
                              <w:r>
                                <w:rPr>
                                  <w:color w:val="000000"/>
                                  <w:szCs w:val="24"/>
                                </w:rPr>
                                <w:t xml:space="preserve"> </w:t>
                              </w:r>
                              <w:r>
                                <w:rPr>
                                  <w:bCs/>
                                  <w:color w:val="000000"/>
                                  <w:szCs w:val="24"/>
                                </w:rPr>
                                <w:t>421</w:t>
                              </w:r>
                              <w:r>
                                <w:rPr>
                                  <w:color w:val="000000"/>
                                  <w:szCs w:val="24"/>
                                </w:rPr>
                                <w:t xml:space="preserve">, </w:t>
                              </w:r>
                              <w:r>
                                <w:rPr>
                                  <w:bCs/>
                                  <w:color w:val="000000"/>
                                  <w:szCs w:val="24"/>
                                </w:rPr>
                                <w:t>422</w:t>
                              </w:r>
                              <w:r>
                                <w:rPr>
                                  <w:color w:val="000000"/>
                                  <w:szCs w:val="24"/>
                                </w:rPr>
                                <w:t xml:space="preserve">, </w:t>
                              </w:r>
                              <w:r>
                                <w:rPr>
                                  <w:bCs/>
                                  <w:color w:val="000000"/>
                                  <w:szCs w:val="24"/>
                                </w:rPr>
                                <w:t>424 straipsniuose,</w:t>
                              </w:r>
                              <w:r>
                                <w:rPr>
                                  <w:color w:val="000000"/>
                                  <w:szCs w:val="24"/>
                                </w:rPr>
                                <w:t xml:space="preserve"> </w:t>
                              </w:r>
                              <w:r>
                                <w:rPr>
                                  <w:szCs w:val="24"/>
                                </w:rPr>
                                <w:t xml:space="preserve">426 straipsnio 4 dalyje, 428 straipsnio 1 dalyje, 431 straipsnio 1, 2 dalyse, 432, 436, 438 straipsniuose, 439 straipsnio 2 dalyje, 450, 481, 484, 491 straipsniuose, 506 straipsnio 4 dalyje, 508, 524, 536, 537, 538, 539, </w:t>
                              </w:r>
                              <w:r>
                                <w:rPr>
                                  <w:color w:val="000000"/>
                                  <w:szCs w:val="24"/>
                                </w:rPr>
                                <w:t xml:space="preserve">540, 541, </w:t>
                              </w:r>
                              <w:r>
                                <w:rPr>
                                  <w:szCs w:val="24"/>
                                </w:rPr>
                                <w:t>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c2e5babb0ce44908b76487cb68e3416c"/>
                            <w:lock w:val="sdtLocked"/>
                            <w:richText/>
                          </w:sdtPr>
                          <w:sdtContent>
                            <w:p>
                              <w:pPr>
                                <w:tabs>
                                  <w:tab w:val="left" w:pos="851"/>
                                  <w:tab w:val="left" w:pos="1276"/>
                                </w:tabs>
                                <w:spacing w:line="360" w:lineRule="auto"/>
                                <w:ind w:firstLine="720"/>
                                <w:jc w:val="both"/>
                                <w:rPr>
                                  <w:szCs w:val="24"/>
                                </w:rPr>
                              </w:pPr>
                              <w:sdt>
                                <w:sdtPr>
                                  <w:alias w:val="Numeris"/>
                                  <w:tag w:val="nr_c2e5babb0ce44908b76487cb68e3416c"/>
                                  <w:lock w:val="sdtLocked"/>
                                  <w:richText/>
                                </w:sdtPr>
                                <w:sdtContent>
                                  <w:r>
                                    <w:rPr>
                                      <w:szCs w:val="24"/>
                                    </w:rPr>
                                    <w:t>58</w:t>
                                  </w:r>
                                </w:sdtContent>
                              </w:sdt>
                              <w:r>
                                <w:rPr>
                                  <w:szCs w:val="24"/>
                                </w:rPr>
                                <w:t>) Valstybinės darbo inspekcijos prie Socialinės apsaugos ir darbo ministerijos – dėl šio kodekso</w:t>
                              </w:r>
                              <w:r>
                                <w:rPr>
                                  <w:b/>
                                  <w:szCs w:val="24"/>
                                </w:rPr>
                                <w:t xml:space="preserve"> </w:t>
                              </w:r>
                              <w:r>
                                <w:rPr>
                                  <w:szCs w:val="24"/>
                                </w:rPr>
                                <w:t>72 straipsnio 3 dalyje, 95, 96, 97, 98, 98</w:t>
                              </w:r>
                              <w:r>
                                <w:rPr>
                                  <w:szCs w:val="24"/>
                                  <w:vertAlign w:val="superscript"/>
                                </w:rPr>
                                <w:t>1</w:t>
                              </w:r>
                              <w:r>
                                <w:rPr>
                                  <w:szCs w:val="24"/>
                                </w:rPr>
                                <w:t>, 99, 100, 101, 102, 103, 104, 105, 106, 127, 150, 224 straipsniuose, 234 straipsnio 4 dalyje, 308 straipsnio 1, 11, 17, 20, 21, 22, 23 dalyse, 308</w:t>
                              </w:r>
                              <w:r>
                                <w:rPr>
                                  <w:szCs w:val="24"/>
                                  <w:vertAlign w:val="superscript"/>
                                </w:rPr>
                                <w:t>1</w:t>
                              </w:r>
                              <w:r>
                                <w:rPr>
                                  <w:szCs w:val="24"/>
                                </w:rPr>
                                <w:t> straipsnio 4, 6, 7 dalyse, 454 straipsnio 7 dalyje,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e8d672eafc67429081cf47623bd854bb"/>
                            <w:lock w:val="sdtLocked"/>
                            <w:richText/>
                          </w:sdtPr>
                          <w:sdtContent>
                            <w:p>
                              <w:pPr>
                                <w:tabs>
                                  <w:tab w:val="left" w:pos="1134"/>
                                </w:tabs>
                                <w:spacing w:line="360" w:lineRule="auto"/>
                                <w:ind w:firstLine="720"/>
                                <w:jc w:val="both"/>
                                <w:rPr>
                                  <w:szCs w:val="24"/>
                                </w:rPr>
                              </w:pPr>
                              <w:sdt>
                                <w:sdtPr>
                                  <w:alias w:val="Numeris"/>
                                  <w:tag w:val="nr_e8d672eafc67429081cf47623bd854bb"/>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7b383084fc15418290969c847971b75d"/>
                            <w:lock w:val="sdtLocked"/>
                            <w:richText/>
                          </w:sdtPr>
                          <w:sdtContent>
                            <w:p>
                              <w:pPr>
                                <w:tabs>
                                  <w:tab w:val="left" w:pos="1134"/>
                                </w:tabs>
                                <w:spacing w:line="360" w:lineRule="auto"/>
                                <w:ind w:firstLine="720"/>
                                <w:jc w:val="both"/>
                              </w:pPr>
                              <w:sdt>
                                <w:sdtPr>
                                  <w:alias w:val="Numeris"/>
                                  <w:tag w:val="nr_7b383084fc15418290969c847971b75d"/>
                                  <w:lock w:val="sdtLocked"/>
                                  <w:richText/>
                                </w:sdtPr>
                                <w:sdtContent>
                                  <w:r>
                                    <w:rPr>
                                      <w:szCs w:val="24"/>
                                      <w:shd w:val="clear" w:color="auto" w:fill="FFFFFF"/>
                                    </w:rPr>
                                    <w:t>66</w:t>
                                  </w:r>
                                </w:sdtContent>
                              </w:sdt>
                              <w:r>
                                <w:rPr>
                                  <w:szCs w:val="24"/>
                                  <w:shd w:val="clear" w:color="auto" w:fill="FFFFFF"/>
                                </w:rPr>
                                <w:t>) Valstybinės mokesčių inspekcijos – dėl šio kodekso 93, 95, 99, 127, 132, 137, 143, 150, 151, 159, 160, 161, 162, 163, 164, 165, 166, 167, 168, 170, 172, 173, 174, 176, 178, 179, 180, 187, 188, 189, 190, 191, 192, 194, 205, 207 straipsniuose, 209 straipsnio 1, 2, 3, 4, 5, 6, 7, 8 dalyse, 214, 224, 449, 449</w:t>
                              </w:r>
                              <w:r>
                                <w:rPr>
                                  <w:szCs w:val="24"/>
                                  <w:shd w:val="clear" w:color="auto" w:fill="FFFFFF"/>
                                  <w:vertAlign w:val="superscript"/>
                                </w:rPr>
                                <w:t>1</w:t>
                              </w:r>
                              <w:r>
                                <w:rPr>
                                  <w:szCs w:val="24"/>
                                  <w:shd w:val="clear" w:color="auto" w:fill="FFFFFF"/>
                                </w:rPr>
                                <w:t>, 450, 505, 507, 546 straipsniuose numatytų administracinių nusižengimų;</w:t>
                              </w:r>
                              <w:r>
                                <w:t xml:space="preserve"> </w:t>
                              </w:r>
                            </w:p>
                            <w:p>
                              <w:pPr>
                                <w:tabs>
                                  <w:tab w:val="left" w:pos="1134"/>
                                </w:tabs>
                                <w:spacing w:line="360" w:lineRule="auto"/>
                                <w:jc w:val="both"/>
                              </w:pPr>
                              <w:r>
                                <w:rPr>
                                  <w:b/>
                                  <w:i/>
                                  <w:sz w:val="20"/>
                                </w:rPr>
                                <w:t>66 punkto redakcija nuo 2020-07-01:</w:t>
                              </w:r>
                            </w:p>
                            <w:p>
                              <w:pPr>
                                <w:tabs>
                                  <w:tab w:val="left" w:pos="1134"/>
                                </w:tabs>
                                <w:spacing w:line="360" w:lineRule="auto"/>
                                <w:ind w:firstLine="720"/>
                                <w:jc w:val="both"/>
                                <w:rPr>
                                  <w:szCs w:val="24"/>
                                </w:rPr>
                              </w:pPr>
                              <w:r>
                                <w:t xml:space="preserve">66) Valstybinės </w:t>
                              </w:r>
                              <w:r>
                                <w:rPr>
                                  <w:szCs w:val="24"/>
                                </w:rPr>
                                <w:t>mokesčių inspekcijos – dėl šio kodekso 93, 95, 99, 127, 132, 137, 143, 150, 151, 159, 160, 161, 162, 163, 164, 165, 166, 167, 168, 170, 172, 173, 174, 176, 178, 179, 180, 187, 188, 188</w:t>
                              </w:r>
                              <w:r>
                                <w:rPr>
                                  <w:szCs w:val="24"/>
                                  <w:vertAlign w:val="superscript"/>
                                </w:rPr>
                                <w:t>1</w:t>
                              </w:r>
                              <w:r>
                                <w:rPr>
                                  <w:szCs w:val="24"/>
                                </w:rPr>
                                <w:t>,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2e4ad78f1f484fd68c83bec3752205d1"/>
                            <w:lock w:val="sdtLocked"/>
                            <w:richText/>
                          </w:sdtPr>
                          <w:sdtContent>
                            <w:p>
                              <w:pPr>
                                <w:spacing w:line="360" w:lineRule="auto"/>
                                <w:ind w:firstLine="720"/>
                                <w:jc w:val="both"/>
                                <w:rPr>
                                  <w:szCs w:val="24"/>
                                </w:rPr>
                              </w:pPr>
                              <w:sdt>
                                <w:sdtPr>
                                  <w:alias w:val="Numeris"/>
                                  <w:tag w:val="nr_2e4ad78f1f484fd68c83bec3752205d1"/>
                                  <w:lock w:val="sdtLocked"/>
                                  <w:richText/>
                                </w:sdtPr>
                                <w:sdtContent>
                                  <w:r>
                                    <w:rPr>
                                      <w:szCs w:val="24"/>
                                    </w:rPr>
                                    <w:t>1</w:t>
                                  </w:r>
                                </w:sdtContent>
                              </w:sdt>
                              <w:r>
                                <w:rPr>
                                  <w:szCs w:val="24"/>
                                </w:rPr>
                                <w:t>) kai administracinėn atsakomybėn traukiamas asmuo ne mažiau kaip du kartus šaukiamas neatvyko ir nedalyvavo surašant protokolą;</w:t>
                              </w:r>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5825D3E"/>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77.xml"/>
  <Relationship Id="rId12" Type="http://schemas.openxmlformats.org/officeDocument/2006/relationships/header" Target="header278.xml"/>
  <Relationship Id="rId13" Type="http://schemas.openxmlformats.org/officeDocument/2006/relationships/footer" Target="footer277.xml"/>
  <Relationship Id="rId14" Type="http://schemas.openxmlformats.org/officeDocument/2006/relationships/footer" Target="footer278.xml"/>
  <Relationship Id="rId15" Type="http://schemas.openxmlformats.org/officeDocument/2006/relationships/header" Target="header279.xml"/>
  <Relationship Id="rId16" Type="http://schemas.openxmlformats.org/officeDocument/2006/relationships/footer" Target="footer279.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a41a57aacc8646d0bc2e64105c8abca9">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6a746327046947ac91eeca7341de2bbd"/>
            <Part Type="strPunktas" Nr="32" Abbr="589 str. 1 d. 32 p." DocPartId="4b060e1981354ac0a8e2466f1c3027ce" PartId="0678d34d44e8410999dddf5875a8ef01"/>
            <Part Type="strPunktas" Nr="33" Abbr="589 str. 1 d. 33 p." DocPartId="6b2a0ca5516f455caea711941bc2bfaa" PartId="1d39c4916f224fce98d4c8f120873a12"/>
            <Part Type="strPunktas" Nr="33-1" Abbr="33-1 p." DocPartId="7f3aec409d14458a98bf759473b62dd8" PartId="dde386fa267843f29d09e082857d81de"/>
            <Part Type="strPunktas" Nr="34" Abbr="589 str. 1 d. 34 p." DocPartId="25540ea79a1e4a05add773c29ef0b73d" PartId="9033a4ce20db4186a0c7f6abd08daf1b"/>
            <Part Type="strPunktas" Nr="35" Abbr="589 str. 1 d. 35 p." DocPartId="91453a70a5c7477a972d74562faaa75e" PartId="e21d979e25e14e6fab75361b707518a2"/>
            <Part Type="strPunktas" Nr="36" Abbr="589 str. 1 d. 36 p." DocPartId="b9885c356ef844788b6fe133e9d2ebca" PartId="6698759064104942a8a087df47cfe6ab"/>
            <Part Type="strPunktas" Nr="37" Abbr="589 str. 1 d. 37 p." DocPartId="fcb4f09f31044fc082698403a9fb5fe5" PartId="1cf8e131e1b341f4b3cf92ad8150f5a7"/>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e2d1c58292584c3db2ab85f70891bf2f"/>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e39470d4911f4c719599d7476881836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c2e5babb0ce44908b76487cb68e3416c"/>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e8d672eafc67429081cf47623bd854b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7b383084fc15418290969c847971b75d"/>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2e4ad78f1f484fd68c83bec3752205d1"/>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2BEA42B-B5C8-4E1F-A4ED-7281ADCC4526}">
  <ds:schemaRefs>
    <ds:schemaRef ds:uri="http://lrs.lt/TAIS/DocParts"/>
  </ds:schemaRefs>
</ds:datastoreItem>
</file>

<file path=customXml/itemProps3.xml><?xml version="1.0" encoding="utf-8"?>
<ds:datastoreItem xmlns:ds="http://schemas.openxmlformats.org/officeDocument/2006/customXml" ds:itemID="{B9645BA8-21AA-4FEF-9F89-924B8F21786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398</TotalTime>
  <Pages>410</Pages>
  <Words>645495</Words>
  <Characters>367933</Characters>
  <Application>Microsoft Office Word</Application>
  <DocSecurity>0</DocSecurity>
  <Lines>3066</Lines>
  <Paragraphs>2022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1011406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2019-12-31T04:46:00Z</dcterms:modified>
  <revision>220</revision>
</coreProperties>
</file>