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2026-01-07 iki 2026-01-09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e95e8f0381146f2a00718694afab595"/>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e95e8f0381146f2a00718694afab595"/>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2bb955a0b7d42bdb3ca5433c15d26e2"/>
                        <w:lock w:val="sdtLocked"/>
                        <w:richText/>
                      </w:sdtPr>
                      <w:sdtContent>
                        <w:p>
                          <w:pPr>
                            <w:spacing w:line="360" w:lineRule="auto"/>
                            <w:ind w:firstLine="720"/>
                            <w:jc w:val="both"/>
                            <w:rPr>
                              <w:color w:val="000000"/>
                              <w:szCs w:val="24"/>
                            </w:rPr>
                          </w:pPr>
                          <w:sdt>
                            <w:sdtPr>
                              <w:alias w:val="Numeris"/>
                              <w:tag w:val="nr_22bb955a0b7d42bdb3ca5433c15d26e2"/>
                              <w:lock w:val="sdtLocked"/>
                              <w:richText/>
                            </w:sdtPr>
                            <w:sdtContent>
                              <w:r>
                                <w:rPr>
                                  <w:szCs w:val="24"/>
                                  <w:lang w:eastAsia="lt-LT"/>
                                </w:rPr>
                                <w:t>4</w:t>
                              </w:r>
                            </w:sdtContent>
                          </w:sdt>
                          <w:r>
                            <w:rPr>
                              <w:szCs w:val="24"/>
                              <w:lang w:eastAsia="lt-LT"/>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szCs w:val="24"/>
                              <w:vertAlign w:val="superscript"/>
                              <w:lang w:eastAsia="lt-LT"/>
                            </w:rPr>
                            <w:t>2</w:t>
                          </w:r>
                          <w:r>
                            <w:rPr>
                              <w:szCs w:val="24"/>
                              <w:lang w:eastAsia="lt-LT"/>
                            </w:rPr>
                            <w:t xml:space="preserve"> straipsnio 1 dalyje, 240, 245 straipsniuose, 247 straipsnio 10, 11, 12, 13, 14, 15, 16 dalyse,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szCs w:val="24"/>
                              <w:vertAlign w:val="superscript"/>
                              <w:lang w:eastAsia="lt-LT"/>
                            </w:rPr>
                            <w:t>2</w:t>
                          </w:r>
                          <w:r>
                            <w:rPr>
                              <w:szCs w:val="24"/>
                              <w:lang w:eastAsia="lt-LT"/>
                            </w:rPr>
                            <w:t xml:space="preserve"> straipsnio 3, 4, 5, 6 dalyse, 309 straipsnio 9, 10, 11 dalyse, 346 straipsnyje, 393 straipsnio 3, 4, 5 dalyse, 420 straipsnio 3, 4, 5 dalyse, 423 straipsnio 3 dalyje, 424 straipsnio 5, 6 dalyse, 426 straipsnio 1, 2, 4, 5 dalyse, 427, 464, 465, 466, 467, 468, 470 straipsniuose, 473 straipsnio 4 dalyje, 474 straipsnio 4 dalyje, 475 straipsnyje, </w:t>
                          </w:r>
                          <w:r>
                            <w:rPr>
                              <w:bCs/>
                              <w:szCs w:val="24"/>
                              <w:lang w:eastAsia="lt-LT"/>
                            </w:rPr>
                            <w:t>514</w:t>
                          </w:r>
                          <w:r>
                            <w:rPr>
                              <w:bCs/>
                              <w:szCs w:val="24"/>
                              <w:vertAlign w:val="superscript"/>
                              <w:lang w:eastAsia="lt-LT"/>
                            </w:rPr>
                            <w:t>1</w:t>
                          </w:r>
                          <w:r>
                            <w:rPr>
                              <w:bCs/>
                              <w:szCs w:val="24"/>
                              <w:lang w:eastAsia="lt-LT"/>
                            </w:rPr>
                            <w:t xml:space="preserve"> straipsnio 3, 4, 7 dalyse,</w:t>
                          </w:r>
                          <w:r>
                            <w:rPr>
                              <w:szCs w:val="24"/>
                              <w:lang w:eastAsia="lt-LT"/>
                            </w:rPr>
                            <w:t xml:space="preserve"> 515 straipsnio 1, 2 dalyse,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5"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6"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7"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8"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9"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50"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3"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7"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8"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7"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8"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9"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32"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4" w:tgtFrame="_blank" w:history="1">
                            <w:r>
                              <w:rPr>
                                <w:color w:val="0000FF" w:themeColor="hyperlink"/>
                                <w:szCs w:val="24"/>
                                <w:u w:val="single"/>
                                <w:lang w:eastAsia="lt-LT"/>
                              </w:rPr>
                              <w:t>(ES) Nr. 1178/2011</w:t>
                            </w:r>
                          </w:hyperlink>
                          <w:r>
                            <w:rPr>
                              <w:szCs w:val="24"/>
                              <w:lang w:eastAsia="lt-LT"/>
                            </w:rPr>
                            <w:t xml:space="preserve">, Reglamente </w:t>
                          </w:r>
                          <w:hyperlink r:id="rId35" w:tgtFrame="_blank" w:history="1">
                            <w:r>
                              <w:rPr>
                                <w:color w:val="0000FF" w:themeColor="hyperlink"/>
                                <w:szCs w:val="24"/>
                                <w:u w:val="single"/>
                                <w:lang w:eastAsia="lt-LT"/>
                              </w:rPr>
                              <w:t>(ES) Nr. 1321/2014</w:t>
                            </w:r>
                          </w:hyperlink>
                          <w:r>
                            <w:rPr>
                              <w:szCs w:val="24"/>
                              <w:lang w:eastAsia="lt-LT"/>
                            </w:rPr>
                            <w:t xml:space="preserve">, Reglamente </w:t>
                          </w:r>
                          <w:hyperlink r:id="rId36" w:tgtFrame="_blank" w:history="1">
                            <w:r>
                              <w:rPr>
                                <w:color w:val="0000FF" w:themeColor="hyperlink"/>
                                <w:szCs w:val="24"/>
                                <w:u w:val="single"/>
                                <w:lang w:eastAsia="lt-LT"/>
                              </w:rPr>
                              <w:t>(ES) 2015/340</w:t>
                            </w:r>
                          </w:hyperlink>
                          <w:r>
                            <w:rPr>
                              <w:szCs w:val="24"/>
                              <w:lang w:eastAsia="lt-LT"/>
                            </w:rPr>
                            <w:t xml:space="preserve"> ir Reglamente </w:t>
                          </w:r>
                          <w:hyperlink r:id="rId37"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8"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9"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40"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41"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42"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43"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4"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51"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24"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25" w:tgtFrame="_blank" w:history="1">
                <w:r>
                  <w:rPr>
                    <w:color w:val="0000FF" w:themeColor="hyperlink"/>
                    <w:szCs w:val="24"/>
                    <w:u w:val="single"/>
                  </w:rPr>
                  <w:t>77/799/EEB</w:t>
                </w:r>
              </w:hyperlink>
              <w:r>
                <w:rPr>
                  <w:szCs w:val="24"/>
                </w:rPr>
                <w:t xml:space="preserve"> su paskutiniais pakeitimais, padarytais 2023 m. spalio 17 d. Tarybos direktyva </w:t>
              </w:r>
              <w:hyperlink r:id="rId26"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9"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d40c4e3f55004c0b9512a734b5844580"/>
            <w:lock w:val="sdtLocked"/>
            <w:richText/>
          </w:sdtPr>
          <w:sdtContent>
            <w:p>
              <w:pPr>
                <w:spacing w:line="360" w:lineRule="auto"/>
                <w:ind w:firstLine="720"/>
                <w:jc w:val="both"/>
              </w:pPr>
              <w:sdt>
                <w:sdtPr>
                  <w:alias w:val="Numeris"/>
                  <w:tag w:val="nr_d40c4e3f55004c0b9512a734b5844580"/>
                  <w:lock w:val="sdtLocked"/>
                  <w:richText/>
                </w:sdtPr>
                <w:sdtContent>
                  <w:r>
                    <w:rPr>
                      <w:bCs/>
                      <w:szCs w:val="24"/>
                    </w:rPr>
                    <w:t>118</w:t>
                  </w:r>
                  <w:r>
                    <w:rPr>
                      <w:bCs/>
                      <w:szCs w:val="24"/>
                      <w:vertAlign w:val="superscript"/>
                    </w:rPr>
                    <w:t>1</w:t>
                  </w:r>
                </w:sdtContent>
              </w:sdt>
              <w:r>
                <w:rPr>
                  <w:bCs/>
                  <w:szCs w:val="24"/>
                </w:rPr>
                <w:t>.</w:t>
              </w:r>
              <w:r>
                <w:rPr>
                  <w:szCs w:val="24"/>
                </w:rPr>
                <w:t xml:space="preserve"> </w:t>
              </w:r>
              <w:r>
                <w:rPr>
                  <w:bCs/>
                  <w:szCs w:val="24"/>
                </w:rPr>
                <w:t xml:space="preserve">2023 m. liepos 12 d. Europos Parlamento ir Tarybos reglamentas </w:t>
              </w:r>
              <w:hyperlink r:id="rId60"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61" w:tgtFrame="_blank" w:history="1">
                <w:r>
                  <w:rPr>
                    <w:bCs/>
                    <w:color w:val="0000FF" w:themeColor="hyperlink"/>
                    <w:szCs w:val="24"/>
                    <w:u w:val="single"/>
                  </w:rPr>
                  <w:t>2008/98/EB</w:t>
                </w:r>
              </w:hyperlink>
              <w:r>
                <w:rPr>
                  <w:bCs/>
                  <w:szCs w:val="24"/>
                </w:rPr>
                <w:t xml:space="preserve"> bei Reglamentas </w:t>
              </w:r>
              <w:hyperlink r:id="rId62" w:tgtFrame="_blank" w:history="1">
                <w:r>
                  <w:rPr>
                    <w:bCs/>
                    <w:color w:val="0000FF" w:themeColor="hyperlink"/>
                    <w:szCs w:val="24"/>
                    <w:u w:val="single"/>
                  </w:rPr>
                  <w:t>(ES) 2019/1020</w:t>
                </w:r>
              </w:hyperlink>
              <w:r>
                <w:rPr>
                  <w:bCs/>
                  <w:szCs w:val="24"/>
                </w:rPr>
                <w:t xml:space="preserve"> ir panaikinama Direktyva </w:t>
              </w:r>
              <w:hyperlink r:id="rId63"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52"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53" w:tgtFrame="_blank" w:history="1">
                <w:r>
                  <w:rPr>
                    <w:bCs/>
                    <w:color w:val="0000FF" w:themeColor="hyperlink"/>
                    <w:szCs w:val="24"/>
                    <w:u w:val="single"/>
                  </w:rPr>
                  <w:t>(ES) 2019/1937</w:t>
                </w:r>
              </w:hyperlink>
              <w:r>
                <w:rPr>
                  <w:bCs/>
                  <w:szCs w:val="24"/>
                </w:rPr>
                <w:t xml:space="preserve"> ir panaikinamas Reglamentas </w:t>
              </w:r>
              <w:hyperlink r:id="rId54"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5"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6"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4EB1F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74.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1132.xml"/>
  <Relationship Id="rId18" Type="http://schemas.openxmlformats.org/officeDocument/2006/relationships/header" Target="header1133.xml"/>
  <Relationship Id="rId19" Type="http://schemas.openxmlformats.org/officeDocument/2006/relationships/footer" Target="footer1132.xml"/>
  <Relationship Id="rId2" Type="http://schemas.openxmlformats.org/officeDocument/2006/relationships/header" Target="header575.xml"/>
  <Relationship Id="rId20" Type="http://schemas.openxmlformats.org/officeDocument/2006/relationships/footer" Target="footer1133.xml"/>
  <Relationship Id="rId21" Type="http://schemas.openxmlformats.org/officeDocument/2006/relationships/header" Target="header1134.xml"/>
  <Relationship Id="rId22" Type="http://schemas.openxmlformats.org/officeDocument/2006/relationships/footer" Target="footer1134.xml"/>
  <Relationship Id="rId23" Type="http://schemas.openxmlformats.org/officeDocument/2006/relationships/hyperlink" TargetMode="External" Target="http://eur-lex.europa.eu/legal-content/LIT/TXT/?uri=CELEX:32021R0782&amp;locale=lt"/>
  <Relationship Id="rId24" Type="http://schemas.openxmlformats.org/officeDocument/2006/relationships/hyperlink" TargetMode="External" Target="http://eur-lex.europa.eu/legal-content/LIT/TXT/?uri=CELEX:32011L0016&amp;locale=lt"/>
  <Relationship Id="rId25" Type="http://schemas.openxmlformats.org/officeDocument/2006/relationships/hyperlink" TargetMode="External" Target="http://eur-lex.europa.eu/legal-content/LIT/TXT/?uri=CELEX:31977L0799&amp;locale=lt"/>
  <Relationship Id="rId26" Type="http://schemas.openxmlformats.org/officeDocument/2006/relationships/hyperlink" TargetMode="External" Target="http://eur-lex.europa.eu/legal-content/LIT/TXT/?uri=CELEX:32023L2226&amp;locale=lt"/>
  <Relationship Id="rId27" Type="http://schemas.openxmlformats.org/officeDocument/2006/relationships/hyperlink" TargetMode="External" Target="http://eur-lex.europa.eu/legal-content/LIT/TXT/?uri=CELEX:32012R0965&amp;locale=lt"/>
  <Relationship Id="rId28" Type="http://schemas.openxmlformats.org/officeDocument/2006/relationships/hyperlink" TargetMode="External" Target="http://eur-lex.europa.eu/legal-content/LIT/TXT/?uri=CELEX:3947R2019&amp;locale=lt"/>
  <Relationship Id="rId29" Type="http://schemas.openxmlformats.org/officeDocument/2006/relationships/hyperlink" TargetMode="External" Target="http://eur-lex.europa.eu/legal-content/LIT/TXT/?uri=CELEX:3947R2019&amp;locale=lt"/>
  <Relationship Id="rId3" Type="http://schemas.openxmlformats.org/officeDocument/2006/relationships/footer" Target="footer574.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1R1178&amp;locale=lt"/>
  <Relationship Id="rId35" Type="http://schemas.openxmlformats.org/officeDocument/2006/relationships/hyperlink" TargetMode="External" Target="http://eur-lex.europa.eu/legal-content/LIT/TXT/?uri=CELEX:32014R1321&amp;locale=lt"/>
  <Relationship Id="rId36" Type="http://schemas.openxmlformats.org/officeDocument/2006/relationships/hyperlink" TargetMode="External" Target="http://eur-lex.europa.eu/legal-content/LIT/TXT/?uri=CELEX:3340R2015&amp;locale=lt"/>
  <Relationship Id="rId37" Type="http://schemas.openxmlformats.org/officeDocument/2006/relationships/hyperlink" TargetMode="External" Target="http://eur-lex.europa.eu/legal-content/LIT/TXT/?uri=CELEX:31139R2018&amp;locale=lt"/>
  <Relationship Id="rId38" Type="http://schemas.openxmlformats.org/officeDocument/2006/relationships/hyperlink" TargetMode="External" Target="http://eur-lex.europa.eu/legal-content/LIT/TXT/?uri=CELEX:32012R0923&amp;locale=lt"/>
  <Relationship Id="rId39" Type="http://schemas.openxmlformats.org/officeDocument/2006/relationships/hyperlink" TargetMode="External" Target="http://eur-lex.europa.eu/legal-content/LIT/TXT/?uri=CELEX:32011R1035&amp;locale=lt"/>
  <Relationship Id="rId4" Type="http://schemas.openxmlformats.org/officeDocument/2006/relationships/footer" Target="footer575.xml"/>
  <Relationship Id="rId40" Type="http://schemas.openxmlformats.org/officeDocument/2006/relationships/hyperlink" TargetMode="External" Target="http://eur-lex.europa.eu/legal-content/LIT/TXT/?uri=CELEX:32007R1265&amp;locale=lt"/>
  <Relationship Id="rId41" Type="http://schemas.openxmlformats.org/officeDocument/2006/relationships/hyperlink" TargetMode="External" Target="http://eur-lex.europa.eu/legal-content/LIT/TXT/?uri=CELEX:32006R1794&amp;locale=lt"/>
  <Relationship Id="rId42" Type="http://schemas.openxmlformats.org/officeDocument/2006/relationships/hyperlink" TargetMode="External" Target="http://eur-lex.europa.eu/legal-content/LIT/TXT/?uri=CELEX:32006R0730&amp;locale=lt"/>
  <Relationship Id="rId43" Type="http://schemas.openxmlformats.org/officeDocument/2006/relationships/hyperlink" TargetMode="External" Target="http://eur-lex.europa.eu/legal-content/LIT/TXT/?uri=CELEX:32006R1033&amp;locale=lt"/>
  <Relationship Id="rId44" Type="http://schemas.openxmlformats.org/officeDocument/2006/relationships/hyperlink" TargetMode="External" Target="http://eur-lex.europa.eu/legal-content/LIT/TXT/?uri=CELEX:32010R0255&amp;locale=lt"/>
  <Relationship Id="rId45" Type="http://schemas.openxmlformats.org/officeDocument/2006/relationships/hyperlink" TargetMode="External" Target="http://eur-lex.europa.eu/legal-content/LIT/TXT/?uri=CELEX:31997R0338&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3143R2014&amp;locale=lt"/>
  <Relationship Id="rId49" Type="http://schemas.openxmlformats.org/officeDocument/2006/relationships/hyperlink" TargetMode="External" Target="http://eur-lex.europa.eu/legal-content/LIT/TXT/?uri=CELEX:33143R2014&amp;locale=lt"/>
  <Relationship Id="rId5" Type="http://schemas.openxmlformats.org/officeDocument/2006/relationships/header" Target="header576.xml"/>
  <Relationship Id="rId50" Type="http://schemas.openxmlformats.org/officeDocument/2006/relationships/hyperlink" TargetMode="External" Target="http://eur-lex.europa.eu/legal-content/LIT/TXT/?uri=CELEX:33143R2014&amp;locale=lt"/>
  <Relationship Id="rId51" Type="http://schemas.openxmlformats.org/officeDocument/2006/relationships/hyperlink" TargetMode="External" Target="http://eur-lex.europa.eu/legal-content/LIT/TXT/?uri=CELEX:31997R0338&amp;locale=lt"/>
  <Relationship Id="rId52" Type="http://schemas.openxmlformats.org/officeDocument/2006/relationships/hyperlink" TargetMode="External" Target="http://eur-lex.europa.eu/legal-content/LIT/TXT/?uri=CELEX:32024R0573&amp;locale=lt"/>
  <Relationship Id="rId53" Type="http://schemas.openxmlformats.org/officeDocument/2006/relationships/hyperlink" TargetMode="External" Target="http://eur-lex.europa.eu/legal-content/LIT/TXT/?uri=CELEX:32019L1937&amp;locale=lt"/>
  <Relationship Id="rId54" Type="http://schemas.openxmlformats.org/officeDocument/2006/relationships/hyperlink" TargetMode="External" Target="http://eur-lex.europa.eu/legal-content/LIT/TXT/?uri=CELEX:32014R0517&amp;locale=lt"/>
  <Relationship Id="rId55" Type="http://schemas.openxmlformats.org/officeDocument/2006/relationships/hyperlink" TargetMode="External" Target="http://eur-lex.europa.eu/legal-content/LIT/TXT/?uri=CELEX:32024L1226&amp;locale=lt"/>
  <Relationship Id="rId56" Type="http://schemas.openxmlformats.org/officeDocument/2006/relationships/hyperlink" TargetMode="External" Target="http://eur-lex.europa.eu/legal-content/LIT/TXT/?uri=CELEX:32018L1673&amp;locale=lt"/>
  <Relationship Id="rId57" Type="http://schemas.openxmlformats.org/officeDocument/2006/relationships/hyperlink" TargetMode="External" Target="http://eur-lex.europa.eu/legal-content/LIT/TXT/?uri=CELEX:32021R0782&amp;locale=lt"/>
  <Relationship Id="rId58" Type="http://schemas.openxmlformats.org/officeDocument/2006/relationships/hyperlink" TargetMode="External" Target="http://eur-lex.europa.eu/legal-content/LIT/TXT/?uri=CELEX:32021R0782&amp;locale=lt"/>
  <Relationship Id="rId59" Type="http://schemas.openxmlformats.org/officeDocument/2006/relationships/hyperlink" TargetMode="External" Target="http://eur-lex.europa.eu/legal-content/LIT/TXT/?uri=CELEX:32021R0782&amp;locale=lt"/>
  <Relationship Id="rId6" Type="http://schemas.openxmlformats.org/officeDocument/2006/relationships/footer" Target="footer576.xml"/>
  <Relationship Id="rId60" Type="http://schemas.openxmlformats.org/officeDocument/2006/relationships/hyperlink" TargetMode="External" Target="http://eur-lex.europa.eu/legal-content/LIT/TXT/?uri=CELEX:32023R1542&amp;locale=lt"/>
  <Relationship Id="rId61" Type="http://schemas.openxmlformats.org/officeDocument/2006/relationships/hyperlink" TargetMode="External" Target="http://eur-lex.europa.eu/legal-content/LIT/TXT/?uri=CELEX:32008L0098&amp;locale=lt"/>
  <Relationship Id="rId62" Type="http://schemas.openxmlformats.org/officeDocument/2006/relationships/hyperlink" TargetMode="External" Target="http://eur-lex.europa.eu/legal-content/LIT/TXT/?uri=CELEX:32019R1020&amp;locale=lt"/>
  <Relationship Id="rId63" Type="http://schemas.openxmlformats.org/officeDocument/2006/relationships/hyperlink" TargetMode="External" Target="http://eur-lex.europa.eu/legal-content/LIT/TXT/?uri=CELEX:32006L0066&amp;locale=lt"/>
  <Relationship Id="rId64" Type="http://schemas.openxmlformats.org/officeDocument/2006/relationships/customXml" Target="../customXml/item1.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e95e8f0381146f2a00718694afab595">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2bb955a0b7d42bdb3ca5433c15d26e2">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Privalomojo nurody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218085ea1ad42eb98094143795a609e" PartId="d40c4e3f55004c0b9512a734b5844580"/>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54F4A83-EE14-490B-B19F-67D9EC95B6C5}">
  <ds:schemaRefs>
    <ds:schemaRef ds:uri="http://lrs.lt/TAIS/DocParts"/>
  </ds:schemaRefs>
</ds:datastoreItem>
</file>

<file path=customXml/itemProps3.xml><?xml version="1.0" encoding="utf-8"?>
<ds:datastoreItem xmlns:ds="http://schemas.openxmlformats.org/officeDocument/2006/customXml" ds:itemID="{C29E6E7F-6BB1-44A3-960B-DFE5A42FEF8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917</TotalTime>
  <Pages>484</Pages>
  <Words>148758</Words>
  <Characters>1083445</Characters>
  <Application>Microsoft Office Word</Application>
  <DocSecurity>0</DocSecurity>
  <Lines>9028</Lines>
  <Paragraphs>2459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1229744</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2026-01-13T09:03:00Z</dcterms:modified>
  <revision>436</revision>
</coreProperties>
</file>