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2026-01-07 iki 2026-01-09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7e95e8f0381146f2a00718694afab595"/>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7e95e8f0381146f2a00718694afab595"/>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9189b184924547d19e79fb3dcec14a99"/>
                        <w:lock w:val="sdtLocked"/>
                        <w:richText/>
                      </w:sdtPr>
                      <w:sdtContent>
                        <w:p>
                          <w:pPr>
                            <w:spacing w:line="360" w:lineRule="auto"/>
                            <w:ind w:firstLine="720"/>
                            <w:jc w:val="both"/>
                            <w:rPr>
                              <w:szCs w:val="24"/>
                            </w:rPr>
                          </w:pPr>
                          <w:sdt>
                            <w:sdtPr>
                              <w:alias w:val="Numeris"/>
                              <w:tag w:val="nr_9189b184924547d19e79fb3dcec14a99"/>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247 straipsnio 1 ir 2 dalyse, 258 straipsnyje, 261 straipsnio 1 dalyje, 278 straipsnyje, 279 straipsnio 1 dalyje, 283 straipsnyje, 284 straipsnio 1 dalyje, 287 straipsnyje, 291 straipsnio 1 dalyje, 294 straipsnio 1 ir 2 dalyse, 295 straipsnio 4 dalyje, 296 straipsnio 1 dalyje, 297 straipsnio 1 dalyje, 299 straipsnio 1 dalyje, 305 straipsnio 1 ir 4 dalyse, 325 straipsnyje, 327 straipsnio 1 ir 3 dalyse,</w:t>
                          </w:r>
                          <w:r>
                            <w:rPr>
                              <w:bCs/>
                              <w:color w:val="000000"/>
                              <w:szCs w:val="24"/>
                            </w:rPr>
                            <w:t xml:space="preserve"> </w:t>
                          </w:r>
                          <w:r>
                            <w:rPr>
                              <w:color w:val="000000"/>
                              <w:szCs w:val="24"/>
                            </w:rPr>
                            <w:t>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2bb955a0b7d42bdb3ca5433c15d26e2"/>
                        <w:lock w:val="sdtLocked"/>
                        <w:richText/>
                      </w:sdtPr>
                      <w:sdtContent>
                        <w:p>
                          <w:pPr>
                            <w:spacing w:line="360" w:lineRule="auto"/>
                            <w:ind w:firstLine="720"/>
                            <w:jc w:val="both"/>
                            <w:rPr>
                              <w:color w:val="000000"/>
                              <w:szCs w:val="24"/>
                            </w:rPr>
                          </w:pPr>
                          <w:sdt>
                            <w:sdtPr>
                              <w:alias w:val="Numeris"/>
                              <w:tag w:val="nr_22bb955a0b7d42bdb3ca5433c15d26e2"/>
                              <w:lock w:val="sdtLocked"/>
                              <w:richText/>
                            </w:sdtPr>
                            <w:sdtContent>
                              <w:r>
                                <w:rPr>
                                  <w:szCs w:val="24"/>
                                  <w:lang w:eastAsia="lt-LT"/>
                                </w:rPr>
                                <w:t>4</w:t>
                              </w:r>
                            </w:sdtContent>
                          </w:sdt>
                          <w:r>
                            <w:rPr>
                              <w:szCs w:val="24"/>
                              <w:lang w:eastAsia="lt-LT"/>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szCs w:val="24"/>
                              <w:vertAlign w:val="superscript"/>
                              <w:lang w:eastAsia="lt-LT"/>
                            </w:rPr>
                            <w:t>2</w:t>
                          </w:r>
                          <w:r>
                            <w:rPr>
                              <w:szCs w:val="24"/>
                              <w:lang w:eastAsia="lt-LT"/>
                            </w:rPr>
                            <w:t xml:space="preserve"> straipsnio 1 dalyje, 240, 245 straipsniuose, 247 straipsnio 10, 11, 12, 13, 14, 15, 16 dalyse,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szCs w:val="24"/>
                              <w:vertAlign w:val="superscript"/>
                              <w:lang w:eastAsia="lt-LT"/>
                            </w:rPr>
                            <w:t>2</w:t>
                          </w:r>
                          <w:r>
                            <w:rPr>
                              <w:szCs w:val="24"/>
                              <w:lang w:eastAsia="lt-LT"/>
                            </w:rPr>
                            <w:t xml:space="preserve"> straipsnio 3, 4, 5, 6 dalyse, 309 straipsnio 9, 10, 11 dalyse, 346 straipsnyje, 393 straipsnio 3, 4, 5 dalyse, 420 straipsnio 3, 4, 5 dalyse, 423 straipsnio 3 dalyje, 424 straipsnio 5, 6 dalyse, 426 straipsnio 1, 2, 4, 5 dalyse, 427, 464, 465, 466, 467, 468, 470 straipsniuose, 473 straipsnio 4 dalyje, 474 straipsnio 4 dalyje, 475 straipsnyje, </w:t>
                          </w:r>
                          <w:r>
                            <w:rPr>
                              <w:bCs/>
                              <w:szCs w:val="24"/>
                              <w:lang w:eastAsia="lt-LT"/>
                            </w:rPr>
                            <w:t>514</w:t>
                          </w:r>
                          <w:r>
                            <w:rPr>
                              <w:bCs/>
                              <w:szCs w:val="24"/>
                              <w:vertAlign w:val="superscript"/>
                              <w:lang w:eastAsia="lt-LT"/>
                            </w:rPr>
                            <w:t>1</w:t>
                          </w:r>
                          <w:r>
                            <w:rPr>
                              <w:bCs/>
                              <w:szCs w:val="24"/>
                              <w:lang w:eastAsia="lt-LT"/>
                            </w:rPr>
                            <w:t xml:space="preserve"> straipsnio 3, 4, 7 dalyse,</w:t>
                          </w:r>
                          <w:r>
                            <w:rPr>
                              <w:szCs w:val="24"/>
                              <w:lang w:eastAsia="lt-LT"/>
                            </w:rPr>
                            <w:t xml:space="preserve"> 515 straipsnio 1, 2 dalyse,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436964c1a55745e5801555ce94e0716f"/>
                    <w:lock w:val="sdtLocked"/>
                    <w:richText/>
                  </w:sdtPr>
                  <w:sdtContent>
                    <w:p>
                      <w:pPr>
                        <w:shd w:val="clear" w:color="000000" w:fill="auto"/>
                        <w:spacing w:line="360" w:lineRule="auto"/>
                        <w:ind w:left="2410" w:hanging="1690"/>
                        <w:jc w:val="both"/>
                        <w:rPr>
                          <w:b/>
                          <w:bCs/>
                          <w:szCs w:val="24"/>
                        </w:rPr>
                      </w:pPr>
                      <w:sdt>
                        <w:sdtPr>
                          <w:alias w:val="Numeris"/>
                          <w:tag w:val="nr_436964c1a55745e5801555ce94e0716f"/>
                          <w:lock w:val="sdtLocked"/>
                          <w:richText/>
                        </w:sdtPr>
                        <w:sdtContent>
                          <w:r>
                            <w:rPr>
                              <w:b/>
                              <w:bCs/>
                              <w:szCs w:val="24"/>
                            </w:rPr>
                            <w:t>196</w:t>
                          </w:r>
                        </w:sdtContent>
                      </w:sdt>
                      <w:r>
                        <w:rPr>
                          <w:b/>
                          <w:bCs/>
                          <w:szCs w:val="24"/>
                        </w:rPr>
                        <w:t xml:space="preserve"> straipsnis. </w:t>
                      </w:r>
                      <w:sdt>
                        <w:sdtPr>
                          <w:alias w:val="Pavadinimas"/>
                          <w:tag w:val="title_436964c1a55745e5801555ce94e0716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hd w:val="clear" w:color="000000" w:fill="auto"/>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hd w:val="clear" w:color="000000" w:fill="auto"/>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hd w:val="clear" w:color="000000" w:fill="auto"/>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hd w:val="clear" w:color="000000" w:fill="auto"/>
                            <w:spacing w:line="360" w:lineRule="auto"/>
                            <w:ind w:firstLine="720"/>
                            <w:jc w:val="both"/>
                            <w:rPr>
                              <w:szCs w:val="24"/>
                            </w:rPr>
                          </w:pPr>
                          <w:r>
                            <w:rPr>
                              <w:szCs w:val="24"/>
                            </w:rPr>
                            <w:t>užtraukia baudą nuo šešių šimtų iki penkių tūkstančių aštuonių šimtų eurų.</w:t>
                          </w:r>
                        </w:p>
                        <w:p>
                          <w:pPr>
                            <w:shd w:val="clear" w:color="000000" w:fill="auto"/>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7f0bc40081a049a6976b8e8f441f69a0"/>
                    <w:lock w:val="sdtLocked"/>
                    <w:richText/>
                  </w:sdtPr>
                  <w:sdtContent>
                    <w:p>
                      <w:pPr>
                        <w:spacing w:line="360" w:lineRule="auto"/>
                        <w:ind w:left="2410" w:hanging="1690"/>
                        <w:jc w:val="both"/>
                        <w:rPr>
                          <w:color w:val="000000"/>
                          <w:szCs w:val="24"/>
                          <w:lang w:eastAsia="lt-LT"/>
                        </w:rPr>
                      </w:pPr>
                      <w:sdt>
                        <w:sdtPr>
                          <w:alias w:val="Numeris"/>
                          <w:tag w:val="nr_7f0bc40081a049a6976b8e8f441f69a0"/>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7f0bc40081a049a6976b8e8f441f69a0"/>
                          <w:lock w:val="sdtLocked"/>
                          <w:richText/>
                        </w:sdtPr>
                        <w:sdtContent>
                          <w:r>
                            <w:rPr>
                              <w:b/>
                              <w:bCs/>
                              <w:color w:val="000000"/>
                              <w:szCs w:val="24"/>
                              <w:lang w:eastAsia="lt-LT"/>
                            </w:rPr>
                            <w:t>Juridinio asmens, jo filialo ar atstovybės, užsienio juridinio asmens ar kitos organizacijos filialo ar atstovybės dokumentų ir registro duomenų pateikimo Juridinių asmenų registro duomenų tvarkytojui, Juridinių asmenų dalyvių informacinės sistemos tvarkytojui ir skelbimo juridinio asmens ar užsienio juridinio asmens filialo interneto svetainėje tvarkos pažeidimas</w:t>
                          </w:r>
                        </w:sdtContent>
                      </w:sdt>
                    </w:p>
                    <w:sdt>
                      <w:sdtPr>
                        <w:alias w:val="223 str. 1 d."/>
                        <w:tag w:val="part_461d7f991346497ab827e469fe0f3725"/>
                        <w:lock w:val="sdtLocked"/>
                        <w:richText/>
                      </w:sdtPr>
                      <w:sdtContent>
                        <w:p>
                          <w:pPr>
                            <w:spacing w:line="360" w:lineRule="auto"/>
                            <w:ind w:firstLine="720"/>
                            <w:jc w:val="both"/>
                            <w:rPr>
                              <w:color w:val="000000"/>
                              <w:szCs w:val="24"/>
                              <w:lang w:eastAsia="lt-LT"/>
                            </w:rPr>
                          </w:pPr>
                          <w:sdt>
                            <w:sdtPr>
                              <w:alias w:val="Numeris"/>
                              <w:tag w:val="nr_461d7f991346497ab827e469fe0f3725"/>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tvarkytojui,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7cd6fb638a1f46caaa85dd71f5ccf6ec"/>
                    <w:lock w:val="sdtLocked"/>
                    <w:richText/>
                  </w:sdtPr>
                  <w:sdtContent>
                    <w:p>
                      <w:pPr>
                        <w:widowControl w:val="0"/>
                        <w:spacing w:line="360" w:lineRule="auto"/>
                        <w:ind w:firstLine="720"/>
                        <w:jc w:val="both"/>
                        <w:rPr>
                          <w:szCs w:val="24"/>
                        </w:rPr>
                      </w:pPr>
                      <w:sdt>
                        <w:sdtPr>
                          <w:alias w:val="Numeris"/>
                          <w:tag w:val="nr_7cd6fb638a1f46caaa85dd71f5ccf6ec"/>
                          <w:lock w:val="sdtLocked"/>
                          <w:richText/>
                        </w:sdtPr>
                        <w:sdtContent>
                          <w:r>
                            <w:rPr>
                              <w:b/>
                              <w:szCs w:val="24"/>
                            </w:rPr>
                            <w:t>242</w:t>
                          </w:r>
                        </w:sdtContent>
                      </w:sdt>
                      <w:r>
                        <w:rPr>
                          <w:b/>
                          <w:szCs w:val="24"/>
                        </w:rPr>
                        <w:t xml:space="preserve"> straipsnis. </w:t>
                      </w:r>
                      <w:sdt>
                        <w:sdtPr>
                          <w:alias w:val="Pavadinimas"/>
                          <w:tag w:val="title_7cd6fb638a1f46caaa85dd71f5ccf6ec"/>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0b8a17178ebd431881a61a6916a8aa62"/>
                        <w:lock w:val="sdtLocked"/>
                        <w:richText/>
                      </w:sdtPr>
                      <w:sdtContent>
                        <w:p>
                          <w:pPr>
                            <w:spacing w:line="380" w:lineRule="atLeast"/>
                            <w:ind w:firstLine="720"/>
                            <w:jc w:val="both"/>
                            <w:textAlignment w:val="baseline"/>
                            <w:rPr>
                              <w:bCs/>
                              <w:strike/>
                              <w:szCs w:val="24"/>
                              <w:bdr w:val="none" w:sz="0" w:space="0" w:color="auto" w:frame="1"/>
                              <w:lang w:eastAsia="lt-LT"/>
                            </w:rPr>
                          </w:pPr>
                          <w:sdt>
                            <w:sdtPr>
                              <w:alias w:val="Numeris"/>
                              <w:tag w:val="nr_0b8a17178ebd431881a61a6916a8aa62"/>
                              <w:lock w:val="sdtLocked"/>
                              <w:richText/>
                            </w:sdtPr>
                            <w:sdtContent>
                              <w:r>
                                <w:rPr>
                                  <w:bCs/>
                                  <w:szCs w:val="24"/>
                                  <w:bdr w:val="none" w:sz="0" w:space="0" w:color="auto" w:frame="1"/>
                                </w:rPr>
                                <w:t>4</w:t>
                              </w:r>
                            </w:sdtContent>
                          </w:sdt>
                          <w:r>
                            <w:rPr>
                              <w:bCs/>
                              <w:szCs w:val="24"/>
                              <w:bdr w:val="none" w:sz="0" w:space="0" w:color="auto" w:frame="1"/>
                            </w:rPr>
                            <w:t xml:space="preserve">. Savivaldybės institucijų priimtų </w:t>
                          </w:r>
                          <w:r>
                            <w:rPr>
                              <w:szCs w:val="24"/>
                            </w:rPr>
                            <w:t xml:space="preserve">aplinkos apsaugos normatyvų ir (ar) savivaldybės tarybos priimtų sprendimų </w:t>
                          </w:r>
                          <w:r>
                            <w:rPr>
                              <w:bCs/>
                              <w:szCs w:val="24"/>
                              <w:bdr w:val="none" w:sz="0" w:space="0" w:color="auto" w:frame="1"/>
                              <w:lang w:eastAsia="lt-LT"/>
                            </w:rPr>
                            <w:t>savivaldybės teritorijoje apriboti arba uždrausti naudoti vienos ar daugiau rūšių kurą pažeidimas</w:t>
                          </w:r>
                        </w:p>
                        <w:p>
                          <w:pPr>
                            <w:spacing w:line="380" w:lineRule="atLeast"/>
                            <w:ind w:firstLine="720"/>
                            <w:jc w:val="both"/>
                            <w:textAlignment w:val="baseline"/>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6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5"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6"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7"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8"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9"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50"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3"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57"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58"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7"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8"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9"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32"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4" w:tgtFrame="_blank" w:history="1">
                            <w:r>
                              <w:rPr>
                                <w:color w:val="0000FF" w:themeColor="hyperlink"/>
                                <w:szCs w:val="24"/>
                                <w:u w:val="single"/>
                                <w:lang w:eastAsia="lt-LT"/>
                              </w:rPr>
                              <w:t>(ES) Nr. 1178/2011</w:t>
                            </w:r>
                          </w:hyperlink>
                          <w:r>
                            <w:rPr>
                              <w:szCs w:val="24"/>
                              <w:lang w:eastAsia="lt-LT"/>
                            </w:rPr>
                            <w:t xml:space="preserve">, Reglamente </w:t>
                          </w:r>
                          <w:hyperlink r:id="rId35" w:tgtFrame="_blank" w:history="1">
                            <w:r>
                              <w:rPr>
                                <w:color w:val="0000FF" w:themeColor="hyperlink"/>
                                <w:szCs w:val="24"/>
                                <w:u w:val="single"/>
                                <w:lang w:eastAsia="lt-LT"/>
                              </w:rPr>
                              <w:t>(ES) Nr. 1321/2014</w:t>
                            </w:r>
                          </w:hyperlink>
                          <w:r>
                            <w:rPr>
                              <w:szCs w:val="24"/>
                              <w:lang w:eastAsia="lt-LT"/>
                            </w:rPr>
                            <w:t xml:space="preserve">, Reglamente </w:t>
                          </w:r>
                          <w:hyperlink r:id="rId36" w:tgtFrame="_blank" w:history="1">
                            <w:r>
                              <w:rPr>
                                <w:color w:val="0000FF" w:themeColor="hyperlink"/>
                                <w:szCs w:val="24"/>
                                <w:u w:val="single"/>
                                <w:lang w:eastAsia="lt-LT"/>
                              </w:rPr>
                              <w:t>(ES) 2015/340</w:t>
                            </w:r>
                          </w:hyperlink>
                          <w:r>
                            <w:rPr>
                              <w:szCs w:val="24"/>
                              <w:lang w:eastAsia="lt-LT"/>
                            </w:rPr>
                            <w:t xml:space="preserve"> ir Reglamente </w:t>
                          </w:r>
                          <w:hyperlink r:id="rId37"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38"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39"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40"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41"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42"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43"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44"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1b73ec6b0ad749f5855c0bccc022cd4d"/>
                            <w:lock w:val="sdtLocked"/>
                            <w:richText/>
                          </w:sdtPr>
                          <w:sdtContent>
                            <w:p>
                              <w:pPr>
                                <w:spacing w:line="360" w:lineRule="auto"/>
                                <w:ind w:firstLine="720"/>
                                <w:jc w:val="both"/>
                                <w:rPr>
                                  <w:szCs w:val="24"/>
                                </w:rPr>
                              </w:pPr>
                              <w:sdt>
                                <w:sdtPr>
                                  <w:alias w:val="Numeris"/>
                                  <w:tag w:val="nr_1b73ec6b0ad749f5855c0bccc022cd4d"/>
                                  <w:lock w:val="sdtLocked"/>
                                  <w:richText/>
                                </w:sdtPr>
                                <w:sdtContent>
                                  <w:r>
                                    <w:t>7</w:t>
                                  </w:r>
                                </w:sdtContent>
                              </w:sdt>
                              <w:r>
                                <w:t>) Lietuvos banko – dėl šio kodekso 196 straipsnio 2 dalyje, 198, 207</w:t>
                              </w:r>
                              <w:r>
                                <w:rPr>
                                  <w:vertAlign w:val="superscript"/>
                                </w:rPr>
                                <w:t>2</w:t>
                              </w:r>
                              <w:r>
                                <w:t xml:space="preserve">, 221, 222, 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4c4388e6a754ecea5e06313c7ac5530"/>
                            <w:lock w:val="sdtLocked"/>
                            <w:richText/>
                          </w:sdtPr>
                          <w:sdtContent>
                            <w:p>
                              <w:pPr>
                                <w:spacing w:line="360" w:lineRule="auto"/>
                                <w:ind w:firstLine="720"/>
                                <w:jc w:val="both"/>
                                <w:rPr>
                                  <w:szCs w:val="24"/>
                                </w:rPr>
                              </w:pPr>
                              <w:sdt>
                                <w:sdtPr>
                                  <w:alias w:val="Numeris"/>
                                  <w:tag w:val="nr_64c4388e6a754ecea5e06313c7ac5530"/>
                                  <w:lock w:val="sdtLocked"/>
                                  <w:richText/>
                                </w:sdtPr>
                                <w:sdtContent>
                                  <w:r>
                                    <w:rPr>
                                      <w:color w:val="000000"/>
                                      <w:szCs w:val="24"/>
                                      <w:lang w:eastAsia="lt-LT"/>
                                    </w:rPr>
                                    <w:t>30</w:t>
                                  </w:r>
                                </w:sdtContent>
                              </w:sdt>
                              <w:r>
                                <w:rPr>
                                  <w:color w:val="000000"/>
                                  <w:szCs w:val="24"/>
                                  <w:lang w:eastAsia="lt-LT"/>
                                </w:rPr>
                                <w:t xml:space="preserve">) </w:t>
                              </w:r>
                              <w:r>
                                <w:rPr>
                                  <w:color w:val="000000"/>
                                  <w:szCs w:val="24"/>
                                </w:rPr>
                                <w:t>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291 straipsnio 6 dalyje, 299 straipsnio 2, 3, 4 dalyse, 304</w:t>
                              </w:r>
                              <w:r>
                                <w:rPr>
                                  <w:color w:val="000000"/>
                                  <w:szCs w:val="24"/>
                                  <w:vertAlign w:val="superscript"/>
                                </w:rPr>
                                <w:t>1</w:t>
                              </w:r>
                              <w:r>
                                <w:rPr>
                                  <w:color w:val="000000"/>
                                  <w:szCs w:val="24"/>
                                </w:rPr>
                                <w:t xml:space="preserve"> straipsnyje, 304</w:t>
                              </w:r>
                              <w:r>
                                <w:rPr>
                                  <w:color w:val="000000"/>
                                  <w:szCs w:val="24"/>
                                  <w:vertAlign w:val="superscript"/>
                                </w:rPr>
                                <w:t>2</w:t>
                              </w:r>
                              <w:r>
                                <w:rPr>
                                  <w:color w:val="000000"/>
                                  <w:szCs w:val="24"/>
                                </w:rPr>
                                <w:t>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sdtContent>
                        </w:sdt>
                        <w:sdt>
                          <w:sdtPr>
                            <w:alias w:val="589 str. 1 d. 31 p."/>
                            <w:tag w:val="part_9b620975240d4adfb7bb90017cdaa58e"/>
                            <w:lock w:val="sdtLocked"/>
                            <w:richText/>
                          </w:sdtPr>
                          <w:sdtContent>
                            <w:p>
                              <w:pPr>
                                <w:spacing w:line="360" w:lineRule="auto"/>
                                <w:ind w:firstLine="720"/>
                                <w:jc w:val="both"/>
                                <w:rPr>
                                  <w:szCs w:val="24"/>
                                </w:rPr>
                              </w:pPr>
                              <w:sdt>
                                <w:sdtPr>
                                  <w:alias w:val="Numeris"/>
                                  <w:tag w:val="nr_9b620975240d4adfb7bb90017cdaa58e"/>
                                  <w:lock w:val="sdtLocked"/>
                                  <w:richText/>
                                </w:sdtPr>
                                <w:sdtContent>
                                  <w:r>
                                    <w:rPr>
                                      <w:szCs w:val="24"/>
                                      <w:lang w:eastAsia="lt-LT"/>
                                    </w:rPr>
                                    <w:t>31</w:t>
                                  </w:r>
                                </w:sdtContent>
                              </w:sdt>
                              <w:r>
                                <w:rPr>
                                  <w:szCs w:val="24"/>
                                  <w:lang w:eastAsia="lt-LT"/>
                                </w:rPr>
                                <w:t xml:space="preserve">) aplinkos apsaugos valstybinės kontrolės pareigūnai – dėl šio kodekso 48 straipsnio 1, 2 dalyse, 92 straipsnio 1 dalyje, 114 </w:t>
                              </w:r>
                              <w:r>
                                <w:rPr>
                                  <w:bCs/>
                                  <w:szCs w:val="24"/>
                                  <w:lang w:eastAsia="lt-LT"/>
                                </w:rPr>
                                <w:t>straipsnyje</w:t>
                              </w:r>
                              <w:r>
                                <w:rPr>
                                  <w:szCs w:val="24"/>
                                  <w:lang w:eastAsia="lt-LT"/>
                                </w:rPr>
                                <w:t>, 144 straipsnio 1, 4, 5 dalyse, 235, 236, 236</w:t>
                              </w:r>
                              <w:r>
                                <w:rPr>
                                  <w:szCs w:val="24"/>
                                  <w:vertAlign w:val="superscript"/>
                                  <w:lang w:eastAsia="lt-LT"/>
                                </w:rPr>
                                <w:t>1</w:t>
                              </w:r>
                              <w:r>
                                <w:rPr>
                                  <w:szCs w:val="24"/>
                                  <w:lang w:eastAsia="lt-LT"/>
                                </w:rPr>
                                <w:t>, 237, 238, 239, 241, 242, 243, 243</w:t>
                              </w:r>
                              <w:r>
                                <w:rPr>
                                  <w:szCs w:val="24"/>
                                  <w:vertAlign w:val="superscript"/>
                                  <w:lang w:eastAsia="lt-LT"/>
                                </w:rPr>
                                <w:t>1</w:t>
                              </w:r>
                              <w:r>
                                <w:rPr>
                                  <w:szCs w:val="24"/>
                                  <w:lang w:eastAsia="lt-LT"/>
                                </w:rPr>
                                <w:t xml:space="preserve">, 244, 246, 247 </w:t>
                              </w:r>
                              <w:r>
                                <w:rPr>
                                  <w:bCs/>
                                  <w:szCs w:val="24"/>
                                  <w:lang w:eastAsia="lt-LT"/>
                                </w:rPr>
                                <w:t>straipsniuose</w:t>
                              </w:r>
                              <w:r>
                                <w:rPr>
                                  <w:szCs w:val="24"/>
                                  <w:lang w:eastAsia="lt-LT"/>
                                </w:rPr>
                                <w:t>, 247</w:t>
                              </w:r>
                              <w:r>
                                <w:rPr>
                                  <w:szCs w:val="24"/>
                                  <w:vertAlign w:val="superscript"/>
                                  <w:lang w:eastAsia="lt-LT"/>
                                </w:rPr>
                                <w:t>1</w:t>
                              </w:r>
                              <w:r>
                                <w:rPr>
                                  <w:szCs w:val="24"/>
                                  <w:lang w:eastAsia="lt-LT"/>
                                </w:rPr>
                                <w:t xml:space="preserve"> straipsnio 3, 4 dalyse, 248, 248</w:t>
                              </w:r>
                              <w:r>
                                <w:rPr>
                                  <w:szCs w:val="24"/>
                                  <w:vertAlign w:val="superscript"/>
                                  <w:lang w:eastAsia="lt-LT"/>
                                </w:rPr>
                                <w:t>1</w:t>
                              </w:r>
                              <w:r>
                                <w:rPr>
                                  <w:szCs w:val="24"/>
                                  <w:lang w:eastAsia="lt-LT"/>
                                </w:rPr>
                                <w:t>, 248</w:t>
                              </w:r>
                              <w:r>
                                <w:rPr>
                                  <w:szCs w:val="24"/>
                                  <w:vertAlign w:val="superscript"/>
                                  <w:lang w:eastAsia="lt-LT"/>
                                </w:rPr>
                                <w:t>2</w:t>
                              </w:r>
                              <w:r>
                                <w:rPr>
                                  <w:szCs w:val="24"/>
                                  <w:lang w:eastAsia="lt-LT"/>
                                </w:rPr>
                                <w:t>, 248</w:t>
                              </w:r>
                              <w:r>
                                <w:rPr>
                                  <w:szCs w:val="24"/>
                                  <w:vertAlign w:val="superscript"/>
                                  <w:lang w:eastAsia="lt-LT"/>
                                </w:rPr>
                                <w:t>3</w:t>
                              </w:r>
                              <w:r>
                                <w:rPr>
                                  <w:szCs w:val="24"/>
                                  <w:lang w:eastAsia="lt-LT"/>
                                </w:rPr>
                                <w:t>, 249, 250, 251, 251</w:t>
                              </w:r>
                              <w:r>
                                <w:rPr>
                                  <w:szCs w:val="24"/>
                                  <w:vertAlign w:val="superscript"/>
                                  <w:lang w:eastAsia="lt-LT"/>
                                </w:rPr>
                                <w:t>1</w:t>
                              </w:r>
                              <w:r>
                                <w:rPr>
                                  <w:szCs w:val="24"/>
                                  <w:lang w:eastAsia="lt-LT"/>
                                </w:rPr>
                                <w:t>, 252, 253, 255, 255</w:t>
                              </w:r>
                              <w:r>
                                <w:rPr>
                                  <w:szCs w:val="24"/>
                                  <w:vertAlign w:val="superscript"/>
                                  <w:lang w:eastAsia="lt-LT"/>
                                </w:rPr>
                                <w:t>1</w:t>
                              </w:r>
                              <w:r>
                                <w:rPr>
                                  <w:szCs w:val="24"/>
                                  <w:lang w:eastAsia="lt-LT"/>
                                </w:rPr>
                                <w:t>, 256, 257, 258, 259, 260, 262, 264, 265, 266, 267, 268, 269, 270, 270</w:t>
                              </w:r>
                              <w:r>
                                <w:rPr>
                                  <w:szCs w:val="24"/>
                                  <w:vertAlign w:val="superscript"/>
                                  <w:lang w:eastAsia="lt-LT"/>
                                </w:rPr>
                                <w:t>1</w:t>
                              </w:r>
                              <w:r>
                                <w:rPr>
                                  <w:szCs w:val="24"/>
                                  <w:lang w:eastAsia="lt-LT"/>
                                </w:rPr>
                                <w:t xml:space="preserve"> straipsniuose, 271 straipsnio 1, 2, 3, 4, 6, 7, 8 dalyse, 272, 273, 274, 275, 276, 277, 278, 279, 280 straipsniuose, 281 straipsnio 1, 2, 3, 4, 5, 6</w:t>
                              </w:r>
                              <w:r>
                                <w:rPr>
                                  <w:szCs w:val="24"/>
                                  <w:vertAlign w:val="superscript"/>
                                  <w:lang w:eastAsia="lt-LT"/>
                                </w:rPr>
                                <w:t>1</w:t>
                              </w:r>
                              <w:r>
                                <w:rPr>
                                  <w:szCs w:val="24"/>
                                  <w:lang w:eastAsia="lt-LT"/>
                                </w:rPr>
                                <w:t>, 7, 8, 9 dalyse, 282, 283, 284, 285, 286, 287, 288, 289, 290, 291, 292, 293 straipsniuose, 294 straipsnio 2 dalyje, 295 straipsnio 1, 2 dalyse, 296 straipsnio 2 dalyje, 299 straipsnio 3 dalyje, 303, 304</w:t>
                              </w:r>
                              <w:r>
                                <w:rPr>
                                  <w:szCs w:val="24"/>
                                  <w:vertAlign w:val="superscript"/>
                                  <w:lang w:eastAsia="lt-LT"/>
                                </w:rPr>
                                <w:t>1</w:t>
                              </w:r>
                              <w:r>
                                <w:rPr>
                                  <w:szCs w:val="24"/>
                                  <w:lang w:eastAsia="lt-LT"/>
                                </w:rPr>
                                <w:t>, 304</w:t>
                              </w:r>
                              <w:r>
                                <w:rPr>
                                  <w:szCs w:val="24"/>
                                  <w:vertAlign w:val="superscript"/>
                                  <w:lang w:eastAsia="lt-LT"/>
                                </w:rPr>
                                <w:t>2</w:t>
                              </w:r>
                              <w:r>
                                <w:rPr>
                                  <w:szCs w:val="24"/>
                                  <w:lang w:eastAsia="lt-LT"/>
                                </w:rPr>
                                <w:t>, 305, 307, 308, 308</w:t>
                              </w:r>
                              <w:r>
                                <w:rPr>
                                  <w:szCs w:val="24"/>
                                  <w:vertAlign w:val="superscript"/>
                                  <w:lang w:eastAsia="lt-LT"/>
                                </w:rPr>
                                <w:t>1</w:t>
                              </w:r>
                              <w:r>
                                <w:rPr>
                                  <w:szCs w:val="24"/>
                                  <w:lang w:eastAsia="lt-LT"/>
                                </w:rPr>
                                <w:t>, 309, 310, 311, 312, 313, 315, 316, 317, 318 straipsniuose, 346 straipsnio 1, 2, 3, 4, 5, 5</w:t>
                              </w:r>
                              <w:r>
                                <w:rPr>
                                  <w:szCs w:val="24"/>
                                  <w:vertAlign w:val="superscript"/>
                                  <w:lang w:eastAsia="lt-LT"/>
                                </w:rPr>
                                <w:t>1</w:t>
                              </w:r>
                              <w:r>
                                <w:rPr>
                                  <w:szCs w:val="24"/>
                                  <w:lang w:eastAsia="lt-LT"/>
                                </w:rPr>
                                <w:t>, 5</w:t>
                              </w:r>
                              <w:r>
                                <w:rPr>
                                  <w:szCs w:val="24"/>
                                  <w:vertAlign w:val="superscript"/>
                                  <w:lang w:eastAsia="lt-LT"/>
                                </w:rPr>
                                <w:t>2</w:t>
                              </w:r>
                              <w:r>
                                <w:rPr>
                                  <w:szCs w:val="24"/>
                                  <w:lang w:eastAsia="lt-LT"/>
                                </w:rPr>
                                <w:t>, 16, 17, 18, 19 dalyse, 364 straipsnyje, 369 straipsnio 13, 14, 17, 18, 19, 20, 21, 22 dalyse, 426 straipsnio 4 dalyje, 431 straipsnio 1, 2, 3, 4 dalyse, 491,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d5f2dd2ee05141e4b825a89f71a3f2e3"/>
                            <w:lock w:val="sdtLocked"/>
                            <w:richText/>
                          </w:sdtPr>
                          <w:sdtContent>
                            <w:p>
                              <w:pPr>
                                <w:widowControl w:val="0"/>
                                <w:tabs>
                                  <w:tab w:val="left" w:pos="1134"/>
                                </w:tabs>
                                <w:spacing w:line="400" w:lineRule="atLeast"/>
                                <w:ind w:firstLine="720"/>
                                <w:jc w:val="both"/>
                              </w:pPr>
                              <w:sdt>
                                <w:sdtPr>
                                  <w:alias w:val="Numeris"/>
                                  <w:tag w:val="nr_d5f2dd2ee05141e4b825a89f71a3f2e3"/>
                                  <w:lock w:val="sdtLocked"/>
                                  <w:richText/>
                                </w:sdtPr>
                                <w:sdtContent>
                                  <w:r>
                                    <w:rPr>
                                      <w:bCs/>
                                      <w:szCs w:val="24"/>
                                      <w:lang w:eastAsia="lt-LT"/>
                                    </w:rPr>
                                    <w:t>82</w:t>
                                  </w:r>
                                </w:sdtContent>
                              </w:sdt>
                              <w:r>
                                <w:rPr>
                                  <w:bCs/>
                                  <w:szCs w:val="24"/>
                                  <w:lang w:eastAsia="lt-LT"/>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bCs/>
                                  <w:szCs w:val="24"/>
                                  <w:vertAlign w:val="superscript"/>
                                  <w:lang w:eastAsia="lt-LT"/>
                                </w:rPr>
                                <w:t>1</w:t>
                              </w:r>
                              <w:r>
                                <w:rPr>
                                  <w:bCs/>
                                  <w:szCs w:val="24"/>
                                  <w:lang w:eastAsia="lt-LT"/>
                                </w:rPr>
                                <w:t> dalyse, 418, 419</w:t>
                              </w:r>
                              <w:r>
                                <w:rPr>
                                  <w:szCs w:val="24"/>
                                  <w:lang w:eastAsia="lt-LT"/>
                                </w:rPr>
                                <w:t>, 419</w:t>
                              </w:r>
                              <w:r>
                                <w:rPr>
                                  <w:szCs w:val="24"/>
                                  <w:vertAlign w:val="superscript"/>
                                  <w:lang w:eastAsia="lt-LT"/>
                                </w:rPr>
                                <w:t>1</w:t>
                              </w:r>
                              <w:r>
                                <w:rPr>
                                  <w:bCs/>
                                  <w:szCs w:val="24"/>
                                  <w:lang w:eastAsia="lt-LT"/>
                                </w:rPr>
                                <w:t xml:space="preserve"> straipsniuose, 426 straipsnio 4 dalyje, 431 straipsnyje, 434 straipsnio 2 dalyje, 439, 446, 447 straipsniuose, 448 straipsnio 1, 2, 3, 4, 5, 6, 7, 8 dalyse, 449, 449</w:t>
                              </w:r>
                              <w:r>
                                <w:rPr>
                                  <w:bCs/>
                                  <w:szCs w:val="24"/>
                                  <w:vertAlign w:val="superscript"/>
                                  <w:lang w:eastAsia="lt-LT"/>
                                </w:rPr>
                                <w:t>1</w:t>
                              </w:r>
                              <w:r>
                                <w:rPr>
                                  <w:bCs/>
                                  <w:szCs w:val="24"/>
                                  <w:lang w:eastAsia="lt-LT"/>
                                </w:rPr>
                                <w:t>, 457, 459, 484, 484</w:t>
                              </w:r>
                              <w:r>
                                <w:rPr>
                                  <w:bCs/>
                                  <w:szCs w:val="24"/>
                                  <w:vertAlign w:val="superscript"/>
                                  <w:lang w:eastAsia="lt-LT"/>
                                </w:rPr>
                                <w:t>1</w:t>
                              </w:r>
                              <w:r>
                                <w:rPr>
                                  <w:bCs/>
                                  <w:szCs w:val="24"/>
                                  <w:lang w:eastAsia="lt-LT"/>
                                </w:rPr>
                                <w:t>, 485, 488, 491, 492, 497, 498, 499, 500, 501, 502, 503, 505, 505</w:t>
                              </w:r>
                              <w:r>
                                <w:rPr>
                                  <w:bCs/>
                                  <w:szCs w:val="24"/>
                                  <w:vertAlign w:val="superscript"/>
                                  <w:lang w:eastAsia="lt-LT"/>
                                </w:rPr>
                                <w:t>1</w:t>
                              </w:r>
                              <w:r>
                                <w:rPr>
                                  <w:bCs/>
                                  <w:szCs w:val="24"/>
                                  <w:lang w:eastAsia="lt-LT"/>
                                </w:rPr>
                                <w:t>, 507, 507</w:t>
                              </w:r>
                              <w:r>
                                <w:rPr>
                                  <w:bCs/>
                                  <w:szCs w:val="24"/>
                                  <w:vertAlign w:val="superscript"/>
                                  <w:lang w:eastAsia="lt-LT"/>
                                </w:rPr>
                                <w:t>1</w:t>
                              </w:r>
                              <w:r>
                                <w:rPr>
                                  <w:bCs/>
                                  <w:szCs w:val="24"/>
                                  <w:lang w:eastAsia="lt-LT"/>
                                </w:rPr>
                                <w:t>, 516, 517</w:t>
                              </w:r>
                              <w:r>
                                <w:rPr>
                                  <w:bCs/>
                                  <w:szCs w:val="24"/>
                                  <w:vertAlign w:val="superscript"/>
                                  <w:lang w:eastAsia="lt-LT"/>
                                </w:rPr>
                                <w:t>1</w:t>
                              </w:r>
                              <w:r>
                                <w:rPr>
                                  <w:bCs/>
                                  <w:szCs w:val="24"/>
                                  <w:lang w:eastAsia="lt-LT"/>
                                </w:rPr>
                                <w:t>, 517</w:t>
                              </w:r>
                              <w:r>
                                <w:rPr>
                                  <w:bCs/>
                                  <w:szCs w:val="24"/>
                                  <w:vertAlign w:val="superscript"/>
                                  <w:lang w:eastAsia="lt-LT"/>
                                </w:rPr>
                                <w:t>2</w:t>
                              </w:r>
                              <w:r>
                                <w:rPr>
                                  <w:bCs/>
                                  <w:szCs w:val="24"/>
                                  <w:lang w:eastAsia="lt-LT"/>
                                </w:rPr>
                                <w:t>, 517</w:t>
                              </w:r>
                              <w:r>
                                <w:rPr>
                                  <w:bCs/>
                                  <w:szCs w:val="24"/>
                                  <w:vertAlign w:val="superscript"/>
                                  <w:lang w:eastAsia="lt-LT"/>
                                </w:rPr>
                                <w:t>3</w:t>
                              </w:r>
                              <w:r>
                                <w:rPr>
                                  <w:bCs/>
                                  <w:szCs w:val="24"/>
                                  <w:lang w:eastAsia="lt-LT"/>
                                </w:rPr>
                                <w:t>, 517</w:t>
                              </w:r>
                              <w:r>
                                <w:rPr>
                                  <w:bCs/>
                                  <w:szCs w:val="24"/>
                                  <w:vertAlign w:val="superscript"/>
                                  <w:lang w:eastAsia="lt-LT"/>
                                </w:rPr>
                                <w:t>4</w:t>
                              </w:r>
                              <w:r>
                                <w:rPr>
                                  <w:bCs/>
                                  <w:szCs w:val="24"/>
                                  <w:lang w:eastAsia="lt-LT"/>
                                </w:rPr>
                                <w:t>, 518, 519, 526, 526</w:t>
                              </w:r>
                              <w:r>
                                <w:rPr>
                                  <w:bCs/>
                                  <w:szCs w:val="24"/>
                                  <w:vertAlign w:val="superscript"/>
                                  <w:lang w:eastAsia="lt-LT"/>
                                </w:rPr>
                                <w:t>1</w:t>
                              </w:r>
                              <w:r>
                                <w:rPr>
                                  <w:bCs/>
                                  <w:szCs w:val="24"/>
                                  <w:lang w:eastAsia="lt-LT"/>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51"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24"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25" w:tgtFrame="_blank" w:history="1">
                <w:r>
                  <w:rPr>
                    <w:color w:val="0000FF" w:themeColor="hyperlink"/>
                    <w:szCs w:val="24"/>
                    <w:u w:val="single"/>
                  </w:rPr>
                  <w:t>77/799/EEB</w:t>
                </w:r>
              </w:hyperlink>
              <w:r>
                <w:rPr>
                  <w:szCs w:val="24"/>
                </w:rPr>
                <w:t xml:space="preserve"> su paskutiniais pakeitimais, padarytais 2023 m. spalio 17 d. Tarybos direktyva </w:t>
              </w:r>
              <w:hyperlink r:id="rId26"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59"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d40c4e3f55004c0b9512a734b5844580"/>
            <w:lock w:val="sdtLocked"/>
            <w:richText/>
          </w:sdtPr>
          <w:sdtContent>
            <w:p>
              <w:pPr>
                <w:spacing w:line="360" w:lineRule="auto"/>
                <w:ind w:firstLine="720"/>
                <w:jc w:val="both"/>
              </w:pPr>
              <w:sdt>
                <w:sdtPr>
                  <w:alias w:val="Numeris"/>
                  <w:tag w:val="nr_d40c4e3f55004c0b9512a734b5844580"/>
                  <w:lock w:val="sdtLocked"/>
                  <w:richText/>
                </w:sdtPr>
                <w:sdtContent>
                  <w:r>
                    <w:rPr>
                      <w:bCs/>
                      <w:szCs w:val="24"/>
                    </w:rPr>
                    <w:t>118</w:t>
                  </w:r>
                  <w:r>
                    <w:rPr>
                      <w:bCs/>
                      <w:szCs w:val="24"/>
                      <w:vertAlign w:val="superscript"/>
                    </w:rPr>
                    <w:t>1</w:t>
                  </w:r>
                </w:sdtContent>
              </w:sdt>
              <w:r>
                <w:rPr>
                  <w:bCs/>
                  <w:szCs w:val="24"/>
                </w:rPr>
                <w:t>.</w:t>
              </w:r>
              <w:r>
                <w:rPr>
                  <w:szCs w:val="24"/>
                </w:rPr>
                <w:t xml:space="preserve"> </w:t>
              </w:r>
              <w:r>
                <w:rPr>
                  <w:bCs/>
                  <w:szCs w:val="24"/>
                </w:rPr>
                <w:t xml:space="preserve">2023 m. liepos 12 d. Europos Parlamento ir Tarybos reglamentas </w:t>
              </w:r>
              <w:hyperlink r:id="rId60"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61" w:tgtFrame="_blank" w:history="1">
                <w:r>
                  <w:rPr>
                    <w:bCs/>
                    <w:color w:val="0000FF" w:themeColor="hyperlink"/>
                    <w:szCs w:val="24"/>
                    <w:u w:val="single"/>
                  </w:rPr>
                  <w:t>2008/98/EB</w:t>
                </w:r>
              </w:hyperlink>
              <w:r>
                <w:rPr>
                  <w:bCs/>
                  <w:szCs w:val="24"/>
                </w:rPr>
                <w:t xml:space="preserve"> bei Reglamentas </w:t>
              </w:r>
              <w:hyperlink r:id="rId62" w:tgtFrame="_blank" w:history="1">
                <w:r>
                  <w:rPr>
                    <w:bCs/>
                    <w:color w:val="0000FF" w:themeColor="hyperlink"/>
                    <w:szCs w:val="24"/>
                    <w:u w:val="single"/>
                  </w:rPr>
                  <w:t>(ES) 2019/1020</w:t>
                </w:r>
              </w:hyperlink>
              <w:r>
                <w:rPr>
                  <w:bCs/>
                  <w:szCs w:val="24"/>
                </w:rPr>
                <w:t xml:space="preserve"> ir panaikinama Direktyva </w:t>
              </w:r>
              <w:hyperlink r:id="rId63"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52"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53" w:tgtFrame="_blank" w:history="1">
                <w:r>
                  <w:rPr>
                    <w:bCs/>
                    <w:color w:val="0000FF" w:themeColor="hyperlink"/>
                    <w:szCs w:val="24"/>
                    <w:u w:val="single"/>
                  </w:rPr>
                  <w:t>(ES) 2019/1937</w:t>
                </w:r>
              </w:hyperlink>
              <w:r>
                <w:rPr>
                  <w:bCs/>
                  <w:szCs w:val="24"/>
                </w:rPr>
                <w:t xml:space="preserve"> ir panaikinamas Reglamentas </w:t>
              </w:r>
              <w:hyperlink r:id="rId54"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55"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56"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24EB1F8"/>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74.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1132.xml"/>
  <Relationship Id="rId18" Type="http://schemas.openxmlformats.org/officeDocument/2006/relationships/header" Target="header1133.xml"/>
  <Relationship Id="rId19" Type="http://schemas.openxmlformats.org/officeDocument/2006/relationships/footer" Target="footer1132.xml"/>
  <Relationship Id="rId2" Type="http://schemas.openxmlformats.org/officeDocument/2006/relationships/header" Target="header575.xml"/>
  <Relationship Id="rId20" Type="http://schemas.openxmlformats.org/officeDocument/2006/relationships/footer" Target="footer1133.xml"/>
  <Relationship Id="rId21" Type="http://schemas.openxmlformats.org/officeDocument/2006/relationships/header" Target="header1134.xml"/>
  <Relationship Id="rId22" Type="http://schemas.openxmlformats.org/officeDocument/2006/relationships/footer" Target="footer1134.xml"/>
  <Relationship Id="rId23" Type="http://schemas.openxmlformats.org/officeDocument/2006/relationships/hyperlink" TargetMode="External" Target="http://eur-lex.europa.eu/legal-content/LIT/TXT/?uri=CELEX:32021R0782&amp;locale=lt"/>
  <Relationship Id="rId24" Type="http://schemas.openxmlformats.org/officeDocument/2006/relationships/hyperlink" TargetMode="External" Target="http://eur-lex.europa.eu/legal-content/LIT/TXT/?uri=CELEX:32011L0016&amp;locale=lt"/>
  <Relationship Id="rId25" Type="http://schemas.openxmlformats.org/officeDocument/2006/relationships/hyperlink" TargetMode="External" Target="http://eur-lex.europa.eu/legal-content/LIT/TXT/?uri=CELEX:31977L0799&amp;locale=lt"/>
  <Relationship Id="rId26" Type="http://schemas.openxmlformats.org/officeDocument/2006/relationships/hyperlink" TargetMode="External" Target="http://eur-lex.europa.eu/legal-content/LIT/TXT/?uri=CELEX:32023L2226&amp;locale=lt"/>
  <Relationship Id="rId27" Type="http://schemas.openxmlformats.org/officeDocument/2006/relationships/hyperlink" TargetMode="External" Target="http://eur-lex.europa.eu/legal-content/LIT/TXT/?uri=CELEX:32012R0965&amp;locale=lt"/>
  <Relationship Id="rId28" Type="http://schemas.openxmlformats.org/officeDocument/2006/relationships/hyperlink" TargetMode="External" Target="http://eur-lex.europa.eu/legal-content/LIT/TXT/?uri=CELEX:3947R2019&amp;locale=lt"/>
  <Relationship Id="rId29" Type="http://schemas.openxmlformats.org/officeDocument/2006/relationships/hyperlink" TargetMode="External" Target="http://eur-lex.europa.eu/legal-content/LIT/TXT/?uri=CELEX:3947R2019&amp;locale=lt"/>
  <Relationship Id="rId3" Type="http://schemas.openxmlformats.org/officeDocument/2006/relationships/footer" Target="footer574.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1R1178&amp;locale=lt"/>
  <Relationship Id="rId35" Type="http://schemas.openxmlformats.org/officeDocument/2006/relationships/hyperlink" TargetMode="External" Target="http://eur-lex.europa.eu/legal-content/LIT/TXT/?uri=CELEX:32014R1321&amp;locale=lt"/>
  <Relationship Id="rId36" Type="http://schemas.openxmlformats.org/officeDocument/2006/relationships/hyperlink" TargetMode="External" Target="http://eur-lex.europa.eu/legal-content/LIT/TXT/?uri=CELEX:3340R2015&amp;locale=lt"/>
  <Relationship Id="rId37" Type="http://schemas.openxmlformats.org/officeDocument/2006/relationships/hyperlink" TargetMode="External" Target="http://eur-lex.europa.eu/legal-content/LIT/TXT/?uri=CELEX:31139R2018&amp;locale=lt"/>
  <Relationship Id="rId38" Type="http://schemas.openxmlformats.org/officeDocument/2006/relationships/hyperlink" TargetMode="External" Target="http://eur-lex.europa.eu/legal-content/LIT/TXT/?uri=CELEX:32012R0923&amp;locale=lt"/>
  <Relationship Id="rId39" Type="http://schemas.openxmlformats.org/officeDocument/2006/relationships/hyperlink" TargetMode="External" Target="http://eur-lex.europa.eu/legal-content/LIT/TXT/?uri=CELEX:32011R1035&amp;locale=lt"/>
  <Relationship Id="rId4" Type="http://schemas.openxmlformats.org/officeDocument/2006/relationships/footer" Target="footer575.xml"/>
  <Relationship Id="rId40" Type="http://schemas.openxmlformats.org/officeDocument/2006/relationships/hyperlink" TargetMode="External" Target="http://eur-lex.europa.eu/legal-content/LIT/TXT/?uri=CELEX:32007R1265&amp;locale=lt"/>
  <Relationship Id="rId41" Type="http://schemas.openxmlformats.org/officeDocument/2006/relationships/hyperlink" TargetMode="External" Target="http://eur-lex.europa.eu/legal-content/LIT/TXT/?uri=CELEX:32006R1794&amp;locale=lt"/>
  <Relationship Id="rId42" Type="http://schemas.openxmlformats.org/officeDocument/2006/relationships/hyperlink" TargetMode="External" Target="http://eur-lex.europa.eu/legal-content/LIT/TXT/?uri=CELEX:32006R0730&amp;locale=lt"/>
  <Relationship Id="rId43" Type="http://schemas.openxmlformats.org/officeDocument/2006/relationships/hyperlink" TargetMode="External" Target="http://eur-lex.europa.eu/legal-content/LIT/TXT/?uri=CELEX:32006R1033&amp;locale=lt"/>
  <Relationship Id="rId44" Type="http://schemas.openxmlformats.org/officeDocument/2006/relationships/hyperlink" TargetMode="External" Target="http://eur-lex.europa.eu/legal-content/LIT/TXT/?uri=CELEX:32010R0255&amp;locale=lt"/>
  <Relationship Id="rId45" Type="http://schemas.openxmlformats.org/officeDocument/2006/relationships/hyperlink" TargetMode="External" Target="http://eur-lex.europa.eu/legal-content/LIT/TXT/?uri=CELEX:31997R0338&amp;locale=lt"/>
  <Relationship Id="rId46" Type="http://schemas.openxmlformats.org/officeDocument/2006/relationships/hyperlink" TargetMode="External" Target="http://eur-lex.europa.eu/legal-content/LIT/TXT/?uri=CELEX:31997R0338&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3143R2014&amp;locale=lt"/>
  <Relationship Id="rId49" Type="http://schemas.openxmlformats.org/officeDocument/2006/relationships/hyperlink" TargetMode="External" Target="http://eur-lex.europa.eu/legal-content/LIT/TXT/?uri=CELEX:33143R2014&amp;locale=lt"/>
  <Relationship Id="rId5" Type="http://schemas.openxmlformats.org/officeDocument/2006/relationships/header" Target="header576.xml"/>
  <Relationship Id="rId50" Type="http://schemas.openxmlformats.org/officeDocument/2006/relationships/hyperlink" TargetMode="External" Target="http://eur-lex.europa.eu/legal-content/LIT/TXT/?uri=CELEX:33143R2014&amp;locale=lt"/>
  <Relationship Id="rId51" Type="http://schemas.openxmlformats.org/officeDocument/2006/relationships/hyperlink" TargetMode="External" Target="http://eur-lex.europa.eu/legal-content/LIT/TXT/?uri=CELEX:31997R0338&amp;locale=lt"/>
  <Relationship Id="rId52" Type="http://schemas.openxmlformats.org/officeDocument/2006/relationships/hyperlink" TargetMode="External" Target="http://eur-lex.europa.eu/legal-content/LIT/TXT/?uri=CELEX:32024R0573&amp;locale=lt"/>
  <Relationship Id="rId53" Type="http://schemas.openxmlformats.org/officeDocument/2006/relationships/hyperlink" TargetMode="External" Target="http://eur-lex.europa.eu/legal-content/LIT/TXT/?uri=CELEX:32019L1937&amp;locale=lt"/>
  <Relationship Id="rId54" Type="http://schemas.openxmlformats.org/officeDocument/2006/relationships/hyperlink" TargetMode="External" Target="http://eur-lex.europa.eu/legal-content/LIT/TXT/?uri=CELEX:32014R0517&amp;locale=lt"/>
  <Relationship Id="rId55" Type="http://schemas.openxmlformats.org/officeDocument/2006/relationships/hyperlink" TargetMode="External" Target="http://eur-lex.europa.eu/legal-content/LIT/TXT/?uri=CELEX:32024L1226&amp;locale=lt"/>
  <Relationship Id="rId56" Type="http://schemas.openxmlformats.org/officeDocument/2006/relationships/hyperlink" TargetMode="External" Target="http://eur-lex.europa.eu/legal-content/LIT/TXT/?uri=CELEX:32018L1673&amp;locale=lt"/>
  <Relationship Id="rId57" Type="http://schemas.openxmlformats.org/officeDocument/2006/relationships/hyperlink" TargetMode="External" Target="http://eur-lex.europa.eu/legal-content/LIT/TXT/?uri=CELEX:32021R0782&amp;locale=lt"/>
  <Relationship Id="rId58" Type="http://schemas.openxmlformats.org/officeDocument/2006/relationships/hyperlink" TargetMode="External" Target="http://eur-lex.europa.eu/legal-content/LIT/TXT/?uri=CELEX:32021R0782&amp;locale=lt"/>
  <Relationship Id="rId59" Type="http://schemas.openxmlformats.org/officeDocument/2006/relationships/hyperlink" TargetMode="External" Target="http://eur-lex.europa.eu/legal-content/LIT/TXT/?uri=CELEX:32021R0782&amp;locale=lt"/>
  <Relationship Id="rId6" Type="http://schemas.openxmlformats.org/officeDocument/2006/relationships/footer" Target="footer576.xml"/>
  <Relationship Id="rId60" Type="http://schemas.openxmlformats.org/officeDocument/2006/relationships/hyperlink" TargetMode="External" Target="http://eur-lex.europa.eu/legal-content/LIT/TXT/?uri=CELEX:32023R1542&amp;locale=lt"/>
  <Relationship Id="rId61" Type="http://schemas.openxmlformats.org/officeDocument/2006/relationships/hyperlink" TargetMode="External" Target="http://eur-lex.europa.eu/legal-content/LIT/TXT/?uri=CELEX:32008L0098&amp;locale=lt"/>
  <Relationship Id="rId62" Type="http://schemas.openxmlformats.org/officeDocument/2006/relationships/hyperlink" TargetMode="External" Target="http://eur-lex.europa.eu/legal-content/LIT/TXT/?uri=CELEX:32019R1020&amp;locale=lt"/>
  <Relationship Id="rId63" Type="http://schemas.openxmlformats.org/officeDocument/2006/relationships/hyperlink" TargetMode="External" Target="http://eur-lex.europa.eu/legal-content/LIT/TXT/?uri=CELEX:32006L0066&amp;locale=lt"/>
  <Relationship Id="rId64" Type="http://schemas.openxmlformats.org/officeDocument/2006/relationships/customXml" Target="../customXml/item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7e95e8f0381146f2a00718694afab595">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9189b184924547d19e79fb3dcec14a99"/>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2bb955a0b7d42bdb3ca5433c15d26e2">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436964c1a55745e5801555ce94e0716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7f0bc40081a049a6976b8e8f441f69a0">
          <Part Type="strDalis" Nr="1" Abbr="223 str. 1 d." DocPartId="83919f73cadc4af6bb84365821a60cb6" PartId="461d7f991346497ab827e469fe0f3725"/>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7cd6fb638a1f46caaa85dd71f5ccf6ec">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0b8a17178ebd431881a61a6916a8aa62"/>
          <Part Type="strDalis" Nr="6" Abbr="6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ūklė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Privalomojo nurody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1b73ec6b0ad749f5855c0bccc022cd4d"/>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4c4388e6a754ecea5e06313c7ac5530"/>
            <Part Type="strPunktas" Nr="31" Abbr="589 str. 1 d. 31 p." DocPartId="f1ad9552bb7e49b3b97b9ac5495f2ff0" PartId="9b620975240d4adfb7bb90017cdaa58e"/>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d5f2dd2ee05141e4b825a89f71a3f2e3"/>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218085ea1ad42eb98094143795a609e" PartId="d40c4e3f55004c0b9512a734b5844580"/>
    <Part Type="strDalis" Nr="119" Abbr="119 d." DocPartId="2595569f911c4249a69bb203d2953201" PartId="2a22ada319bc48b4bd0992f1f471058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B54F4A83-EE14-490B-B19F-67D9EC95B6C5}">
  <ds:schemaRefs>
    <ds:schemaRef ds:uri="http://lrs.lt/TAIS/DocParts"/>
  </ds:schemaRefs>
</ds:datastoreItem>
</file>

<file path=customXml/itemProps3.xml><?xml version="1.0" encoding="utf-8"?>
<ds:datastoreItem xmlns:ds="http://schemas.openxmlformats.org/officeDocument/2006/customXml" ds:itemID="{C29E6E7F-6BB1-44A3-960B-DFE5A42FEF8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917</TotalTime>
  <Pages>484</Pages>
  <Words>148758</Words>
  <Characters>1083445</Characters>
  <Application>Microsoft Office Word</Application>
  <DocSecurity>0</DocSecurity>
  <Lines>9028</Lines>
  <Paragraphs>2459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1229744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2026-01-13T09:03:00Z</dcterms:modified>
  <revision>436</revision>
</coreProperties>
</file>