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2024-12-24 iki 2024-12-31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0d062bb54a849a5a949b242d4f9fddd"/>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0d062bb54a849a5a949b242d4f9fddd"/>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e43495f5025d4234ba576b2056d67a55"/>
                        <w:lock w:val="sdtLocked"/>
                        <w:richText/>
                      </w:sdtPr>
                      <w:sdtContent>
                        <w:p>
                          <w:pPr>
                            <w:tabs>
                              <w:tab w:val="left" w:pos="1134"/>
                            </w:tabs>
                            <w:spacing w:line="360" w:lineRule="auto"/>
                            <w:ind w:firstLine="720"/>
                            <w:jc w:val="both"/>
                            <w:rPr>
                              <w:rFonts w:ascii="TimesLT" w:hAnsi="TimesLT"/>
                            </w:rPr>
                          </w:pPr>
                          <w:sdt>
                            <w:sdtPr>
                              <w:alias w:val="Numeris"/>
                              <w:tag w:val="nr_e43495f5025d4234ba576b2056d67a55"/>
                              <w:lock w:val="sdtLocked"/>
                              <w:richText/>
                            </w:sdtPr>
                            <w:sdtContent>
                              <w:r>
                                <w:rPr>
                                  <w:rFonts w:ascii="TimesLT" w:hAnsi="TimesLT"/>
                                  <w:iCs/>
                                  <w:szCs w:val="24"/>
                                  <w:lang w:eastAsia="lt-LT"/>
                                </w:rPr>
                                <w:t>4</w:t>
                              </w:r>
                            </w:sdtContent>
                          </w:sdt>
                          <w:r>
                            <w:rPr>
                              <w:rFonts w:ascii="TimesLT" w:hAnsi="TimesLT"/>
                              <w:iCs/>
                              <w:szCs w:val="24"/>
                              <w:lang w:eastAsia="lt-LT"/>
                            </w:rPr>
                            <w:t>.</w:t>
                          </w:r>
                          <w:r>
                            <w:rPr>
                              <w:rFonts w:ascii="TimesLT" w:hAnsi="TimesLT"/>
                              <w:szCs w:val="24"/>
                            </w:rPr>
                            <w:t xml:space="preserve"> Socialines,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6 dalyse, </w:t>
                          </w:r>
                          <w:r>
                            <w:rPr>
                              <w:rFonts w:ascii="TimesLT" w:hAnsi="TimesLT"/>
                            </w:rPr>
                            <w:t>nevykdymas</w:t>
                          </w:r>
                        </w:p>
                        <w:p>
                          <w:pPr>
                            <w:tabs>
                              <w:tab w:val="left" w:pos="1134"/>
                            </w:tabs>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14c669a719ab4ba6ae4ac4bda47771bd"/>
                        <w:lock w:val="sdtLocked"/>
                        <w:richText/>
                      </w:sdtPr>
                      <w:sdtContent>
                        <w:p>
                          <w:pPr>
                            <w:tabs>
                              <w:tab w:val="left" w:pos="1134"/>
                            </w:tabs>
                            <w:spacing w:line="360" w:lineRule="auto"/>
                            <w:ind w:firstLine="720"/>
                            <w:jc w:val="both"/>
                            <w:rPr>
                              <w:rFonts w:ascii="TimesLT" w:hAnsi="TimesLT"/>
                            </w:rPr>
                          </w:pPr>
                          <w:sdt>
                            <w:sdtPr>
                              <w:alias w:val="Numeris"/>
                              <w:tag w:val="nr_14c669a719ab4ba6ae4ac4bda47771bd"/>
                              <w:lock w:val="sdtLocked"/>
                              <w:richText/>
                            </w:sdtPr>
                            <w:sdtContent>
                              <w:r>
                                <w:rPr>
                                  <w:rFonts w:ascii="TimesLT" w:hAnsi="TimesLT"/>
                                </w:rPr>
                                <w:t>6</w:t>
                              </w:r>
                            </w:sdtContent>
                          </w:sdt>
                          <w:r>
                            <w:rPr>
                              <w:rFonts w:ascii="TimesLT" w:hAnsi="TimesLT"/>
                            </w:rPr>
                            <w:t>. S</w:t>
                          </w:r>
                          <w:r>
                            <w:rPr>
                              <w:rFonts w:ascii="TimesLT" w:hAnsi="TimesLT"/>
                              <w:szCs w:val="24"/>
                            </w:rPr>
                            <w:t xml:space="preserve">ocialines, kultūros, švietimo, sporto ir sveikatos priežiūros paslaugas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rFonts w:ascii="TimesLT" w:hAnsi="TimesLT"/>
                              <w:iCs/>
                              <w:szCs w:val="24"/>
                              <w:lang w:eastAsia="lt-LT"/>
                            </w:rPr>
                            <w:t xml:space="preserve">juridinių asmenų, pasitelkiančių asmenis teikti paslaugas, </w:t>
                          </w:r>
                          <w:r>
                            <w:rPr>
                              <w:rFonts w:ascii="TimesLT" w:hAnsi="TimesLT"/>
                              <w:szCs w:val="24"/>
                            </w:rPr>
                            <w:t>jei šios paslaugos ar juridinių asmenų, kuriems teikiamos paslaugos, veikla tiesioginiais ir reguliariais kontaktais susijusios su vaikais</w:t>
                          </w:r>
                          <w:r>
                            <w:rPr>
                              <w:rFonts w:ascii="TimesLT" w:hAnsi="TimesLT"/>
                              <w:iCs/>
                              <w:szCs w:val="24"/>
                              <w:lang w:eastAsia="lt-LT"/>
                            </w:rPr>
                            <w:t xml:space="preserve">, </w:t>
                          </w:r>
                          <w:r>
                            <w:rPr>
                              <w:rFonts w:ascii="TimesLT" w:hAnsi="TimesLT"/>
                              <w:szCs w:val="24"/>
                            </w:rPr>
                            <w:t xml:space="preserve">priimančiųjų organizacijų pareigos, nurodytos Vaiko teisių apsaugos pagrindų įstatymo 30 straipsnio 5, 6 dalyse, </w:t>
                          </w:r>
                          <w:r>
                            <w:rPr>
                              <w:rFonts w:ascii="TimesLT" w:hAnsi="TimesLT"/>
                            </w:rPr>
                            <w:t>nevykdymas</w:t>
                          </w:r>
                          <w:r>
                            <w:rPr>
                              <w:rFonts w:ascii="TimesLT" w:hAnsi="TimesLT"/>
                              <w:szCs w:val="24"/>
                            </w:rPr>
                            <w:t xml:space="preserve"> arba pareigų, nurodytų Vaiko teisių apsaugos pagrindų įstatymo 30 straipsnio 9 dalyje, nevykdymas, jei šioje dalyje nurodytose </w:t>
                          </w:r>
                          <w:r>
                            <w:rPr>
                              <w:rFonts w:ascii="TimesLT" w:hAnsi="TimesLT"/>
                            </w:rPr>
                            <w:t>įstaigose, įmonėse, organizacijose dirba, užsiima savanoriška veikla, atlieka praktiką, stažuojasi ar teikia paslaugas asmuo,</w:t>
                          </w:r>
                          <w:r>
                            <w:rPr>
                              <w:rFonts w:ascii="TimesLT" w:hAnsi="TimesLT"/>
                              <w:szCs w:val="24"/>
                            </w:rPr>
                            <w:t xml:space="preserve"> kuris apkaltinamuoju teismo nuosprendžiu pripažintas kaltu dėl nusikalstamų veikų, nurodytų Vaiko teisių apsaugos pagrindų įstatymo 30 straipsnio 1 dalyje, arba asmuo, kuris yra padaręs Vaiko teisių apsaugos pagrindų įstatymo 30 straipsnio 1 dalyje nurodytas nusikalstamas veikas, bet atleistas nuo baudžiamosios atsakomybės Vaiko teisių apsaugos pagrindų įstatymo 30 straipsnio 1 dalyje nurodytais pagrindais, </w:t>
                          </w:r>
                        </w:p>
                        <w:p>
                          <w:pPr>
                            <w:tabs>
                              <w:tab w:val="left" w:pos="1134"/>
                            </w:tabs>
                            <w:spacing w:line="360" w:lineRule="auto"/>
                            <w:ind w:firstLine="720"/>
                            <w:jc w:val="both"/>
                            <w:rPr>
                              <w:rFonts w:ascii="TimesLT" w:hAnsi="TimesLT"/>
                            </w:rPr>
                          </w:pPr>
                          <w:r>
                            <w:rPr>
                              <w:rFonts w:ascii="TimesLT" w:hAnsi="TimesLT"/>
                            </w:rPr>
                            <w:t>užtraukia baudą nuo trijų tūkstančių iki penkių tūkstančių eurų.</w:t>
                          </w:r>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1125cc0a7e65451ba19914f7d62c9ef2"/>
                        <w:lock w:val="sdtLocked"/>
                        <w:richText/>
                      </w:sdtPr>
                      <w:sdtContent>
                        <w:p>
                          <w:pPr>
                            <w:spacing w:line="360" w:lineRule="auto"/>
                            <w:ind w:firstLine="720"/>
                            <w:jc w:val="both"/>
                            <w:rPr>
                              <w:rFonts w:ascii="TimesLT" w:hAnsi="TimesLT"/>
                            </w:rPr>
                          </w:pPr>
                          <w:sdt>
                            <w:sdtPr>
                              <w:alias w:val="Numeris"/>
                              <w:tag w:val="nr_1125cc0a7e65451ba19914f7d62c9ef2"/>
                              <w:lock w:val="sdtLocked"/>
                              <w:richText/>
                            </w:sdtPr>
                            <w:sdtContent>
                              <w:r>
                                <w:rPr>
                                  <w:rFonts w:ascii="TimesLT" w:hAnsi="TimesLT"/>
                                  <w:szCs w:val="24"/>
                                </w:rPr>
                                <w:t>8</w:t>
                              </w:r>
                            </w:sdtContent>
                          </w:sdt>
                          <w:r>
                            <w:rPr>
                              <w:rFonts w:ascii="TimesLT" w:hAnsi="TimesLT"/>
                              <w:szCs w:val="24"/>
                            </w:rPr>
                            <w:t xml:space="preserve">. </w:t>
                          </w:r>
                          <w:r>
                            <w:rPr>
                              <w:rFonts w:ascii="TimesLT" w:hAnsi="TimesLT"/>
                              <w:iCs/>
                            </w:rPr>
                            <w:t>Asmens, besiverčiančio individualia veikla, teikiančio paslaugas ar vykdančio bet kokią kitą veiklą, jei ši veikla</w:t>
                          </w:r>
                          <w:r>
                            <w:rPr>
                              <w:rFonts w:ascii="TimesLT" w:hAnsi="TimesLT"/>
                              <w:szCs w:val="24"/>
                            </w:rPr>
                            <w:t xml:space="preserve"> ar paslaugos tiesioginiais ir reguliariais kontaktais susijusios su vaikais</w:t>
                          </w:r>
                          <w:r>
                            <w:rPr>
                              <w:rFonts w:ascii="TimesLT" w:hAnsi="TimesLT"/>
                            </w:rPr>
                            <w:t>, pareigos, nurodytos Vaiko teisių apsaugos pagrindų įstatymo 30 straipsnio 6 dalyje, ir pareigos, nurodytos Vaiko teisių apsaugos pagrindų įstatymo 30 straipsnio 7 dalyje, nevykdymas</w:t>
                          </w:r>
                        </w:p>
                        <w:p>
                          <w:pPr>
                            <w:spacing w:line="360" w:lineRule="auto"/>
                            <w:ind w:firstLine="720"/>
                            <w:jc w:val="both"/>
                            <w:rPr>
                              <w:rFonts w:ascii="TimesLT" w:hAnsi="TimesLT"/>
                            </w:rPr>
                          </w:pPr>
                          <w:r>
                            <w:rPr>
                              <w:rFonts w:ascii="TimesLT" w:hAnsi="TimesLT"/>
                            </w:rPr>
                            <w:t>užtraukia baudą nuo trijų šimtų iki penkių šimtų eurų.</w:t>
                          </w:r>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752c86a15f7e4eb5b11fcee69a2c2458"/>
                    <w:lock w:val="sdtLocked"/>
                    <w:richText/>
                  </w:sdtPr>
                  <w:sdtContent>
                    <w:p>
                      <w:pPr>
                        <w:widowControl w:val="0"/>
                        <w:spacing w:line="360" w:lineRule="auto"/>
                        <w:ind w:left="2268" w:hanging="1548"/>
                        <w:jc w:val="both"/>
                        <w:rPr>
                          <w:b/>
                          <w:color w:val="000000"/>
                          <w:szCs w:val="24"/>
                          <w:lang w:eastAsia="lt-LT"/>
                        </w:rPr>
                      </w:pPr>
                      <w:sdt>
                        <w:sdtPr>
                          <w:alias w:val="Numeris"/>
                          <w:tag w:val="nr_752c86a15f7e4eb5b11fcee69a2c2458"/>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752c86a15f7e4eb5b11fcee69a2c2458"/>
                          <w:lock w:val="sdtLocked"/>
                          <w:richText/>
                        </w:sdtPr>
                        <w:sdtContent>
                          <w:r>
                            <w:rPr>
                              <w:b/>
                              <w:bCs/>
                              <w:color w:val="000000"/>
                              <w:szCs w:val="24"/>
                              <w:lang w:eastAsia="lt-LT"/>
                            </w:rPr>
                            <w:t>Darbo įstatymų, darbuotojų saugos ir sveikatos norminių teisės aktų pažeidimas</w:t>
                          </w:r>
                        </w:sdtContent>
                      </w:sdt>
                    </w:p>
                    <w:sdt>
                      <w:sdtPr>
                        <w:alias w:val="96 str. 1 d."/>
                        <w:tag w:val="part_71cad1ce0b404a4580bbb369d63e07c9"/>
                        <w:lock w:val="sdtLocked"/>
                        <w:richText/>
                      </w:sdtPr>
                      <w:sdtContent>
                        <w:p>
                          <w:pPr>
                            <w:spacing w:line="360" w:lineRule="auto"/>
                            <w:ind w:firstLine="720"/>
                            <w:jc w:val="both"/>
                            <w:rPr>
                              <w:color w:val="000000"/>
                              <w:szCs w:val="24"/>
                              <w:lang w:eastAsia="lt-LT"/>
                            </w:rPr>
                          </w:pPr>
                          <w:sdt>
                            <w:sdtPr>
                              <w:alias w:val="Numeris"/>
                              <w:tag w:val="nr_71cad1ce0b404a4580bbb369d63e07c9"/>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 nuo trisdešimt iki devyniasdešimt eurų.</w:t>
                          </w:r>
                        </w:p>
                      </w:sdtContent>
                    </w:sdt>
                    <w:sdt>
                      <w:sdtPr>
                        <w:alias w:val="96 str. 2 d."/>
                        <w:tag w:val="part_967a0f5e5c624534b5a4b6d1968c7435"/>
                        <w:lock w:val="sdtLocked"/>
                        <w:richText/>
                      </w:sdtPr>
                      <w:sdtContent>
                        <w:p>
                          <w:pPr>
                            <w:spacing w:line="360" w:lineRule="auto"/>
                            <w:ind w:firstLine="720"/>
                            <w:jc w:val="both"/>
                            <w:rPr>
                              <w:color w:val="000000"/>
                              <w:szCs w:val="24"/>
                              <w:lang w:eastAsia="lt-LT"/>
                            </w:rPr>
                          </w:pPr>
                          <w:sdt>
                            <w:sdtPr>
                              <w:alias w:val="Numeris"/>
                              <w:tag w:val="nr_967a0f5e5c624534b5a4b6d1968c7435"/>
                              <w:lock w:val="sdtLocked"/>
                              <w:richText/>
                            </w:sdtPr>
                            <w:sdtContent>
                              <w:r>
                                <w:rPr>
                                  <w:color w:val="000000"/>
                                  <w:szCs w:val="24"/>
                                  <w:lang w:eastAsia="lt-LT"/>
                                </w:rPr>
                                <w:t>2</w:t>
                              </w:r>
                            </w:sdtContent>
                          </w:sdt>
                          <w:r>
                            <w:rPr>
                              <w:color w:val="000000"/>
                              <w:szCs w:val="24"/>
                              <w:lang w:eastAsia="lt-LT"/>
                            </w:rPr>
                            <w:t>. Darbo įstatymų,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 xml:space="preserve">užtraukia baudą </w:t>
                          </w:r>
                          <w:r>
                            <w:rPr>
                              <w:bCs/>
                              <w:color w:val="000000"/>
                              <w:szCs w:val="24"/>
                              <w:lang w:eastAsia="lt-LT"/>
                            </w:rPr>
                            <w:t xml:space="preserve">darbdaviams fiziniams asmenims, darbdavių </w:t>
                          </w:r>
                          <w:r>
                            <w:rPr>
                              <w:color w:val="000000"/>
                              <w:szCs w:val="24"/>
                              <w:lang w:eastAsia="lt-LT"/>
                            </w:rPr>
                            <w:t>juridinių asmenų vadovams ar kitiems atsakingiems asmenims nuo dviejų šimtų keturiasdešimt iki aštuonių šimtų aštuoniasdešimt eurų.</w:t>
                          </w:r>
                        </w:p>
                      </w:sdtContent>
                    </w:sdt>
                    <w:sdt>
                      <w:sdtPr>
                        <w:alias w:val="96 str. 3 d."/>
                        <w:tag w:val="part_ca5fc01e6e324430a91f2f5f171d1c6c"/>
                        <w:lock w:val="sdtLocked"/>
                        <w:richText/>
                      </w:sdtPr>
                      <w:sdtContent>
                        <w:p>
                          <w:pPr>
                            <w:spacing w:line="360" w:lineRule="auto"/>
                            <w:ind w:firstLine="720"/>
                            <w:jc w:val="both"/>
                            <w:rPr>
                              <w:bCs/>
                              <w:color w:val="000000"/>
                              <w:szCs w:val="24"/>
                              <w:lang w:eastAsia="lt-LT"/>
                            </w:rPr>
                          </w:pPr>
                          <w:sdt>
                            <w:sdtPr>
                              <w:alias w:val="Numeris"/>
                              <w:tag w:val="nr_ca5fc01e6e324430a91f2f5f171d1c6c"/>
                              <w:lock w:val="sdtLocked"/>
                              <w:richText/>
                            </w:sdtPr>
                            <w:sdtContent>
                              <w:r>
                                <w:rPr>
                                  <w:color w:val="000000"/>
                                  <w:szCs w:val="24"/>
                                  <w:lang w:eastAsia="lt-LT"/>
                                </w:rPr>
                                <w:t>3</w:t>
                              </w:r>
                            </w:sdtContent>
                          </w:sdt>
                          <w:r>
                            <w:rPr>
                              <w:color w:val="000000"/>
                              <w:szCs w:val="24"/>
                              <w:lang w:eastAsia="lt-LT"/>
                            </w:rPr>
                            <w:t xml:space="preserve">. </w:t>
                          </w:r>
                          <w:r>
                            <w:rPr>
                              <w:bCs/>
                              <w:color w:val="000000"/>
                              <w:szCs w:val="24"/>
                              <w:lang w:eastAsia="lt-LT"/>
                            </w:rPr>
                            <w:t>Darbuotojų saugos ir sveikatos statybvietėse norminių teisės aktų pažeidimas</w:t>
                          </w:r>
                          <w:r>
                            <w:rPr>
                              <w:bCs/>
                            </w:rPr>
                            <w:t xml:space="preserve"> </w:t>
                          </w:r>
                        </w:p>
                        <w:p>
                          <w:pPr>
                            <w:spacing w:line="360" w:lineRule="auto"/>
                            <w:ind w:firstLine="720"/>
                            <w:jc w:val="both"/>
                            <w:rPr>
                              <w:color w:val="000000"/>
                              <w:szCs w:val="24"/>
                              <w:lang w:eastAsia="lt-LT"/>
                            </w:rPr>
                          </w:pPr>
                          <w:r>
                            <w:rPr>
                              <w:bCs/>
                              <w:color w:val="000000"/>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cbbfa268e1234051801dcce53387cfda"/>
                        <w:lock w:val="sdtLocked"/>
                        <w:richText/>
                      </w:sdtPr>
                      <w:sdtContent>
                        <w:p>
                          <w:pPr>
                            <w:spacing w:line="360" w:lineRule="auto"/>
                            <w:ind w:firstLine="720"/>
                            <w:jc w:val="both"/>
                            <w:rPr>
                              <w:color w:val="000000"/>
                              <w:szCs w:val="24"/>
                              <w:lang w:eastAsia="lt-LT"/>
                            </w:rPr>
                          </w:pPr>
                          <w:sdt>
                            <w:sdtPr>
                              <w:alias w:val="Numeris"/>
                              <w:tag w:val="nr_cbbfa268e1234051801dcce53387cfd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Šio straipsnio 2 </w:t>
                          </w:r>
                          <w:r>
                            <w:rPr>
                              <w:bCs/>
                              <w:color w:val="000000"/>
                              <w:szCs w:val="24"/>
                              <w:lang w:eastAsia="lt-LT"/>
                            </w:rPr>
                            <w:t>ar 3</w:t>
                          </w:r>
                          <w:r>
                            <w:rPr>
                              <w:color w:val="000000"/>
                              <w:szCs w:val="24"/>
                              <w:lang w:eastAsia="lt-LT"/>
                            </w:rPr>
                            <w:t xml:space="preserve"> dalyje numatytas administracinis nusižengimas, </w:t>
                          </w:r>
                          <w:r>
                            <w:rPr>
                              <w:bCs/>
                              <w:color w:val="000000"/>
                              <w:szCs w:val="24"/>
                              <w:lang w:eastAsia="lt-LT"/>
                            </w:rPr>
                            <w:t xml:space="preserve">dėl kurio </w:t>
                          </w:r>
                          <w:r>
                            <w:rPr>
                              <w:color w:val="000000"/>
                              <w:szCs w:val="24"/>
                              <w:lang w:eastAsia="lt-LT"/>
                            </w:rPr>
                            <w:t>galėjo įvykti nelaimingas atsitikimas darbe, avarija ar atsirasti kitų sunkių padarinių,</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96 str. 5 d."/>
                        <w:tag w:val="part_da3c9742f0424ed581a9a9ebc6c0fbc5"/>
                        <w:lock w:val="sdtLocked"/>
                        <w:richText/>
                      </w:sdtPr>
                      <w:sdtContent>
                        <w:p>
                          <w:pPr>
                            <w:spacing w:line="360" w:lineRule="auto"/>
                            <w:ind w:firstLine="720"/>
                            <w:jc w:val="both"/>
                            <w:rPr>
                              <w:color w:val="000000"/>
                              <w:szCs w:val="24"/>
                              <w:lang w:eastAsia="lt-LT"/>
                            </w:rPr>
                          </w:pPr>
                          <w:sdt>
                            <w:sdtPr>
                              <w:alias w:val="Numeris"/>
                              <w:tag w:val="nr_da3c9742f0424ed581a9a9ebc6c0fbc5"/>
                              <w:lock w:val="sdtLocked"/>
                              <w:richText/>
                            </w:sdtPr>
                            <w:sdtContent>
                              <w:r>
                                <w:rPr>
                                  <w:bCs/>
                                  <w:color w:val="000000"/>
                                  <w:szCs w:val="24"/>
                                  <w:lang w:eastAsia="lt-LT"/>
                                </w:rPr>
                                <w:t>5</w:t>
                              </w:r>
                            </w:sdtContent>
                          </w:sdt>
                          <w:r>
                            <w:rPr>
                              <w:bCs/>
                              <w:color w:val="000000"/>
                              <w:szCs w:val="24"/>
                              <w:lang w:eastAsia="lt-LT"/>
                            </w:rPr>
                            <w:t>.</w:t>
                          </w:r>
                          <w:r>
                            <w:rPr>
                              <w:color w:val="000000"/>
                              <w:szCs w:val="24"/>
                              <w:lang w:eastAsia="lt-LT"/>
                            </w:rPr>
                            <w:t xml:space="preserve"> Šio straipsnio 2 </w:t>
                          </w:r>
                          <w:r>
                            <w:rPr>
                              <w:bCs/>
                              <w:color w:val="000000"/>
                              <w:szCs w:val="24"/>
                              <w:lang w:eastAsia="lt-LT"/>
                            </w:rPr>
                            <w:t>ar 3</w:t>
                          </w:r>
                          <w:r>
                            <w:rPr>
                              <w:color w:val="000000"/>
                              <w:szCs w:val="24"/>
                              <w:lang w:eastAsia="lt-LT"/>
                            </w:rPr>
                            <w:t xml:space="preserve">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devynių šimtų iki vieno tūkstančio keturių šimtų eurų.</w:t>
                          </w:r>
                        </w:p>
                      </w:sdtContent>
                    </w:sdt>
                    <w:sdt>
                      <w:sdtPr>
                        <w:alias w:val="96 str. 6 d."/>
                        <w:tag w:val="part_61b6a2b2556045c9a4a0b2871a019766"/>
                        <w:lock w:val="sdtLocked"/>
                        <w:richText/>
                      </w:sdtPr>
                      <w:sdtContent>
                        <w:p>
                          <w:pPr>
                            <w:spacing w:line="360" w:lineRule="auto"/>
                            <w:ind w:firstLine="720"/>
                            <w:jc w:val="both"/>
                            <w:rPr>
                              <w:color w:val="000000"/>
                              <w:szCs w:val="24"/>
                              <w:lang w:eastAsia="lt-LT"/>
                            </w:rPr>
                          </w:pPr>
                          <w:sdt>
                            <w:sdtPr>
                              <w:alias w:val="Numeris"/>
                              <w:tag w:val="nr_61b6a2b2556045c9a4a0b2871a019766"/>
                              <w:lock w:val="sdtLocked"/>
                              <w:richText/>
                            </w:sdtPr>
                            <w:sdtContent>
                              <w:r>
                                <w:rPr>
                                  <w:bCs/>
                                  <w:color w:val="000000"/>
                                  <w:szCs w:val="24"/>
                                  <w:lang w:eastAsia="lt-LT"/>
                                </w:rPr>
                                <w:t>6</w:t>
                              </w:r>
                            </w:sdtContent>
                          </w:sdt>
                          <w:r>
                            <w:rPr>
                              <w:bCs/>
                              <w:color w:val="000000"/>
                              <w:szCs w:val="24"/>
                              <w:lang w:eastAsia="lt-LT"/>
                            </w:rPr>
                            <w:t xml:space="preserve">. </w:t>
                          </w:r>
                          <w:r>
                            <w:rPr>
                              <w:color w:val="000000"/>
                              <w:szCs w:val="24"/>
                              <w:lang w:eastAsia="lt-LT"/>
                            </w:rPr>
                            <w:t xml:space="preserve">Šio straipsnio </w:t>
                          </w:r>
                          <w:r>
                            <w:rPr>
                              <w:bCs/>
                              <w:color w:val="000000"/>
                              <w:szCs w:val="24"/>
                              <w:lang w:eastAsia="lt-LT"/>
                            </w:rPr>
                            <w:t xml:space="preserve">4 </w:t>
                          </w:r>
                          <w:r>
                            <w:rPr>
                              <w:color w:val="000000"/>
                              <w:szCs w:val="24"/>
                              <w:lang w:eastAsia="lt-LT"/>
                            </w:rPr>
                            <w:t>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cc64bc3e6dbd416cb82da3b356c23b21"/>
            <w:lock w:val="sdtLocked"/>
            <w:richText/>
          </w:sdtPr>
          <w:sdtContent>
            <w:p>
              <w:pPr>
                <w:spacing w:line="360" w:lineRule="auto"/>
                <w:ind w:firstLine="720"/>
                <w:jc w:val="both"/>
              </w:pPr>
              <w:sdt>
                <w:sdtPr>
                  <w:alias w:val="Numeris"/>
                  <w:tag w:val="nr_cc64bc3e6dbd416cb82da3b356c23b21"/>
                  <w:lock w:val="sdtLocked"/>
                  <w:richText/>
                </w:sdtPr>
                <w:sdtContent>
                  <w:r>
                    <w:rPr>
                      <w:bCs/>
                      <w:lang w:eastAsia="lt-LT"/>
                    </w:rPr>
                    <w:t>117</w:t>
                  </w:r>
                  <w:r>
                    <w:rPr>
                      <w:bCs/>
                      <w:vertAlign w:val="superscript"/>
                      <w:lang w:eastAsia="lt-LT"/>
                    </w:rPr>
                    <w:t>1</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F2AADA"/>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60.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49.xml"/>
  <Relationship Id="rId17" Type="http://schemas.openxmlformats.org/officeDocument/2006/relationships/header" Target="header950.xml"/>
  <Relationship Id="rId18" Type="http://schemas.openxmlformats.org/officeDocument/2006/relationships/footer" Target="footer949.xml"/>
  <Relationship Id="rId19" Type="http://schemas.openxmlformats.org/officeDocument/2006/relationships/footer" Target="footer950.xml"/>
  <Relationship Id="rId2" Type="http://schemas.openxmlformats.org/officeDocument/2006/relationships/header" Target="header461.xml"/>
  <Relationship Id="rId20" Type="http://schemas.openxmlformats.org/officeDocument/2006/relationships/header" Target="header951.xml"/>
  <Relationship Id="rId21" Type="http://schemas.openxmlformats.org/officeDocument/2006/relationships/footer" Target="footer951.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60.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61.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62.xml"/>
  <Relationship Id="rId50" Type="http://schemas.openxmlformats.org/officeDocument/2006/relationships/customXml" Target="../customXml/item1.xml"/>
  <Relationship Id="rId6" Type="http://schemas.openxmlformats.org/officeDocument/2006/relationships/footer" Target="footer46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0d062bb54a849a5a949b242d4f9fddd">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e43495f5025d4234ba576b2056d67a55"/>
          <Part Type="strDalis" Nr="5" Abbr="72 str. 5 d." DocPartId="c33a17b5a7464bafa42a7633d88ee9cd" PartId="aea3837c37394de2890b0c801c13328c"/>
          <Part Type="strDalis" Nr="6" Abbr="72 str. 6 d." DocPartId="eba29944b410401f9ca9a8881ff8856e" PartId="14c669a719ab4ba6ae4ac4bda47771bd"/>
          <Part Type="strDalis" Nr="7" Abbr="72 str. 7 d." DocPartId="0144fe17f71a492eaaae1fe50c3f7aff" PartId="d55249372d5c4cd69effbf6af2efa665"/>
          <Part Type="strDalis" Nr="8" Abbr="72 str. 8 d." DocPartId="a3ef08d56a414bdc896a4eafcbf40b2b" PartId="1125cc0a7e65451ba19914f7d62c9ef2"/>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752c86a15f7e4eb5b11fcee69a2c2458">
          <Part Type="strDalis" Nr="1" Abbr="96 str. 1 d." DocPartId="9b486904cd204ca39f788dbf635dc901" PartId="71cad1ce0b404a4580bbb369d63e07c9"/>
          <Part Type="strDalis" Nr="2" Abbr="96 str. 2 d." DocPartId="e99340d11f3548068a92c9dc6a635f12" PartId="967a0f5e5c624534b5a4b6d1968c7435"/>
          <Part Type="strDalis" Nr="3" Abbr="96 str. 3 d." DocPartId="d6eacbb0f112486fac324b96b8f0a8c5" PartId="ca5fc01e6e324430a91f2f5f171d1c6c"/>
          <Part Type="strDalis" Nr="4" Abbr="96 str. 4 d." DocPartId="087fbcb8eace4884b8c4601d0f74582d" PartId="cbbfa268e1234051801dcce53387cfda"/>
          <Part Type="strDalis" Nr="5" Abbr="96 str. 5 d." DocPartId="bbbcdaab527c4f138d1f4784812442f5" PartId="da3c9742f0424ed581a9a9ebc6c0fbc5"/>
          <Part Type="strDalis" Nr="6" Abbr="96 str. 6 d." DocPartId="92d35d2830f6433d87dc278710d3c50c" PartId="61b6a2b2556045c9a4a0b2871a019766"/>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a1623b4fd62e45dfbd30cdd103541174" PartId="cc64bc3e6dbd416cb82da3b356c23b21"/>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F39404E-5D1D-439F-82DD-EBD826413A23}">
  <ds:schemaRefs>
    <ds:schemaRef ds:uri="http://lrs.lt/TAIS/DocParts"/>
  </ds:schemaRefs>
</ds:datastoreItem>
</file>

<file path=customXml/itemProps3.xml><?xml version="1.0" encoding="utf-8"?>
<ds:datastoreItem xmlns:ds="http://schemas.openxmlformats.org/officeDocument/2006/customXml" ds:itemID="{48757635-9D1D-4D04-BE25-60329480DE3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803</TotalTime>
  <Pages>478</Pages>
  <Words>146526</Words>
  <Characters>1060886</Characters>
  <Application>Microsoft Office Word</Application>
  <DocSecurity>0</DocSecurity>
  <Lines>8840</Lines>
  <Paragraphs>2410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1205002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2024-12-26T08:42:00Z</dcterms:modified>
  <revision>392</revision>
</coreProperties>
</file>