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2021-11-26 iki 2021-11-30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a891c1482b34453b619fef8785eca1a"/>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a891c1482b34453b619fef8785eca1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cf7fa226b3ee4c09871b8323239b1256"/>
                            <w:lock w:val="sdtLocked"/>
                            <w:richText/>
                          </w:sdtPr>
                          <w:sdtContent>
                            <w:p>
                              <w:pPr>
                                <w:widowControl w:val="0"/>
                                <w:spacing w:line="360" w:lineRule="auto"/>
                                <w:ind w:firstLine="720"/>
                                <w:jc w:val="both"/>
                                <w:rPr>
                                  <w:szCs w:val="24"/>
                                </w:rPr>
                              </w:pPr>
                              <w:sdt>
                                <w:sdtPr>
                                  <w:alias w:val="Numeris"/>
                                  <w:tag w:val="nr_cf7fa226b3ee4c09871b8323239b1256"/>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89f6e9e9f0f3442da776fc7af9b951fd"/>
            <w:lock w:val="sdtLocked"/>
            <w:richText/>
          </w:sdtPr>
          <w:sdtContent>
            <w:p>
              <w:pPr>
                <w:widowControl w:val="0"/>
                <w:spacing w:line="360" w:lineRule="auto"/>
                <w:ind w:firstLine="720"/>
                <w:jc w:val="both"/>
              </w:pPr>
              <w:sdt>
                <w:sdtPr>
                  <w:alias w:val="Numeris"/>
                  <w:tag w:val="nr_89f6e9e9f0f3442da776fc7af9b951fd"/>
                  <w:lock w:val="sdtLocked"/>
                  <w:richText/>
                </w:sdtPr>
                <w:sdtContent>
                  <w:r>
                    <w:rPr>
                      <w:szCs w:val="24"/>
                    </w:rPr>
                    <w:t>55</w:t>
                  </w:r>
                </w:sdtContent>
              </w:sdt>
              <w:r>
                <w:rPr>
                  <w:szCs w:val="24"/>
                </w:rPr>
                <w:t xml:space="preserve">. 2009 m. spalio 21 d. Europos Parlamento ir Tarybos reglamentas (EB) Nr. 1107/2009 dėl augalų apsaugos produktų pateikimo į rinką ir panaikinantis Tarybos direktyvas 79/117/EEB ir 91/414/EEB, </w:t>
              </w:r>
              <w:r>
                <w:rPr>
                  <w:bCs/>
                  <w:szCs w:val="24"/>
                  <w:lang w:eastAsia="lt-LT"/>
                </w:rPr>
                <w:t xml:space="preserve">su paskutiniais pakeitimais, padarytais </w:t>
              </w:r>
              <w:r>
                <w:rPr>
                  <w:bCs/>
                  <w:szCs w:val="24"/>
                </w:rPr>
                <w:t xml:space="preserve">2019 m. birželio </w:t>
              </w:r>
              <w:r>
                <w:rPr>
                  <w:bCs/>
                  <w:szCs w:val="24"/>
                  <w:lang w:val="en-US"/>
                </w:rPr>
                <w:t xml:space="preserve">20 </w:t>
              </w:r>
              <w:r>
                <w:rPr>
                  <w:bCs/>
                  <w:szCs w:val="24"/>
                </w:rPr>
                <w:t>d. Europos Parlamento ir Tarybos reglamentu (ES) 2019/1381.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5-1 p."/>
            <w:tag w:val="part_61e11a116f7c44ec876c1bb889928380"/>
            <w:lock w:val="sdtLocked"/>
            <w:richText/>
          </w:sdtPr>
          <w:sdtContent>
            <w:p>
              <w:pPr>
                <w:suppressAutoHyphens/>
                <w:overflowPunct w:val="0"/>
                <w:spacing w:line="360" w:lineRule="auto"/>
                <w:ind w:firstLine="720"/>
                <w:jc w:val="both"/>
                <w:textAlignment w:val="baseline"/>
                <w:rPr>
                  <w:rFonts w:eastAsia="SimSun"/>
                  <w:szCs w:val="24"/>
                  <w:lang w:eastAsia="zh-CN"/>
                </w:rPr>
              </w:pPr>
              <w:sdt>
                <w:sdtPr>
                  <w:alias w:val="Numeris"/>
                  <w:tag w:val="nr_61e11a116f7c44ec876c1bb889928380"/>
                  <w:lock w:val="sdtLocked"/>
                  <w:richText/>
                </w:sdtPr>
                <w:sdtContent>
                  <w:r>
                    <w:rPr>
                      <w:bCs/>
                      <w:szCs w:val="24"/>
                      <w:lang w:eastAsia="ar-SA"/>
                    </w:rPr>
                    <w:t>55</w:t>
                  </w:r>
                  <w:r>
                    <w:rPr>
                      <w:bCs/>
                      <w:szCs w:val="24"/>
                      <w:vertAlign w:val="superscript"/>
                      <w:lang w:eastAsia="ar-SA"/>
                    </w:rPr>
                    <w:t>1</w:t>
                  </w:r>
                </w:sdtContent>
              </w:sdt>
              <w:r>
                <w:rPr>
                  <w:bCs/>
                  <w:szCs w:val="24"/>
                  <w:lang w:eastAsia="ar-SA"/>
                </w:rPr>
                <w:t xml:space="preserve">. </w:t>
              </w:r>
              <w:smartTag w:uri="schemas-tilde-lv/tildestengine" w:element="metric">
                <w:smartTagPr>
                  <w:attr w:name="metric_text" w:val="m"/>
                  <w:attr w:name="metric_value" w:val="2009"/>
                </w:smartTagPr>
                <w:smartTag w:uri="urn:schemas-microsoft-com:office:smarttags" w:element="metricconverter">
                  <w:smartTagPr>
                    <w:attr w:name="ProductID" w:val="2009 m"/>
                  </w:smartTagPr>
                  <w:r>
                    <w:rPr>
                      <w:bCs/>
                      <w:szCs w:val="24"/>
                      <w:lang w:eastAsia="ar-SA"/>
                    </w:rPr>
                    <w:t>2009 m</w:t>
                  </w:r>
                </w:smartTag>
              </w:smartTag>
              <w:r>
                <w:rPr>
                  <w:bCs/>
                  <w:szCs w:val="24"/>
                  <w:lang w:eastAsia="ar-SA"/>
                </w:rPr>
                <w:t>. spalio 21 d. Europos Parlamento ir Tarybos direktyva 2009/128/EB, nustatanti Bendrijos veiksmų pagrindus siekiant tausiojo pesticidų naudojimo, su paskutiniais pakeitimais, padarytais 2019 m. birželio 20 d. Europos Parlamento ir Tarybos reglamentu (ES) 2019/1243.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2e393067861a4c34974555a25fc28022"/>
            <w:lock w:val="sdtLocked"/>
            <w:richText/>
          </w:sdtPr>
          <w:sdtContent>
            <w:p>
              <w:pPr>
                <w:spacing w:line="360" w:lineRule="auto"/>
                <w:ind w:firstLine="720"/>
                <w:jc w:val="both"/>
              </w:pPr>
              <w:sdt>
                <w:sdtPr>
                  <w:alias w:val="Numeris"/>
                  <w:tag w:val="nr_2e393067861a4c34974555a25fc28022"/>
                  <w:lock w:val="sdtLocked"/>
                  <w:richText/>
                </w:sdtPr>
                <w:sdtContent>
                  <w:r>
                    <w:rPr>
                      <w:rFonts w:eastAsia="Calibri"/>
                      <w:szCs w:val="24"/>
                      <w:lang w:eastAsia="lt-LT"/>
                    </w:rPr>
                    <w:t>104</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04-1 p."/>
            <w:tag w:val="part_53ab8a8b93c44843825b70ed5ef5e5de"/>
            <w:lock w:val="sdtLocked"/>
            <w:richText/>
          </w:sdtPr>
          <w:sdtContent>
            <w:p>
              <w:pPr>
                <w:spacing w:line="360" w:lineRule="auto"/>
                <w:ind w:firstLine="720"/>
                <w:jc w:val="both"/>
              </w:pPr>
              <w:sdt>
                <w:sdtPr>
                  <w:alias w:val="Numeris"/>
                  <w:tag w:val="nr_53ab8a8b93c44843825b70ed5ef5e5de"/>
                  <w:lock w:val="sdtLocked"/>
                  <w:richText/>
                </w:sdtPr>
                <w:sdtContent>
                  <w:r>
                    <w:rPr>
                      <w:bCs/>
                      <w:szCs w:val="24"/>
                      <w:lang w:eastAsia="lt-LT"/>
                    </w:rPr>
                    <w:t>104</w:t>
                  </w:r>
                  <w:r>
                    <w:rPr>
                      <w:bCs/>
                      <w:szCs w:val="24"/>
                      <w:vertAlign w:val="superscript"/>
                      <w:lang w:eastAsia="lt-LT"/>
                    </w:rPr>
                    <w:t>1</w:t>
                  </w:r>
                </w:sdtContent>
              </w:sdt>
              <w:r>
                <w:rPr>
                  <w:bCs/>
                  <w:szCs w:val="24"/>
                  <w:lang w:eastAsia="lt-LT"/>
                </w:rPr>
                <w:t xml:space="preserve">. </w:t>
              </w:r>
              <w:r>
                <w:rPr>
                  <w:bCs/>
                  <w:szCs w:val="24"/>
                  <w:shd w:val="clear" w:color="auto" w:fill="FFFFFF"/>
                </w:rPr>
                <w:t>2019 m. balandžio 17 d. Europos Parlamento ir Tarybos reglamentas (ES) 2019/880 dėl kultūros vertybių įvežimo ir importo</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pr. 105 d."/>
            <w:tag w:val="part_961169d92e304239bb5a77150d31564c"/>
            <w:lock w:val="sdtLocked"/>
            <w:richText/>
          </w:sdtPr>
          <w:sdtContent>
            <w:p>
              <w:pPr>
                <w:spacing w:line="360" w:lineRule="auto"/>
                <w:ind w:firstLine="720"/>
                <w:jc w:val="both"/>
              </w:pPr>
              <w:sdt>
                <w:sdtPr>
                  <w:alias w:val="Numeris"/>
                  <w:tag w:val="nr_961169d92e304239bb5a77150d31564c"/>
                  <w:lock w:val="sdtLocked"/>
                  <w:richText/>
                </w:sdtPr>
                <w:sdtContent>
                  <w:r>
                    <w:rPr>
                      <w:szCs w:val="24"/>
                      <w:lang w:eastAsia="lt-LT"/>
                    </w:rPr>
                    <w:t>105</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05-1 p."/>
            <w:tag w:val="part_c78226889fea432c9f169ba919746921"/>
            <w:lock w:val="sdtLocked"/>
            <w:richText/>
          </w:sdtPr>
          <w:sdtContent>
            <w:p>
              <w:pPr>
                <w:spacing w:line="360" w:lineRule="auto"/>
                <w:ind w:firstLine="720"/>
                <w:jc w:val="both"/>
              </w:pPr>
              <w:sdt>
                <w:sdtPr>
                  <w:alias w:val="Numeris"/>
                  <w:tag w:val="nr_c78226889fea432c9f169ba919746921"/>
                  <w:lock w:val="sdtLocked"/>
                  <w:richText/>
                </w:sdtPr>
                <w:sdtContent>
                  <w:r>
                    <w:rPr>
                      <w:color w:val="000000"/>
                      <w:szCs w:val="24"/>
                      <w:lang w:eastAsia="en-GB"/>
                    </w:rPr>
                    <w:t>105</w:t>
                  </w:r>
                  <w:r>
                    <w:rPr>
                      <w:color w:val="000000"/>
                      <w:szCs w:val="24"/>
                      <w:vertAlign w:val="superscript"/>
                      <w:lang w:eastAsia="en-GB"/>
                    </w:rPr>
                    <w:t>1</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pr. 106 p."/>
            <w:tag w:val="part_982eafa5ab4e44ef95a42ecf76c33cb1"/>
            <w:lock w:val="sdtLocked"/>
            <w:richText/>
          </w:sdtPr>
          <w:sdtContent>
            <w:p>
              <w:pPr>
                <w:spacing w:line="360" w:lineRule="auto"/>
                <w:ind w:firstLine="720"/>
                <w:jc w:val="both"/>
              </w:pPr>
              <w:sdt>
                <w:sdtPr>
                  <w:alias w:val="Numeris"/>
                  <w:tag w:val="nr_982eafa5ab4e44ef95a42ecf76c33cb1"/>
                  <w:lock w:val="sdtLocked"/>
                  <w:richText/>
                </w:sdtPr>
                <w:sdtContent>
                  <w:r>
                    <w:rPr>
                      <w:szCs w:val="24"/>
                      <w:lang w:eastAsia="lt-LT"/>
                    </w:rPr>
                    <w:t>106</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7 p."/>
            <w:tag w:val="part_d1853c9ddb464a2f8e81ada33242e310"/>
            <w:lock w:val="sdtLocked"/>
            <w:richText/>
          </w:sdtPr>
          <w:sdtContent>
            <w:p>
              <w:pPr>
                <w:tabs>
                  <w:tab w:val="left" w:pos="993"/>
                </w:tabs>
                <w:spacing w:line="360" w:lineRule="auto"/>
                <w:ind w:firstLine="720"/>
                <w:jc w:val="both"/>
              </w:pPr>
              <w:sdt>
                <w:sdtPr>
                  <w:alias w:val="Numeris"/>
                  <w:tag w:val="nr_d1853c9ddb464a2f8e81ada33242e310"/>
                  <w:lock w:val="sdtLocked"/>
                  <w:richText/>
                </w:sdtPr>
                <w:sdtContent>
                  <w:r>
                    <w:rPr>
                      <w:color w:val="000000"/>
                      <w:szCs w:val="24"/>
                      <w:lang w:eastAsia="lt-LT"/>
                    </w:rPr>
                    <w:t>107</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08 p."/>
            <w:tag w:val="part_6e11f4eaf54e40788e3247d1fe3ec207"/>
            <w:lock w:val="sdtLocked"/>
            <w:richText/>
          </w:sdtPr>
          <w:sdtContent>
            <w:p>
              <w:pPr>
                <w:spacing w:line="360" w:lineRule="auto"/>
                <w:ind w:firstLine="720"/>
                <w:jc w:val="both"/>
              </w:pPr>
              <w:sdt>
                <w:sdtPr>
                  <w:alias w:val="Numeris"/>
                  <w:tag w:val="nr_6e11f4eaf54e40788e3247d1fe3ec207"/>
                  <w:lock w:val="sdtLocked"/>
                  <w:richText/>
                </w:sdtPr>
                <w:sdtContent>
                  <w:r>
                    <w:rPr>
                      <w:color w:val="000000"/>
                      <w:szCs w:val="24"/>
                      <w:lang w:eastAsia="en-GB"/>
                    </w:rPr>
                    <w:t>108</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7A54BACE"/>
  <w15:docId w15:val="{9B719643-AC07-4080-9AFC-71BFF80FFB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27.xml"/>
  <Relationship Id="rId11" Type="http://schemas.openxmlformats.org/officeDocument/2006/relationships/header" Target="header428.xml"/>
  <Relationship Id="rId12" Type="http://schemas.openxmlformats.org/officeDocument/2006/relationships/footer" Target="footer427.xml"/>
  <Relationship Id="rId13" Type="http://schemas.openxmlformats.org/officeDocument/2006/relationships/footer" Target="footer428.xml"/>
  <Relationship Id="rId14" Type="http://schemas.openxmlformats.org/officeDocument/2006/relationships/header" Target="header429.xml"/>
  <Relationship Id="rId15" Type="http://schemas.openxmlformats.org/officeDocument/2006/relationships/footer" Target="footer42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a891c1482b34453b619fef8785eca1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cf7fa226b3ee4c09871b8323239b1256"/>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89f6e9e9f0f3442da776fc7af9b951fd"/>
    <Part Type="punktas" Nr="55-1" Abbr="55-1 p." DocPartId="266f0fb1f2b645f6a85f25b24935f6c7" PartId="61e11a116f7c44ec876c1bb889928380"/>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23f1cf36b74a46928afebb23db34c1a6" PartId="2e393067861a4c34974555a25fc28022"/>
    <Part Type="punktas" Nr="104-1" Abbr="104-1 p." DocPartId="f82e818b2e39403885e1f21cebbaf287" PartId="53ab8a8b93c44843825b70ed5ef5e5de"/>
    <Part Type="strDalis" Nr="105" Abbr="pr. 105 d." DocPartId="947a5b2f34e14d00a09544f9b0187960" PartId="961169d92e304239bb5a77150d31564c"/>
    <Part Type="punktas" Nr="105-1" Abbr="105-1 p." DocPartId="176cdb84e2b14b83bbc6a6e5683a79a6" PartId="c78226889fea432c9f169ba919746921"/>
    <Part Type="punktas" Nr="106" Abbr="pr. 106 p." DocPartId="178dab2b9eec440e8275aee604ae6bc1" PartId="982eafa5ab4e44ef95a42ecf76c33cb1"/>
    <Part Type="punktas" Nr="107" Abbr="pr. 107 p." DocPartId="e12a3369f53749dbb40c6fa84a25d7b7" PartId="d1853c9ddb464a2f8e81ada33242e310"/>
    <Part Type="punktas" Nr="108" Abbr="108 p." DocPartId="4f3c8a2eac41407eba52fc80ec393179" PartId="6e11f4eaf54e40788e3247d1fe3ec20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8E9AC00-50D5-44BE-A86F-EDAB6F32CE1E}">
  <ds:schemaRefs>
    <ds:schemaRef ds:uri="http://lrs.lt/TAIS/DocParts"/>
  </ds:schemaRefs>
</ds:datastoreItem>
</file>

<file path=customXml/itemProps3.xml><?xml version="1.0" encoding="utf-8"?>
<ds:datastoreItem xmlns:ds="http://schemas.openxmlformats.org/officeDocument/2006/customXml" ds:itemID="{4C56BF2B-C9C3-4ADF-99E2-F2A5B293DB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473</TotalTime>
  <Pages>425</Pages>
  <Words>128180</Words>
  <Characters>926301</Characters>
  <Application>Microsoft Office Word</Application>
  <DocSecurity>0</DocSecurity>
  <Lines>7719</Lines>
  <Paragraphs>2104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1052377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2021-11-26T14:09:00Z</dcterms:modified>
  <revision>283</revision>
</coreProperties>
</file>