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2022-04-27 iki 2022-04-30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db7dc188a6cd402db5cbc8c0c97346ad"/>
        <w:lock w:val="sdtLocked"/>
        <w:richText/>
      </w:sdtPr>
      <w:sdtContent>
        <w:p>
          <w:pPr>
            <w:ind w:firstLine="5760"/>
            <w:sectPr>
              <w:headerReference w:type="even" r:id="rId10"/>
              <w:headerReference w:type="default" r:id="rId11"/>
              <w:footerReference w:type="even" r:id="rId12"/>
              <w:footerReference w:type="default" r:id="rId13"/>
              <w:headerReference w:type="first" r:id="rId14"/>
              <w:footerReference w:type="first" r:id="rId15"/>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db7dc188a6cd402db5cbc8c0c97346ad"/>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66dab64169194e4494d2d159475ecafb"/>
                        <w:lock w:val="sdtLocked"/>
                        <w:richText/>
                      </w:sdtPr>
                      <w:sdtContent>
                        <w:p>
                          <w:pPr>
                            <w:spacing w:line="360" w:lineRule="auto"/>
                            <w:ind w:firstLine="720"/>
                            <w:jc w:val="both"/>
                            <w:rPr>
                              <w:color w:val="000000"/>
                              <w:szCs w:val="24"/>
                            </w:rPr>
                          </w:pPr>
                          <w:sdt>
                            <w:sdtPr>
                              <w:alias w:val="Numeris"/>
                              <w:tag w:val="nr_66dab64169194e4494d2d159475ecafb"/>
                              <w:lock w:val="sdtLocked"/>
                              <w:richText/>
                            </w:sdtPr>
                            <w:sdtContent>
                              <w:r>
                                <w:rPr>
                                  <w:color w:val="000000"/>
                                  <w:szCs w:val="24"/>
                                </w:rPr>
                                <w:t>4</w:t>
                              </w:r>
                            </w:sdtContent>
                          </w:sdt>
                          <w:r>
                            <w:rPr>
                              <w:color w:val="000000"/>
                              <w:szCs w:val="24"/>
                            </w:rPr>
                            <w:t>. Už šio kodekso 47 straipsnyje, 60 straipsnio 3 dalyje, 65, 122, 125, 127,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0a26ea2b13074b93a6868a12a88a651a"/>
                        <w:lock w:val="sdtLocked"/>
                        <w:richText/>
                      </w:sdtPr>
                      <w:sdtContent>
                        <w:p>
                          <w:pPr>
                            <w:spacing w:line="360" w:lineRule="auto"/>
                            <w:ind w:firstLine="720"/>
                            <w:jc w:val="both"/>
                            <w:rPr>
                              <w:szCs w:val="24"/>
                              <w:lang w:eastAsia="lt-LT"/>
                            </w:rPr>
                          </w:pPr>
                          <w:sdt>
                            <w:sdtPr>
                              <w:alias w:val="Numeris"/>
                              <w:tag w:val="nr_0a26ea2b13074b93a6868a12a88a651a"/>
                              <w:lock w:val="sdtLocked"/>
                              <w:richText/>
                            </w:sdtPr>
                            <w:sdtContent>
                              <w:r>
                                <w:rPr>
                                  <w:szCs w:val="24"/>
                                  <w:lang w:eastAsia="lt-LT"/>
                                </w:rPr>
                                <w:t>1</w:t>
                              </w:r>
                            </w:sdtContent>
                          </w:sdt>
                          <w:r>
                            <w:rPr>
                              <w:szCs w:val="24"/>
                              <w:lang w:eastAsia="lt-LT"/>
                            </w:rPr>
                            <w:t xml:space="preserve">.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w:t>
                          </w:r>
                        </w:p>
                        <w:p>
                          <w:pPr>
                            <w:spacing w:line="360" w:lineRule="auto"/>
                            <w:ind w:firstLine="720"/>
                            <w:jc w:val="both"/>
                          </w:pPr>
                          <w:r>
                            <w:rPr>
                              <w:szCs w:val="24"/>
                              <w:lang w:eastAsia="lt-LT"/>
                            </w:rPr>
                            <w:t>užtraukia baudą darbuotojui nuo šešiasdešimt iki dviejų šimtų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ed0994daea3d4ebbbd77abe421351aba"/>
                            <w:lock w:val="sdtLocked"/>
                            <w:richText/>
                          </w:sdtPr>
                          <w:sdtContent>
                            <w:p>
                              <w:pPr>
                                <w:spacing w:line="360" w:lineRule="auto"/>
                                <w:ind w:firstLine="720"/>
                                <w:jc w:val="both"/>
                                <w:rPr>
                                  <w:szCs w:val="24"/>
                                </w:rPr>
                              </w:pPr>
                              <w:sdt>
                                <w:sdtPr>
                                  <w:alias w:val="Numeris"/>
                                  <w:tag w:val="nr_ed0994daea3d4ebbbd77abe421351aba"/>
                                  <w:lock w:val="sdtLocked"/>
                                  <w:richText/>
                                </w:sdtPr>
                                <w:sdtContent>
                                  <w:r>
                                    <w:t>58</w:t>
                                  </w:r>
                                </w:sdtContent>
                              </w:sdt>
                              <w:r>
                                <w:t>) Valstybinės darbo inspekcijos prie Socialinės apsaugos ir darbo ministerijos – dėl šio kodekso 47</w:t>
                              </w:r>
                              <w:r>
                                <w:rPr>
                                  <w:vertAlign w:val="superscript"/>
                                </w:rPr>
                                <w:t>1</w:t>
                              </w:r>
                              <w:r>
                                <w:t xml:space="preserve"> straipsnyje, 72 straipsnio 3 dalyje, 95, 96, </w:t>
                              </w:r>
                              <w:r>
                                <w:rPr>
                                  <w:lang w:eastAsia="lt-LT"/>
                                </w:rPr>
                                <w:t>96</w:t>
                              </w:r>
                              <w:r>
                                <w:rPr>
                                  <w:vertAlign w:val="superscript"/>
                                  <w:lang w:eastAsia="lt-LT"/>
                                </w:rPr>
                                <w:t>1</w:t>
                              </w:r>
                              <w:r>
                                <w:t>, 97, 98, 98</w:t>
                              </w:r>
                              <w:r>
                                <w:rPr>
                                  <w:vertAlign w:val="superscript"/>
                                </w:rPr>
                                <w:t>1</w:t>
                              </w:r>
                              <w:r>
                                <w:t>, 99, 100, 101, 102, 103, 104, 105, 106, 127, 150, 224 straipsniuose, 234 straipsnio 4 dalyje, 308 straipsnio 1, 2, 11, 16, 19, 20, 21, 22 dalyse, 308</w:t>
                              </w:r>
                              <w:r>
                                <w:rPr>
                                  <w:vertAlign w:val="superscript"/>
                                </w:rPr>
                                <w:t>1</w:t>
                              </w:r>
                              <w:r>
                                <w:t xml:space="preserve"> straipsnio 4, 6, 7 dalyse, </w:t>
                              </w:r>
                              <w:r>
                                <w:rPr>
                                  <w:lang w:eastAsia="lt-LT"/>
                                </w:rPr>
                                <w:t>362</w:t>
                              </w:r>
                              <w:r>
                                <w:rPr>
                                  <w:vertAlign w:val="superscript"/>
                                  <w:lang w:eastAsia="lt-LT"/>
                                </w:rPr>
                                <w:t>1</w:t>
                              </w:r>
                              <w:r>
                                <w:rPr>
                                  <w:lang w:eastAsia="lt-LT"/>
                                </w:rPr>
                                <w:t xml:space="preserve"> straipsnyje, </w:t>
                              </w:r>
                              <w:r>
                                <w:t xml:space="preserve">454 straipsnio 7 dalyje,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2a3584eedd784bb4a15bf482dcb8280f"/>
                            <w:lock w:val="sdtLocked"/>
                            <w:richText/>
                          </w:sdtPr>
                          <w:sdtContent>
                            <w:p>
                              <w:pPr>
                                <w:spacing w:line="360" w:lineRule="auto"/>
                                <w:ind w:firstLine="720"/>
                                <w:jc w:val="both"/>
                                <w:rPr>
                                  <w:szCs w:val="24"/>
                                </w:rPr>
                              </w:pPr>
                              <w:sdt>
                                <w:sdtPr>
                                  <w:alias w:val="Numeris"/>
                                  <w:tag w:val="nr_2a3584eedd784bb4a15bf482dcb8280f"/>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12d87eaacaf47529978237e9bc3e175"/>
                            <w:lock w:val="sdtLocked"/>
                            <w:richText/>
                          </w:sdtPr>
                          <w:sdtContent>
                            <w:p>
                              <w:pPr>
                                <w:spacing w:line="360" w:lineRule="auto"/>
                                <w:ind w:firstLine="720"/>
                                <w:jc w:val="both"/>
                                <w:rPr>
                                  <w:szCs w:val="24"/>
                                </w:rPr>
                              </w:pPr>
                              <w:sdt>
                                <w:sdtPr>
                                  <w:alias w:val="Numeris"/>
                                  <w:tag w:val="nr_b12d87eaacaf47529978237e9bc3e175"/>
                                  <w:lock w:val="sdtLocked"/>
                                  <w:richText/>
                                </w:sdtPr>
                                <w:sdtContent>
                                  <w:r>
                                    <w:rPr>
                                      <w:color w:val="000000"/>
                                      <w:szCs w:val="24"/>
                                      <w:lang w:eastAsia="lt-LT"/>
                                    </w:rPr>
                                    <w:t>82</w:t>
                                  </w:r>
                                </w:sdtContent>
                              </w:sdt>
                              <w:r>
                                <w:rPr>
                                  <w:color w:val="000000"/>
                                  <w:szCs w:val="24"/>
                                  <w:lang w:eastAsia="lt-LT"/>
                                </w:rPr>
                                <w:t>) savivaldybių administracijų – dėl šio kodekso 45, 46, 48, 78, 114 straipsniuose, 144 straipsnio 1, 4, 5 dalyse, 148, 149, 150, 152, 153, 154, 155, 156, 166, 167, 168,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color w:val="000000"/>
                                  <w:szCs w:val="24"/>
                                  <w:vertAlign w:val="superscript"/>
                                  <w:lang w:eastAsia="lt-LT"/>
                                </w:rPr>
                                <w:t>1</w:t>
                              </w:r>
                              <w:r>
                                <w:rPr>
                                  <w:color w:val="000000"/>
                                  <w:szCs w:val="24"/>
                                  <w:lang w:eastAsia="lt-LT"/>
                                </w:rPr>
                                <w:t>, 457, 459, 484, 484</w:t>
                              </w:r>
                              <w:r>
                                <w:rPr>
                                  <w:color w:val="000000"/>
                                  <w:szCs w:val="24"/>
                                  <w:vertAlign w:val="superscript"/>
                                  <w:lang w:eastAsia="lt-LT"/>
                                </w:rPr>
                                <w:t>1</w:t>
                              </w:r>
                              <w:r>
                                <w:rPr>
                                  <w:color w:val="000000"/>
                                  <w:szCs w:val="24"/>
                                  <w:lang w:eastAsia="lt-LT"/>
                                </w:rPr>
                                <w:t>, 485, 488, 491, 492, 497, 498, 499, 500, 501, 502, 503, 505, 505</w:t>
                              </w:r>
                              <w:r>
                                <w:rPr>
                                  <w:color w:val="000000"/>
                                  <w:szCs w:val="24"/>
                                  <w:vertAlign w:val="superscript"/>
                                  <w:lang w:eastAsia="lt-LT"/>
                                </w:rPr>
                                <w:t>1</w:t>
                              </w:r>
                              <w:r>
                                <w:rPr>
                                  <w:color w:val="000000"/>
                                  <w:szCs w:val="24"/>
                                  <w:lang w:eastAsia="lt-LT"/>
                                </w:rPr>
                                <w:t>, 507, 516, 517</w:t>
                              </w:r>
                              <w:r>
                                <w:rPr>
                                  <w:color w:val="000000"/>
                                  <w:szCs w:val="24"/>
                                  <w:vertAlign w:val="superscript"/>
                                  <w:lang w:eastAsia="lt-LT"/>
                                </w:rPr>
                                <w:t>1</w:t>
                              </w:r>
                              <w:r>
                                <w:rPr>
                                  <w:color w:val="000000"/>
                                  <w:szCs w:val="24"/>
                                  <w:lang w:eastAsia="lt-LT"/>
                                </w:rPr>
                                <w:t>, 517</w:t>
                              </w:r>
                              <w:r>
                                <w:rPr>
                                  <w:color w:val="000000"/>
                                  <w:szCs w:val="24"/>
                                  <w:vertAlign w:val="superscript"/>
                                  <w:lang w:eastAsia="lt-LT"/>
                                </w:rPr>
                                <w:t>2</w:t>
                              </w:r>
                              <w:r>
                                <w:rPr>
                                  <w:color w:val="000000"/>
                                  <w:szCs w:val="24"/>
                                  <w:lang w:eastAsia="lt-LT"/>
                                </w:rPr>
                                <w:t>, 517</w:t>
                              </w:r>
                              <w:r>
                                <w:rPr>
                                  <w:color w:val="000000"/>
                                  <w:szCs w:val="24"/>
                                  <w:vertAlign w:val="superscript"/>
                                  <w:lang w:eastAsia="lt-LT"/>
                                </w:rPr>
                                <w:t>3</w:t>
                              </w:r>
                              <w:r>
                                <w:rPr>
                                  <w:color w:val="000000"/>
                                  <w:szCs w:val="24"/>
                                  <w:lang w:eastAsia="lt-LT"/>
                                </w:rPr>
                                <w:t>, 517</w:t>
                              </w:r>
                              <w:r>
                                <w:rPr>
                                  <w:color w:val="000000"/>
                                  <w:szCs w:val="24"/>
                                  <w:vertAlign w:val="superscript"/>
                                  <w:lang w:eastAsia="lt-LT"/>
                                </w:rPr>
                                <w:t>4</w:t>
                              </w:r>
                              <w:r>
                                <w:rPr>
                                  <w:color w:val="000000"/>
                                  <w:szCs w:val="24"/>
                                  <w:lang w:eastAsia="lt-LT"/>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wp14="http://schemas.microsoft.com/office/word/2010/wordprocessingDrawing" xmlns:w14="http://schemas.microsoft.com/office/word/2010/wordml" xmlns:w16se="http://schemas.microsoft.com/office/word/2015/wordml/symex" xmlns:mc="http://schemas.openxmlformats.org/markup-compatibility/2006"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9CA32F"/>
  <w15:docId w15:val="{2F6C2266-1BAA-459E-8447-54597162A74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499.xml"/>
  <Relationship Id="rId11" Type="http://schemas.openxmlformats.org/officeDocument/2006/relationships/header" Target="header500.xml"/>
  <Relationship Id="rId12" Type="http://schemas.openxmlformats.org/officeDocument/2006/relationships/footer" Target="footer499.xml"/>
  <Relationship Id="rId13" Type="http://schemas.openxmlformats.org/officeDocument/2006/relationships/footer" Target="footer500.xml"/>
  <Relationship Id="rId14" Type="http://schemas.openxmlformats.org/officeDocument/2006/relationships/header" Target="header501.xml"/>
  <Relationship Id="rId15" Type="http://schemas.openxmlformats.org/officeDocument/2006/relationships/footer" Target="footer501.xml"/>
  <Relationship Id="rId16"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2.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db7dc188a6cd402db5cbc8c0c97346ad">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66dab64169194e4494d2d159475ecafb">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c3ade47cf52b4f90bd975071a3dc96fa">
          <Part Type="strDalis" Nr="1" Abbr="98 str. 1 d." DocPartId="4a39c84b8c8e47b1bb2a9c649561fdc2" PartId="0a26ea2b13074b93a6868a12a88a651a"/>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neapdoroto tabako, tabako gaminių ar susijusių gamini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rinkliavo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ed0994daea3d4ebbbd77abe421351ab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2a3584eedd784bb4a15bf482dcb8280f"/>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12d87eaacaf47529978237e9bc3e175"/>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DDD84B3-5029-4D95-91E1-409FCA029395}">
  <ds:schemaRefs>
    <ds:schemaRef ds:uri="http://lrs.lt/TAIS/DocParts"/>
  </ds:schemaRefs>
</ds:datastoreItem>
</file>

<file path=customXml/itemProps3.xml><?xml version="1.0" encoding="utf-8"?>
<ds:datastoreItem xmlns:ds="http://schemas.openxmlformats.org/officeDocument/2006/customXml" ds:itemID="{09C854B0-D384-4885-911A-CDC31916A54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473</TotalTime>
  <Pages>432</Pages>
  <Words>130687</Words>
  <Characters>947402</Characters>
  <Application>Microsoft Office Word</Application>
  <DocSecurity>0</DocSecurity>
  <Lines>7895</Lines>
  <Paragraphs>2151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1075938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2022-04-27T16:56:00Z</dcterms:modified>
  <revision>283</revision>
</coreProperties>
</file>