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2025-09-17 iki 2025-10-06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9c1d1f1ec8f84aaa890f32eff0764f0b"/>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9c1d1f1ec8f84aaa890f32eff0764f0b"/>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b603c7a8d0184296bd6dd791ce87982c"/>
                    <w:lock w:val="sdtLocked"/>
                    <w:richText/>
                  </w:sdtPr>
                  <w:sdtContent>
                    <w:p>
                      <w:pPr>
                        <w:widowControl w:val="0"/>
                        <w:spacing w:line="400" w:lineRule="atLeast"/>
                        <w:ind w:left="2381" w:hanging="1661"/>
                        <w:jc w:val="both"/>
                        <w:textAlignment w:val="baseline"/>
                        <w:rPr>
                          <w:rFonts w:eastAsia="NSimSun"/>
                          <w:color w:val="000000"/>
                          <w:kern w:val="3"/>
                          <w:szCs w:val="24"/>
                          <w:lang w:eastAsia="zh-CN" w:bidi="hi-IN"/>
                        </w:rPr>
                      </w:pPr>
                      <w:sdt>
                        <w:sdtPr>
                          <w:alias w:val="Numeris"/>
                          <w:tag w:val="nr_b603c7a8d0184296bd6dd791ce87982c"/>
                          <w:lock w:val="sdtLocked"/>
                          <w:richText/>
                        </w:sdtPr>
                        <w:sdtContent>
                          <w:r>
                            <w:rPr>
                              <w:rFonts w:eastAsia="NSimSun"/>
                              <w:b/>
                              <w:color w:val="000000"/>
                              <w:kern w:val="3"/>
                              <w:szCs w:val="24"/>
                              <w:lang w:eastAsia="zh-CN" w:bidi="hi-IN"/>
                            </w:rPr>
                            <w:t>77</w:t>
                          </w:r>
                        </w:sdtContent>
                      </w:sdt>
                      <w:r>
                        <w:rPr>
                          <w:rFonts w:eastAsia="NSimSun"/>
                          <w:b/>
                          <w:color w:val="000000"/>
                          <w:kern w:val="3"/>
                          <w:szCs w:val="24"/>
                          <w:lang w:eastAsia="zh-CN" w:bidi="hi-IN"/>
                        </w:rPr>
                        <w:t xml:space="preserve"> straipsnis. </w:t>
                      </w:r>
                      <w:sdt>
                        <w:sdtPr>
                          <w:alias w:val="Pavadinimas"/>
                          <w:tag w:val="title_b603c7a8d0184296bd6dd791ce87982c"/>
                          <w:lock w:val="sdtLocked"/>
                          <w:richText/>
                        </w:sdtPr>
                        <w:sdtContent>
                          <w:r>
                            <w:rPr>
                              <w:rFonts w:eastAsia="NSimSun"/>
                              <w:b/>
                              <w:color w:val="000000"/>
                              <w:kern w:val="3"/>
                              <w:szCs w:val="24"/>
                              <w:lang w:eastAsia="zh-CN" w:bidi="hi-IN"/>
                            </w:rPr>
                            <w:t>Tabako gaminių ar susijusių gaminių nupirkimas, perdavimas ar kitoks realizavimas nepilnamečiams</w:t>
                          </w:r>
                        </w:sdtContent>
                      </w:sdt>
                    </w:p>
                    <w:sdt>
                      <w:sdtPr>
                        <w:alias w:val="77 str. 1 d."/>
                        <w:tag w:val="part_09185c06bc5846ddbeff7eda0b5140c9"/>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09185c06bc5846ddbeff7eda0b5140c9"/>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Tabako gaminių ar susijusių gaminių</w:t>
                          </w:r>
                          <w:r>
                            <w:rPr>
                              <w:rFonts w:eastAsia="NSimSun"/>
                              <w:bCs/>
                              <w:color w:val="000000"/>
                              <w:kern w:val="3"/>
                              <w:szCs w:val="24"/>
                              <w:lang w:eastAsia="zh-CN" w:bidi="hi-IN"/>
                            </w:rPr>
                            <w:t>, išskyrus elektronines cigaretes ir (ar) elektroninių cigarečių pildykles,</w:t>
                          </w:r>
                          <w:r>
                            <w:rPr>
                              <w:rFonts w:eastAsia="NSimSun"/>
                              <w:color w:val="000000"/>
                              <w:kern w:val="3"/>
                              <w:szCs w:val="24"/>
                              <w:lang w:eastAsia="zh-CN" w:bidi="hi-IN"/>
                            </w:rPr>
                            <w:t xml:space="preserve"> nupirkimas, perdavimas ar kitoks realizavimas nepilnamečiui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dviejų šimtų dvidešimt iki trijų šimtų dvidešimt eurų.</w:t>
                          </w:r>
                        </w:p>
                      </w:sdtContent>
                    </w:sdt>
                    <w:sdt>
                      <w:sdtPr>
                        <w:alias w:val="77 str. 2 d."/>
                        <w:tag w:val="part_c3a7949a9a01435cae80bffa2b215c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c3a7949a9a01435cae80bffa2b215c14"/>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trijų šimtų dvidešimt iki penkių šimtų aštuoniasdešimt eurų.</w:t>
                          </w:r>
                        </w:p>
                      </w:sdtContent>
                    </w:sdt>
                    <w:sdt>
                      <w:sdtPr>
                        <w:alias w:val="77 str. 3 d."/>
                        <w:tag w:val="part_d37e16b38cab49cfa4d97c2c1f0b12b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d37e16b38cab49cfa4d97c2c1f0b12b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Elektroninių cigarečių ir (ar) elektroninių cigarečių pildyklių nupirkimas, perdavimas ar kitoks realizavimas nepilnamečiui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 xml:space="preserve">užtraukia baudą nuo trijų šimtų dvidešimt iki penkių šimtų aštuoniasdešimt eurų. </w:t>
                          </w:r>
                        </w:p>
                      </w:sdtContent>
                    </w:sdt>
                    <w:sdt>
                      <w:sdtPr>
                        <w:alias w:val="77 str. 4 d."/>
                        <w:tag w:val="part_ed394c3f95384349a71dac5b651ed1ef"/>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ed394c3f95384349a71dac5b651ed1ef"/>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penkių šimtų aštuoniasdešimt iki aštuonių šimtų dvidešimt eurų.</w:t>
                          </w:r>
                        </w:p>
                      </w:sdtContent>
                    </w:sdt>
                    <w:sdt>
                      <w:sdtPr>
                        <w:alias w:val="77 str. 5 d."/>
                        <w:tag w:val="part_b2e7c68314f24515bf04572346f4a99a"/>
                        <w:lock w:val="sdtLocked"/>
                        <w:richText/>
                      </w:sdtPr>
                      <w:sdtContent>
                        <w:p>
                          <w:pPr>
                            <w:widowControl w:val="0"/>
                            <w:spacing w:line="400" w:lineRule="atLeast"/>
                            <w:ind w:firstLine="720"/>
                            <w:jc w:val="both"/>
                            <w:textAlignment w:val="baseline"/>
                            <w:rPr>
                              <w:bCs/>
                              <w:szCs w:val="24"/>
                            </w:rPr>
                          </w:pPr>
                          <w:sdt>
                            <w:sdtPr>
                              <w:alias w:val="Numeris"/>
                              <w:tag w:val="nr_b2e7c68314f24515bf04572346f4a99a"/>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xml:space="preserve">. </w:t>
                          </w:r>
                          <w:r>
                            <w:rPr>
                              <w:rFonts w:eastAsia="NSimSun"/>
                              <w:color w:val="000000"/>
                              <w:kern w:val="3"/>
                              <w:szCs w:val="24"/>
                              <w:lang w:eastAsia="zh-CN" w:bidi="hi-IN"/>
                            </w:rPr>
                            <w:t>Už šio straipsnio 1</w:t>
                          </w:r>
                          <w:r>
                            <w:rPr>
                              <w:rFonts w:eastAsia="NSimSun"/>
                              <w:bCs/>
                              <w:color w:val="000000"/>
                              <w:kern w:val="3"/>
                              <w:szCs w:val="24"/>
                              <w:lang w:eastAsia="zh-CN" w:bidi="hi-IN"/>
                            </w:rPr>
                            <w:t>,</w:t>
                          </w:r>
                          <w:r>
                            <w:rPr>
                              <w:rFonts w:eastAsia="NSimSun"/>
                              <w:color w:val="000000"/>
                              <w:kern w:val="3"/>
                              <w:szCs w:val="24"/>
                              <w:lang w:eastAsia="zh-CN" w:bidi="hi-IN"/>
                            </w:rPr>
                            <w:t xml:space="preserve">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1"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2"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3"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4"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5"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6"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2"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53"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54"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4"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5"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36"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37"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38"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39"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0"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c8921e0a91054088bb3b5f51b442473d"/>
                            <w:lock w:val="sdtLocked"/>
                            <w:richText/>
                          </w:sdtPr>
                          <w:sdtContent>
                            <w:p>
                              <w:pPr>
                                <w:spacing w:line="360" w:lineRule="auto"/>
                                <w:ind w:firstLine="720"/>
                                <w:jc w:val="both"/>
                              </w:pPr>
                              <w:sdt>
                                <w:sdtPr>
                                  <w:alias w:val="Numeris"/>
                                  <w:tag w:val="nr_c8921e0a91054088bb3b5f51b442473d"/>
                                  <w:lock w:val="sdtLocked"/>
                                  <w:richText/>
                                </w:sdtPr>
                                <w:sdtContent>
                                  <w:r>
                                    <w:rPr>
                                      <w:color w:val="000000"/>
                                      <w:szCs w:val="24"/>
                                    </w:rPr>
                                    <w:t>49</w:t>
                                  </w:r>
                                </w:sdtContent>
                              </w:sdt>
                              <w:r>
                                <w:rPr>
                                  <w:color w:val="000000"/>
                                  <w:szCs w:val="24"/>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color w:val="000000"/>
                                  <w:szCs w:val="24"/>
                                  <w:vertAlign w:val="superscript"/>
                                </w:rPr>
                                <w:t>1</w:t>
                              </w:r>
                              <w:r>
                                <w:rPr>
                                  <w:color w:val="000000"/>
                                  <w:szCs w:val="24"/>
                                </w:rPr>
                                <w:t>, 133, 134, 137, 142, 143, 150, 151, 152, 153, 154, 155, 159, 160, 161, 162, 163, 164, 166, 167, 168, 169, 170, 170</w:t>
                              </w:r>
                              <w:r>
                                <w:rPr>
                                  <w:color w:val="000000"/>
                                  <w:szCs w:val="24"/>
                                  <w:vertAlign w:val="superscript"/>
                                </w:rPr>
                                <w:t>1</w:t>
                              </w:r>
                              <w:r>
                                <w:rPr>
                                  <w:color w:val="000000"/>
                                  <w:szCs w:val="24"/>
                                </w:rPr>
                                <w:t>,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2</w:t>
                              </w:r>
                              <w:r>
                                <w:rPr>
                                  <w:color w:val="000000"/>
                                  <w:szCs w:val="24"/>
                                </w:rPr>
                                <w:t xml:space="preserve"> straipsniuose, 281 straipsnio 1, 2, 3, 4, 5 dalyse, 282, 290, 307, 321, 336, 339, 340, 342, 346, 366, 367, 368 straipsniuose, 369 straipsnio 5, 6, 11, 12, 15, 16 dalyse, 373 straipsnio 2 dalyje, 414, 415, 416, 417, 420, 421, 422, 422</w:t>
                              </w:r>
                              <w:r>
                                <w:rPr>
                                  <w:color w:val="000000"/>
                                  <w:szCs w:val="24"/>
                                  <w:vertAlign w:val="superscript"/>
                                </w:rPr>
                                <w:t>1</w:t>
                              </w:r>
                              <w:r>
                                <w:rPr>
                                  <w:color w:val="000000"/>
                                  <w:szCs w:val="24"/>
                                </w:rPr>
                                <w:t>, 423, 424 straipsniuose, 426 straipsnio 1, 2, 3, 5 dalyse, 427, 428, 429, 430, 431, 432, 433 straipsniuose, 434 straipsnio 1, 3 dalyse, 436, 438 straipsniuose, 439 straipsnio 2 dalyje, 450 straipsnio 1, 2, 17, 18 dalyse, 451, 452, 454, 455, 456, 458, 459, 460, 461, 462, 463, 473, 474, 474</w:t>
                              </w:r>
                              <w:r>
                                <w:rPr>
                                  <w:color w:val="000000"/>
                                  <w:szCs w:val="24"/>
                                  <w:vertAlign w:val="superscript"/>
                                </w:rPr>
                                <w:t>1</w:t>
                              </w:r>
                              <w:r>
                                <w:rPr>
                                  <w:color w:val="000000"/>
                                  <w:szCs w:val="24"/>
                                </w:rPr>
                                <w:t>, 479 straipsniuose, 480 straipsnio 1, 2 dalyse,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4</w:t>
                              </w:r>
                              <w:r>
                                <w:rPr>
                                  <w:color w:val="000000"/>
                                  <w:szCs w:val="24"/>
                                  <w:vertAlign w:val="superscript"/>
                                </w:rPr>
                                <w:t>1</w:t>
                              </w:r>
                              <w:r>
                                <w:rPr>
                                  <w:color w:val="000000"/>
                                  <w:szCs w:val="24"/>
                                </w:rPr>
                                <w:t>, 5, 6 dalyse, 507, 507</w:t>
                              </w:r>
                              <w:r>
                                <w:rPr>
                                  <w:color w:val="000000"/>
                                  <w:szCs w:val="24"/>
                                  <w:vertAlign w:val="superscript"/>
                                </w:rPr>
                                <w:t>1</w:t>
                              </w:r>
                              <w:r>
                                <w:rPr>
                                  <w:color w:val="000000"/>
                                  <w:szCs w:val="24"/>
                                </w:rPr>
                                <w:t>,</w:t>
                              </w:r>
                              <w:r>
                                <w:rPr>
                                  <w:bCs/>
                                  <w:color w:val="000000"/>
                                  <w:szCs w:val="24"/>
                                </w:rPr>
                                <w:t xml:space="preserve"> </w:t>
                              </w:r>
                              <w:r>
                                <w:rPr>
                                  <w:color w:val="000000"/>
                                  <w:szCs w:val="24"/>
                                </w:rPr>
                                <w:t>508, 510</w:t>
                              </w:r>
                              <w:r>
                                <w:rPr>
                                  <w:color w:val="000000"/>
                                  <w:szCs w:val="24"/>
                                  <w:vertAlign w:val="superscript"/>
                                </w:rPr>
                                <w:t>1</w:t>
                              </w:r>
                              <w:r>
                                <w:rPr>
                                  <w:color w:val="000000"/>
                                  <w:szCs w:val="24"/>
                                </w:rPr>
                                <w:t xml:space="preserve">, 511, 512, 513, 518, 519, 520, 521, 523,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527, 528, 530, 534, 535, 538, 540, 546, 553, 555</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30efe564c0004a07970ab4e98cfbf2bd"/>
                            <w:lock w:val="sdtLocked"/>
                            <w:richText/>
                          </w:sdtPr>
                          <w:sdtContent>
                            <w:p>
                              <w:pPr>
                                <w:spacing w:line="360" w:lineRule="auto"/>
                                <w:ind w:firstLine="720"/>
                                <w:jc w:val="both"/>
                                <w:rPr>
                                  <w:szCs w:val="24"/>
                                </w:rPr>
                              </w:pPr>
                              <w:sdt>
                                <w:sdtPr>
                                  <w:alias w:val="Numeris"/>
                                  <w:tag w:val="nr_30efe564c0004a07970ab4e98cfbf2bd"/>
                                  <w:lock w:val="sdtLocked"/>
                                  <w:richText/>
                                </w:sdtPr>
                                <w:sdtContent>
                                  <w:r>
                                    <w:rPr>
                                      <w:szCs w:val="24"/>
                                    </w:rPr>
                                    <w:t>66</w:t>
                                  </w:r>
                                </w:sdtContent>
                              </w:sdt>
                              <w:r>
                                <w:rPr>
                                  <w:szCs w:val="24"/>
                                </w:rPr>
                                <w:t xml:space="preserve">) </w:t>
                              </w:r>
                              <w:r>
                                <w:t>Valstybinės mokesčių inspekcijos – dėl šio kodekso 93, 95, 99, 127, 132, 137, 143, 150, 151, 159, 160, 161, 162, 163, 164, 165, 166, 167, 168, 170, 172, 173, 174, 176, 187, 187</w:t>
                              </w:r>
                              <w:r>
                                <w:rPr>
                                  <w:vertAlign w:val="superscript"/>
                                </w:rPr>
                                <w:t>1</w:t>
                              </w:r>
                              <w:r>
                                <w:t>, 188, 188</w:t>
                              </w:r>
                              <w:r>
                                <w:rPr>
                                  <w:vertAlign w:val="superscript"/>
                                </w:rPr>
                                <w:t>1</w:t>
                              </w:r>
                              <w:r>
                                <w:t>, 188</w:t>
                              </w:r>
                              <w:r>
                                <w:rPr>
                                  <w:vertAlign w:val="superscript"/>
                                </w:rPr>
                                <w:t>3</w:t>
                              </w:r>
                              <w:r>
                                <w:t>, 188</w:t>
                              </w:r>
                              <w:r>
                                <w:rPr>
                                  <w:vertAlign w:val="superscript"/>
                                </w:rPr>
                                <w:t>4</w:t>
                              </w:r>
                              <w:r>
                                <w:t>, 188</w:t>
                              </w:r>
                              <w:r>
                                <w:rPr>
                                  <w:vertAlign w:val="superscript"/>
                                </w:rPr>
                                <w:t>5</w:t>
                              </w:r>
                              <w:r>
                                <w:t>,</w:t>
                              </w:r>
                              <w:r>
                                <w:rPr>
                                  <w:b/>
                                </w:rPr>
                                <w:t xml:space="preserve"> </w:t>
                              </w:r>
                              <w:r>
                                <w:t>189, 190, 191, 192, 194, 198</w:t>
                              </w:r>
                              <w:r>
                                <w:rPr>
                                  <w:vertAlign w:val="superscript"/>
                                </w:rPr>
                                <w:t>1</w:t>
                              </w:r>
                              <w:r>
                                <w:t>, 205, 207, 207</w:t>
                              </w:r>
                              <w:r>
                                <w:rPr>
                                  <w:vertAlign w:val="superscript"/>
                                </w:rPr>
                                <w:t>1</w:t>
                              </w:r>
                              <w:r>
                                <w:t>, 207</w:t>
                              </w:r>
                              <w:r>
                                <w:rPr>
                                  <w:vertAlign w:val="superscript"/>
                                </w:rPr>
                                <w:t>2</w:t>
                              </w:r>
                              <w:r>
                                <w:t xml:space="preserve"> straipsniuose, 209 straipsnio 1, 2, 3, 4, 5, 6, 7, 8 dalyse, 214 straipsnyje, 223 straipsnio 4, 5 dalyse, 224, 362</w:t>
                              </w:r>
                              <w:r>
                                <w:rPr>
                                  <w:vertAlign w:val="superscript"/>
                                </w:rPr>
                                <w:t>1</w:t>
                              </w:r>
                              <w:r>
                                <w:t>, 431, 449, 449</w:t>
                              </w:r>
                              <w:r>
                                <w:rPr>
                                  <w:vertAlign w:val="superscript"/>
                                </w:rPr>
                                <w:t>1</w:t>
                              </w:r>
                              <w:r>
                                <w:t xml:space="preserve"> straipsniuose, 450 straipsnio 1, 2, 17, 18 dalyse, 505, 507, 546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8e3ee6bcb4dd4e37b3ffa80f0d794cf1"/>
                            <w:lock w:val="sdtLocked"/>
                            <w:richText/>
                          </w:sdtPr>
                          <w:sdtContent>
                            <w:p>
                              <w:pPr>
                                <w:spacing w:line="360" w:lineRule="auto"/>
                                <w:ind w:firstLine="720"/>
                                <w:jc w:val="both"/>
                                <w:rPr>
                                  <w:szCs w:val="24"/>
                                </w:rPr>
                              </w:pPr>
                              <w:sdt>
                                <w:sdtPr>
                                  <w:alias w:val="Numeris"/>
                                  <w:tag w:val="nr_8e3ee6bcb4dd4e37b3ffa80f0d794cf1"/>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w:t>
                              </w:r>
                              <w:r>
                                <w:rPr>
                                  <w:bCs/>
                                  <w:color w:val="000000"/>
                                  <w:szCs w:val="24"/>
                                </w:rPr>
                                <w:t>5</w:t>
                              </w:r>
                              <w:r>
                                <w:rPr>
                                  <w:b/>
                                  <w:bCs/>
                                  <w:color w:val="000000"/>
                                  <w:szCs w:val="24"/>
                                </w:rPr>
                                <w:t xml:space="preserve"> </w:t>
                              </w:r>
                              <w:r>
                                <w:rPr>
                                  <w:color w:val="000000"/>
                                  <w:szCs w:val="24"/>
                                </w:rPr>
                                <w:t>dalyje, 526</w:t>
                              </w:r>
                              <w:r>
                                <w:rPr>
                                  <w:color w:val="000000"/>
                                  <w:szCs w:val="24"/>
                                  <w:vertAlign w:val="superscript"/>
                                </w:rPr>
                                <w:t>1</w:t>
                              </w:r>
                              <w:r>
                                <w:rPr>
                                  <w:color w:val="000000"/>
                                  <w:szCs w:val="24"/>
                                </w:rPr>
                                <w:t xml:space="preserve"> straipsnyje numatytų administracinių nusižengimų</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4266366062cc4e6fb11dfe414fb72c30"/>
                            <w:lock w:val="sdtLocked"/>
                            <w:richText/>
                          </w:sdtPr>
                          <w:sdtContent>
                            <w:p>
                              <w:pPr>
                                <w:spacing w:line="380" w:lineRule="atLeast"/>
                                <w:ind w:firstLine="720"/>
                                <w:jc w:val="both"/>
                              </w:pPr>
                              <w:sdt>
                                <w:sdtPr>
                                  <w:alias w:val="Numeris"/>
                                  <w:tag w:val="nr_4266366062cc4e6fb11dfe414fb72c30"/>
                                  <w:lock w:val="sdtLocked"/>
                                  <w:richText/>
                                </w:sdtPr>
                                <w:sdtContent>
                                  <w:r>
                                    <w:rPr>
                                      <w:szCs w:val="24"/>
                                    </w:rPr>
                                    <w:t>82</w:t>
                                  </w:r>
                                </w:sdtContent>
                              </w:sdt>
                              <w:r>
                                <w:rPr>
                                  <w:szCs w:val="24"/>
                                </w:rPr>
                                <w:t>)</w:t>
                              </w:r>
                              <w:r>
                                <w:rPr>
                                  <w:szCs w:val="24"/>
                                  <w:lang w:eastAsia="lt-LT"/>
                                </w:rPr>
                                <w:t xml:space="preserve"> savivaldybių administracijų – dėl šio kodekso 45, 46, 48, 78, 114 st</w:t>
                              </w:r>
                              <w:r>
                                <w:rPr>
                                  <w:bCs/>
                                  <w:szCs w:val="24"/>
                                  <w:lang w:eastAsia="lt-LT"/>
                                </w:rPr>
                                <w:t>r</w:t>
                              </w:r>
                              <w:r>
                                <w:rPr>
                                  <w:szCs w:val="24"/>
                                  <w:lang w:eastAsia="lt-LT"/>
                                </w:rPr>
                                <w:t>aipsniuose, 144 straipsnio 1, 4, 5 dalyse, 148, 149, 150, 152, 153, 154, 155, 156, 166, 167, 168 straipsniuose, 205 straipsnio 7 dalyje, 223, 224 straipsniuose, 225 straipsnio 1 dalyje,</w:t>
                              </w:r>
                              <w:r>
                                <w:rPr>
                                  <w:b/>
                                  <w:bCs/>
                                  <w:szCs w:val="24"/>
                                  <w:lang w:eastAsia="lt-LT"/>
                                </w:rPr>
                                <w:t xml:space="preserve"> </w:t>
                              </w:r>
                              <w:r>
                                <w:rPr>
                                  <w:szCs w:val="24"/>
                                  <w:lang w:eastAsia="lt-LT"/>
                                </w:rPr>
                                <w:t>242 straipsnio 4, 5</w:t>
                              </w:r>
                              <w:r>
                                <w:rPr>
                                  <w:bCs/>
                                  <w:szCs w:val="24"/>
                                  <w:lang w:eastAsia="lt-LT"/>
                                </w:rPr>
                                <w:t xml:space="preserve"> dalyse</w:t>
                              </w:r>
                              <w:r>
                                <w:rPr>
                                  <w:szCs w:val="24"/>
                                  <w:lang w:eastAsia="lt-LT"/>
                                </w:rPr>
                                <w:t>,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lt-LT"/>
                                </w:rPr>
                                <w:t>1</w:t>
                              </w:r>
                              <w:r>
                                <w:rPr>
                                  <w:szCs w:val="24"/>
                                  <w:lang w:eastAsia="lt-LT"/>
                                </w:rPr>
                                <w:t> dalyse, 418, 419 straipsniuose, 426 straipsnio 4 dalyje, 431 straipsnyje, 434 straipsnio 2 dalyje, 439, 446, 447 straipsniuose, 448 straipsnio 1, 2, 3, 4, 5, 6, 7, 8 dalyse, 449, 449</w:t>
                              </w:r>
                              <w:r>
                                <w:rPr>
                                  <w:szCs w:val="24"/>
                                  <w:vertAlign w:val="superscript"/>
                                  <w:lang w:eastAsia="lt-LT"/>
                                </w:rPr>
                                <w:t>1</w:t>
                              </w:r>
                              <w:r>
                                <w:rPr>
                                  <w:szCs w:val="24"/>
                                  <w:lang w:eastAsia="lt-LT"/>
                                </w:rPr>
                                <w:t>, 457, 459, 484, 484</w:t>
                              </w:r>
                              <w:r>
                                <w:rPr>
                                  <w:szCs w:val="24"/>
                                  <w:vertAlign w:val="superscript"/>
                                  <w:lang w:eastAsia="lt-LT"/>
                                </w:rPr>
                                <w:t>1</w:t>
                              </w:r>
                              <w:r>
                                <w:rPr>
                                  <w:szCs w:val="24"/>
                                  <w:lang w:eastAsia="lt-LT"/>
                                </w:rPr>
                                <w:t>, 485, 488, 491, 492, 497, 498, 499, 500, 501, 502, 503, 505, 505</w:t>
                              </w:r>
                              <w:r>
                                <w:rPr>
                                  <w:szCs w:val="24"/>
                                  <w:vertAlign w:val="superscript"/>
                                  <w:lang w:eastAsia="lt-LT"/>
                                </w:rPr>
                                <w:t>1</w:t>
                              </w:r>
                              <w:r>
                                <w:rPr>
                                  <w:szCs w:val="24"/>
                                  <w:lang w:eastAsia="lt-LT"/>
                                </w:rPr>
                                <w:t>, 507, 507</w:t>
                              </w:r>
                              <w:r>
                                <w:rPr>
                                  <w:szCs w:val="24"/>
                                  <w:vertAlign w:val="superscript"/>
                                  <w:lang w:eastAsia="lt-LT"/>
                                </w:rPr>
                                <w:t>1</w:t>
                              </w:r>
                              <w:r>
                                <w:rPr>
                                  <w:szCs w:val="24"/>
                                  <w:lang w:eastAsia="lt-LT"/>
                                </w:rPr>
                                <w:t>, 516, 517</w:t>
                              </w:r>
                              <w:r>
                                <w:rPr>
                                  <w:szCs w:val="24"/>
                                  <w:vertAlign w:val="superscript"/>
                                  <w:lang w:eastAsia="lt-LT"/>
                                </w:rPr>
                                <w:t>1</w:t>
                              </w:r>
                              <w:r>
                                <w:rPr>
                                  <w:szCs w:val="24"/>
                                  <w:lang w:eastAsia="lt-LT"/>
                                </w:rPr>
                                <w:t>, 517</w:t>
                              </w:r>
                              <w:r>
                                <w:rPr>
                                  <w:szCs w:val="24"/>
                                  <w:vertAlign w:val="superscript"/>
                                  <w:lang w:eastAsia="lt-LT"/>
                                </w:rPr>
                                <w:t>2</w:t>
                              </w:r>
                              <w:r>
                                <w:rPr>
                                  <w:szCs w:val="24"/>
                                  <w:lang w:eastAsia="lt-LT"/>
                                </w:rPr>
                                <w:t>, 517</w:t>
                              </w:r>
                              <w:r>
                                <w:rPr>
                                  <w:szCs w:val="24"/>
                                  <w:vertAlign w:val="superscript"/>
                                  <w:lang w:eastAsia="lt-LT"/>
                                </w:rPr>
                                <w:t>3</w:t>
                              </w:r>
                              <w:r>
                                <w:rPr>
                                  <w:szCs w:val="24"/>
                                  <w:lang w:eastAsia="lt-LT"/>
                                </w:rPr>
                                <w:t>, 517</w:t>
                              </w:r>
                              <w:r>
                                <w:rPr>
                                  <w:szCs w:val="24"/>
                                  <w:vertAlign w:val="superscript"/>
                                  <w:lang w:eastAsia="lt-LT"/>
                                </w:rPr>
                                <w:t>4</w:t>
                              </w:r>
                              <w:r>
                                <w:rPr>
                                  <w:szCs w:val="24"/>
                                  <w:lang w:eastAsia="lt-LT"/>
                                </w:rPr>
                                <w:t>, 518, 519, 526, 526</w:t>
                              </w:r>
                              <w:r>
                                <w:rPr>
                                  <w:szCs w:val="24"/>
                                  <w:vertAlign w:val="superscript"/>
                                  <w:lang w:eastAsia="lt-LT"/>
                                </w:rPr>
                                <w:t>1</w:t>
                              </w:r>
                              <w:r>
                                <w:rPr>
                                  <w:szCs w:val="24"/>
                                  <w:lang w:eastAsia="lt-LT"/>
                                </w:rPr>
                                <w:t>,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7"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55"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8"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9" w:tgtFrame="_blank" w:history="1">
                <w:r>
                  <w:rPr>
                    <w:bCs/>
                    <w:color w:val="0000FF" w:themeColor="hyperlink"/>
                    <w:szCs w:val="24"/>
                    <w:u w:val="single"/>
                  </w:rPr>
                  <w:t>(ES) 2019/1937</w:t>
                </w:r>
              </w:hyperlink>
              <w:r>
                <w:rPr>
                  <w:bCs/>
                  <w:szCs w:val="24"/>
                </w:rPr>
                <w:t xml:space="preserve"> ir panaikinamas Reglamentas </w:t>
              </w:r>
              <w:hyperlink r:id="rId50"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1"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2"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D70862"/>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5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1102.xml"/>
  <Relationship Id="rId17" Type="http://schemas.openxmlformats.org/officeDocument/2006/relationships/header" Target="header1103.xml"/>
  <Relationship Id="rId18" Type="http://schemas.openxmlformats.org/officeDocument/2006/relationships/footer" Target="footer1102.xml"/>
  <Relationship Id="rId19" Type="http://schemas.openxmlformats.org/officeDocument/2006/relationships/footer" Target="footer1103.xml"/>
  <Relationship Id="rId2" Type="http://schemas.openxmlformats.org/officeDocument/2006/relationships/header" Target="header551.xml"/>
  <Relationship Id="rId20" Type="http://schemas.openxmlformats.org/officeDocument/2006/relationships/header" Target="header1104.xml"/>
  <Relationship Id="rId21" Type="http://schemas.openxmlformats.org/officeDocument/2006/relationships/footer" Target="footer1104.xml"/>
  <Relationship Id="rId22" Type="http://schemas.openxmlformats.org/officeDocument/2006/relationships/hyperlink" TargetMode="External" Target="http://eur-lex.europa.eu/legal-content/LIT/TXT/?uri=CELEX:32021R0782&amp;locale=lt"/>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550.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551.xml"/>
  <Relationship Id="rId40" Type="http://schemas.openxmlformats.org/officeDocument/2006/relationships/hyperlink" TargetMode="External" Target="http://eur-lex.europa.eu/legal-content/LIT/TXT/?uri=CELEX:32010R0255&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2024R0573&amp;locale=lt"/>
  <Relationship Id="rId49" Type="http://schemas.openxmlformats.org/officeDocument/2006/relationships/hyperlink" TargetMode="External" Target="http://eur-lex.europa.eu/legal-content/LIT/TXT/?uri=CELEX:32019L1937&amp;locale=lt"/>
  <Relationship Id="rId5" Type="http://schemas.openxmlformats.org/officeDocument/2006/relationships/header" Target="header552.xml"/>
  <Relationship Id="rId50" Type="http://schemas.openxmlformats.org/officeDocument/2006/relationships/hyperlink" TargetMode="External" Target="http://eur-lex.europa.eu/legal-content/LIT/TXT/?uri=CELEX:32014R0517&amp;locale=lt"/>
  <Relationship Id="rId51" Type="http://schemas.openxmlformats.org/officeDocument/2006/relationships/hyperlink" TargetMode="External" Target="http://eur-lex.europa.eu/legal-content/LIT/TXT/?uri=CELEX:32024L1226&amp;locale=lt"/>
  <Relationship Id="rId52" Type="http://schemas.openxmlformats.org/officeDocument/2006/relationships/hyperlink" TargetMode="External" Target="http://eur-lex.europa.eu/legal-content/LIT/TXT/?uri=CELEX:32018L1673&amp;locale=lt"/>
  <Relationship Id="rId53" Type="http://schemas.openxmlformats.org/officeDocument/2006/relationships/hyperlink" TargetMode="External" Target="http://eur-lex.europa.eu/legal-content/LIT/TXT/?uri=CELEX:32021R0782&amp;locale=lt"/>
  <Relationship Id="rId54" Type="http://schemas.openxmlformats.org/officeDocument/2006/relationships/hyperlink" TargetMode="External" Target="http://eur-lex.europa.eu/legal-content/LIT/TXT/?uri=CELEX:32021R0782&amp;locale=lt"/>
  <Relationship Id="rId55" Type="http://schemas.openxmlformats.org/officeDocument/2006/relationships/hyperlink" TargetMode="External" Target="http://eur-lex.europa.eu/legal-content/LIT/TXT/?uri=CELEX:32021R0782&amp;locale=lt"/>
  <Relationship Id="rId56" Type="http://schemas.openxmlformats.org/officeDocument/2006/relationships/customXml" Target="../customXml/item1.xml"/>
  <Relationship Id="rId6" Type="http://schemas.openxmlformats.org/officeDocument/2006/relationships/footer" Target="footer55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9c1d1f1ec8f84aaa890f32eff0764f0b">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b603c7a8d0184296bd6dd791ce87982c">
          <Part Type="strDalis" Nr="1" Abbr="77 str. 1 d." DocPartId="acaf58175a9c402e92e81b40d1560e24" PartId="09185c06bc5846ddbeff7eda0b5140c9"/>
          <Part Type="strDalis" Nr="2" Abbr="77 str. 2 d." DocPartId="e844f177ab68460d9e3f09f501316db9" PartId="c3a7949a9a01435cae80bffa2b215c14"/>
          <Part Type="strDalis" Nr="3" Abbr="77 str. 3 d." DocPartId="6b2c26b52de74606910885e389f0e75a" PartId="d37e16b38cab49cfa4d97c2c1f0b12b5"/>
          <Part Type="strDalis" Nr="4" Abbr="77 str. 4 d." DocPartId="d0a9951a5f4744a7885428f577904f61" PartId="ed394c3f95384349a71dac5b651ed1ef"/>
          <Part Type="strDalis" Nr="5" Abbr="77 str. 5 d." DocPartId="679ffbf865c142abad57a4d783782e64" PartId="b2e7c68314f24515bf04572346f4a99a"/>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ir alternatyviosios krašto apsaugos tarnybos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72712b79482e4e5e8c3e9b8ac5a4610b"/>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c8921e0a91054088bb3b5f51b442473d"/>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30efe564c0004a07970ab4e98cfbf2bd"/>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8e3ee6bcb4dd4e37b3ffa80f0d794cf1"/>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4266366062cc4e6fb11dfe414fb72c30"/>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2D042BD-4E18-4D51-85CC-D2B808EA194C}">
  <ds:schemaRefs>
    <ds:schemaRef ds:uri="http://lrs.lt/TAIS/DocParts"/>
  </ds:schemaRefs>
</ds:datastoreItem>
</file>

<file path=customXml/itemProps3.xml><?xml version="1.0" encoding="utf-8"?>
<ds:datastoreItem xmlns:ds="http://schemas.openxmlformats.org/officeDocument/2006/customXml" ds:itemID="{15DFA71A-67C9-4F02-944E-12E0DB6A9B6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880</TotalTime>
  <Pages>478</Pages>
  <Words>146515</Words>
  <Characters>1065761</Characters>
  <Application>Microsoft Office Word</Application>
  <DocSecurity>0</DocSecurity>
  <Lines>8881</Lines>
  <Paragraphs>2419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1209857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GRINKEVIČIŪTĖ Agnė</lastModifiedBy>
  <lastPrinted>2015-07-03T07:36:00Z</lastPrinted>
  <dcterms:modified xsi:type="dcterms:W3CDTF">2025-09-22T07:33:00Z</dcterms:modified>
  <revision>423</revision>
</coreProperties>
</file>