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2018-06-12 iki 2018-06-14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a841a58ed6485f8cd09e50e0f86001"/>
                    <w:lock w:val="sdtLocked"/>
                    <w:richText/>
                  </w:sdtPr>
                  <w:sdtContent>
                    <w:p>
                      <w:pPr>
                        <w:spacing w:line="360" w:lineRule="auto"/>
                        <w:ind w:left="2552" w:hanging="1832"/>
                        <w:jc w:val="both"/>
                        <w:rPr>
                          <w:szCs w:val="24"/>
                          <w:lang w:eastAsia="lt-LT"/>
                        </w:rPr>
                      </w:pPr>
                      <w:sdt>
                        <w:sdtPr>
                          <w:alias w:val="Numeris"/>
                          <w:tag w:val="nr_1fa841a58ed6485f8cd09e50e0f86001"/>
                          <w:lock w:val="sdtLocked"/>
                          <w:richText/>
                        </w:sdtPr>
                        <w:sdtContent>
                          <w:r>
                            <w:rPr>
                              <w:b/>
                              <w:bCs/>
                              <w:szCs w:val="24"/>
                              <w:lang w:eastAsia="lt-LT"/>
                            </w:rPr>
                            <w:t>479</w:t>
                          </w:r>
                        </w:sdtContent>
                      </w:sdt>
                      <w:r>
                        <w:rPr>
                          <w:b/>
                          <w:bCs/>
                          <w:szCs w:val="24"/>
                          <w:lang w:eastAsia="lt-LT"/>
                        </w:rPr>
                        <w:t xml:space="preserve"> straipsnis. </w:t>
                      </w:r>
                      <w:sdt>
                        <w:sdtPr>
                          <w:alias w:val="Pavadinimas"/>
                          <w:tag w:val="title_1fa841a58ed6485f8cd09e50e0f86001"/>
                          <w:lock w:val="sdtLocked"/>
                          <w:richText/>
                        </w:sdtPr>
                        <w:sdtContent>
                          <w:r>
                            <w:rPr>
                              <w:b/>
                              <w:bCs/>
                              <w:szCs w:val="24"/>
                              <w:lang w:eastAsia="lt-LT"/>
                            </w:rPr>
                            <w:t>Lietuvos Respublikos kibernetinio saugumo įstatyme nustatytos informacijos teikimo pareigos atlikimo pažeidimai</w:t>
                          </w:r>
                        </w:sdtContent>
                      </w:sdt>
                    </w:p>
                    <w:sdt>
                      <w:sdtPr>
                        <w:alias w:val="479 str. 1 d."/>
                        <w:tag w:val="part_1fabc720b1af4e16a7fe69478c662644"/>
                        <w:lock w:val="sdtLocked"/>
                        <w:richText/>
                      </w:sdtPr>
                      <w:sdtContent>
                        <w:p>
                          <w:pPr>
                            <w:spacing w:line="360" w:lineRule="auto"/>
                            <w:ind w:firstLine="720"/>
                            <w:jc w:val="both"/>
                            <w:rPr>
                              <w:szCs w:val="24"/>
                              <w:lang w:eastAsia="lt-LT"/>
                            </w:rPr>
                          </w:pPr>
                          <w:sdt>
                            <w:sdtPr>
                              <w:alias w:val="Numeris"/>
                              <w:tag w:val="nr_1fabc720b1af4e16a7fe69478c662644"/>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39a9e0a247484164804b9e871ca54c44"/>
                        <w:lock w:val="sdtLocked"/>
                        <w:richText/>
                      </w:sdtPr>
                      <w:sdtContent>
                        <w:p>
                          <w:pPr>
                            <w:spacing w:line="360" w:lineRule="auto"/>
                            <w:ind w:firstLine="720"/>
                            <w:jc w:val="both"/>
                            <w:rPr>
                              <w:szCs w:val="24"/>
                              <w:lang w:eastAsia="lt-LT"/>
                            </w:rPr>
                          </w:pPr>
                          <w:sdt>
                            <w:sdtPr>
                              <w:alias w:val="Numeris"/>
                              <w:tag w:val="nr_39a9e0a247484164804b9e871ca54c44"/>
                              <w:lock w:val="sdtLocked"/>
                              <w:richText/>
                            </w:sdtPr>
                            <w:sdtContent>
                              <w:r>
                                <w:rPr>
                                  <w:szCs w:val="24"/>
                                  <w:lang w:eastAsia="lt-LT"/>
                                </w:rPr>
                                <w:t>2</w:t>
                              </w:r>
                            </w:sdtContent>
                          </w:sdt>
                          <w:r>
                            <w:rPr>
                              <w:szCs w:val="24"/>
                              <w:lang w:eastAsia="lt-LT"/>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accc845d249945fd9caa37fcac9ca652"/>
                        <w:lock w:val="sdtLocked"/>
                        <w:richText/>
                      </w:sdtPr>
                      <w:sdtContent>
                        <w:p>
                          <w:pPr>
                            <w:spacing w:line="360" w:lineRule="auto"/>
                            <w:ind w:firstLine="720"/>
                            <w:jc w:val="both"/>
                            <w:rPr>
                              <w:szCs w:val="24"/>
                              <w:lang w:eastAsia="lt-LT"/>
                            </w:rPr>
                          </w:pPr>
                          <w:sdt>
                            <w:sdtPr>
                              <w:alias w:val="Numeris"/>
                              <w:tag w:val="nr_accc845d249945fd9caa37fcac9ca652"/>
                              <w:lock w:val="sdtLocked"/>
                              <w:richText/>
                            </w:sdtPr>
                            <w:sdtContent>
                              <w:r>
                                <w:rPr>
                                  <w:szCs w:val="24"/>
                                  <w:lang w:eastAsia="lt-LT"/>
                                </w:rPr>
                                <w:t>3</w:t>
                              </w:r>
                            </w:sdtContent>
                          </w:sdt>
                          <w:r>
                            <w:rPr>
                              <w:szCs w:val="24"/>
                              <w:lang w:eastAsia="lt-LT"/>
                            </w:rPr>
                            <w:t>. Informacijos, reikalingos vertinti viešųjų ryšių tinklų, viešųjų elektroninių ryšių paslaugų ir (arba) elektroninės informacijos prieglobos paslaugų kibernetinio saugumo būseną, nepateikimas Nacionaliniam kibernetinio saugumo centrui arba šios informacijos pateikimo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186a68d26bc24b469e8c43b4246d8dd5"/>
                        <w:lock w:val="sdtLocked"/>
                        <w:richText/>
                      </w:sdtPr>
                      <w:sdtContent>
                        <w:p>
                          <w:pPr>
                            <w:spacing w:line="360" w:lineRule="auto"/>
                            <w:ind w:firstLine="720"/>
                            <w:jc w:val="both"/>
                            <w:rPr>
                              <w:szCs w:val="24"/>
                              <w:lang w:eastAsia="lt-LT"/>
                            </w:rPr>
                          </w:pPr>
                          <w:sdt>
                            <w:sdtPr>
                              <w:alias w:val="Numeris"/>
                              <w:tag w:val="nr_186a68d26bc24b469e8c43b4246d8dd5"/>
                              <w:lock w:val="sdtLocked"/>
                              <w:richText/>
                            </w:sdtPr>
                            <w:sdtContent>
                              <w:r>
                                <w:rPr>
                                  <w:szCs w:val="24"/>
                                  <w:lang w:eastAsia="lt-LT"/>
                                </w:rPr>
                                <w:t>4</w:t>
                              </w:r>
                            </w:sdtContent>
                          </w:sdt>
                          <w:r>
                            <w:rPr>
                              <w:szCs w:val="24"/>
                              <w:lang w:eastAsia="lt-LT"/>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5 d."/>
                        <w:tag w:val="part_6a3a69cef5334e48a5c838056567ede1"/>
                        <w:lock w:val="sdtLocked"/>
                        <w:richText/>
                      </w:sdtPr>
                      <w:sdtContent>
                        <w:p>
                          <w:pPr>
                            <w:spacing w:line="360" w:lineRule="auto"/>
                            <w:ind w:firstLine="720"/>
                            <w:jc w:val="both"/>
                            <w:rPr>
                              <w:szCs w:val="24"/>
                              <w:lang w:eastAsia="lt-LT"/>
                            </w:rPr>
                          </w:pPr>
                          <w:sdt>
                            <w:sdtPr>
                              <w:alias w:val="Numeris"/>
                              <w:tag w:val="nr_6a3a69cef5334e48a5c838056567ede1"/>
                              <w:lock w:val="sdtLocked"/>
                              <w:richText/>
                            </w:sdtPr>
                            <w:sdtContent>
                              <w:r>
                                <w:rPr>
                                  <w:szCs w:val="24"/>
                                  <w:lang w:eastAsia="lt-LT"/>
                                </w:rPr>
                                <w:t>5</w:t>
                              </w:r>
                            </w:sdtContent>
                          </w:sdt>
                          <w:r>
                            <w:rPr>
                              <w:szCs w:val="24"/>
                              <w:lang w:eastAsia="lt-LT"/>
                            </w:rPr>
                            <w:t>. Šio straipsnio 1, 2, 3, 4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3ecc128109344e4caa6908f91dc7477b"/>
                        <w:lock w:val="sdtLocked"/>
                        <w:richText/>
                      </w:sdtPr>
                      <w:sdtContent>
                        <w:p>
                          <w:pPr>
                            <w:spacing w:line="360" w:lineRule="auto"/>
                            <w:ind w:firstLine="720"/>
                            <w:jc w:val="both"/>
                            <w:rPr>
                              <w:szCs w:val="24"/>
                              <w:lang w:eastAsia="lt-LT"/>
                            </w:rPr>
                          </w:pPr>
                          <w:sdt>
                            <w:sdtPr>
                              <w:alias w:val="Numeris"/>
                              <w:tag w:val="nr_3ecc128109344e4caa6908f91dc7477b"/>
                              <w:lock w:val="sdtLocked"/>
                              <w:richText/>
                            </w:sdtPr>
                            <w:sdtContent>
                              <w:r>
                                <w:rPr>
                                  <w:szCs w:val="24"/>
                                  <w:lang w:eastAsia="lt-LT"/>
                                </w:rPr>
                                <w:t>1</w:t>
                              </w:r>
                            </w:sdtContent>
                          </w:sdt>
                          <w:r>
                            <w:rPr>
                              <w:szCs w:val="24"/>
                              <w:lang w:eastAsia="lt-LT"/>
                            </w:rPr>
                            <w:t>. Teisėtų Nacionalinio kibernetinio saugumo centro nurodymų, susijusių su kibernetinio saugumo užtikrinimu, neįvykdymas laiku</w:t>
                          </w:r>
                        </w:p>
                        <w:p>
                          <w:pPr>
                            <w:spacing w:line="360" w:lineRule="auto"/>
                            <w:ind w:firstLine="720"/>
                            <w:jc w:val="both"/>
                            <w:rPr>
                              <w:bCs/>
                              <w:szCs w:val="24"/>
                            </w:rPr>
                          </w:pPr>
                          <w:r>
                            <w:rPr>
                              <w:szCs w:val="24"/>
                              <w:lang w:eastAsia="lt-LT"/>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4b7093da4f164cf5adf6c74ee2e95515"/>
                        <w:lock w:val="sdtLocked"/>
                        <w:richText/>
                      </w:sdtPr>
                      <w:sdtContent>
                        <w:p>
                          <w:pPr>
                            <w:spacing w:line="360" w:lineRule="auto"/>
                            <w:ind w:firstLine="720"/>
                            <w:jc w:val="both"/>
                            <w:rPr>
                              <w:szCs w:val="24"/>
                              <w:lang w:eastAsia="lt-LT"/>
                            </w:rPr>
                          </w:pPr>
                          <w:sdt>
                            <w:sdtPr>
                              <w:alias w:val="Numeris"/>
                              <w:tag w:val="nr_4b7093da4f164cf5adf6c74ee2e95515"/>
                              <w:lock w:val="sdtLocked"/>
                              <w:richText/>
                            </w:sdtPr>
                            <w:sdtContent>
                              <w:r>
                                <w:rPr>
                                  <w:szCs w:val="24"/>
                                  <w:lang w:eastAsia="lt-LT"/>
                                </w:rPr>
                                <w:t>4</w:t>
                              </w:r>
                            </w:sdtContent>
                          </w:sdt>
                          <w:r>
                            <w:rPr>
                              <w:szCs w:val="24"/>
                              <w:lang w:eastAsia="lt-LT"/>
                            </w:rPr>
                            <w:t>. Nustatytų organizacinių ir techninių reikalavimų ypatingos svarbos informacinei infrastruktūrai arba elektroninės informacijos prieglobos paslaugų kibernetiniam saugumui užtikrinti nesilaikymas</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abbe5f97ec044ffea656a774c68e2bc8"/>
                            <w:lock w:val="sdtLocked"/>
                            <w:richText/>
                          </w:sdtPr>
                          <w:sdtContent>
                            <w:p>
                              <w:pPr>
                                <w:spacing w:line="360" w:lineRule="auto"/>
                                <w:ind w:firstLine="720"/>
                                <w:jc w:val="both"/>
                                <w:rPr>
                                  <w:szCs w:val="24"/>
                                </w:rPr>
                              </w:pPr>
                              <w:sdt>
                                <w:sdtPr>
                                  <w:alias w:val="Numeris"/>
                                  <w:tag w:val="nr_abbe5f97ec044ffea656a774c68e2bc8"/>
                                  <w:lock w:val="sdtLocked"/>
                                  <w:richText/>
                                </w:sdtPr>
                                <w:sdtContent>
                                  <w:r>
                                    <w:rPr>
                                      <w:bCs/>
                                      <w:szCs w:val="24"/>
                                      <w:lang w:val="ga-IE"/>
                                    </w:rPr>
                                    <w:t>7</w:t>
                                  </w:r>
                                </w:sdtContent>
                              </w:sdt>
                              <w:r>
                                <w:rPr>
                                  <w:bCs/>
                                  <w:szCs w:val="24"/>
                                  <w:lang w:val="ga-IE"/>
                                </w:rPr>
                                <w:t>) Lietuvos banko – dėl šio kodekso 196 straipsnio 2 dalyje, 198, 200, 201, 202, 203, 221, 222,</w:t>
                              </w:r>
                              <w:r>
                                <w:rPr>
                                  <w:b/>
                                  <w:bCs/>
                                  <w:szCs w:val="24"/>
                                  <w:lang w:val="ga-IE"/>
                                </w:rPr>
                                <w:t xml:space="preserve"> </w:t>
                              </w:r>
                              <w:r>
                                <w:rPr>
                                  <w:bCs/>
                                  <w:szCs w:val="24"/>
                                  <w:lang w:val="ga-IE"/>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77686d5bd06c4a65b3cd854a63603b6b"/>
                            <w:lock w:val="sdtLocked"/>
                            <w:richText/>
                          </w:sdtPr>
                          <w:sdtContent>
                            <w:p>
                              <w:pPr>
                                <w:spacing w:line="360" w:lineRule="auto"/>
                                <w:ind w:firstLine="720"/>
                                <w:jc w:val="both"/>
                                <w:rPr>
                                  <w:szCs w:val="24"/>
                                </w:rPr>
                              </w:pPr>
                              <w:sdt>
                                <w:sdtPr>
                                  <w:alias w:val="Numeris"/>
                                  <w:tag w:val="nr_77686d5bd06c4a65b3cd854a63603b6b"/>
                                  <w:lock w:val="sdtLocked"/>
                                  <w:richText/>
                                </w:sdtPr>
                                <w:sdtContent>
                                  <w:r>
                                    <w:rPr>
                                      <w:szCs w:val="24"/>
                                      <w:lang w:eastAsia="lt-LT"/>
                                    </w:rPr>
                                    <w:t>29</w:t>
                                  </w:r>
                                </w:sdtContent>
                              </w:sdt>
                              <w:r>
                                <w:rPr>
                                  <w:szCs w:val="24"/>
                                  <w:lang w:eastAsia="lt-LT"/>
                                </w:rPr>
                                <w:t>) Valstybinės duomenų apsaugos inspekcijos – dėl šio kodekso 82, 83 straipsniuose, 224 straipsnio 1 dalyje, 479 straipsnio 2, 5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150a69ad6c104589a7d6faa4756caa35"/>
                            <w:lock w:val="sdtLocked"/>
                            <w:richText/>
                          </w:sdtPr>
                          <w:sdtContent>
                            <w:p>
                              <w:pPr>
                                <w:spacing w:line="360" w:lineRule="auto"/>
                                <w:ind w:firstLine="720"/>
                                <w:jc w:val="both"/>
                                <w:rPr>
                                  <w:szCs w:val="24"/>
                                </w:rPr>
                              </w:pPr>
                              <w:sdt>
                                <w:sdtPr>
                                  <w:alias w:val="Numeris"/>
                                  <w:tag w:val="nr_150a69ad6c104589a7d6faa4756caa35"/>
                                  <w:lock w:val="sdtLocked"/>
                                  <w:richText/>
                                </w:sdtPr>
                                <w:sdtContent>
                                  <w:r>
                                    <w:rPr>
                                      <w:szCs w:val="24"/>
                                      <w:lang w:eastAsia="lt-LT"/>
                                    </w:rPr>
                                    <w:t>46</w:t>
                                  </w:r>
                                </w:sdtContent>
                              </w:sdt>
                              <w:r>
                                <w:rPr>
                                  <w:szCs w:val="24"/>
                                  <w:lang w:eastAsia="lt-LT"/>
                                </w:rPr>
                                <w:t>) Nacionalinio kibernetinio saugumo centro – 479 straipsnio 1, 3, 5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4f7978f8ce224da2b8dfa044c89db5fa"/>
                            <w:lock w:val="sdtLocked"/>
                            <w:richText/>
                          </w:sdtPr>
                          <w:sdtContent>
                            <w:p>
                              <w:pPr>
                                <w:spacing w:line="360" w:lineRule="auto"/>
                                <w:ind w:firstLine="720"/>
                                <w:jc w:val="both"/>
                                <w:rPr>
                                  <w:szCs w:val="24"/>
                                </w:rPr>
                              </w:pPr>
                              <w:sdt>
                                <w:sdtPr>
                                  <w:alias w:val="Numeris"/>
                                  <w:tag w:val="nr_4f7978f8ce224da2b8dfa044c89db5fa"/>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4, 5 dalyse,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4535debd890041e1a98ee034deb5154e"/>
                            <w:lock w:val="sdtLocked"/>
                            <w:richText/>
                          </w:sdtPr>
                          <w:sdtContent>
                            <w:p>
                              <w:pPr>
                                <w:spacing w:line="360" w:lineRule="auto"/>
                                <w:ind w:firstLine="720"/>
                                <w:jc w:val="both"/>
                                <w:rPr>
                                  <w:szCs w:val="24"/>
                                </w:rPr>
                              </w:pPr>
                              <w:sdt>
                                <w:sdtPr>
                                  <w:alias w:val="Numeris"/>
                                  <w:tag w:val="nr_4535debd890041e1a98ee034deb5154e"/>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13f9d54173c842318c6af17afec53df7"/>
                            <w:lock w:val="sdtLocked"/>
                            <w:richText/>
                          </w:sdtPr>
                          <w:sdtContent>
                            <w:p>
                              <w:pPr>
                                <w:spacing w:line="360" w:lineRule="auto"/>
                                <w:ind w:firstLine="720"/>
                                <w:jc w:val="both"/>
                                <w:rPr>
                                  <w:bCs/>
                                  <w:szCs w:val="24"/>
                                </w:rPr>
                              </w:pPr>
                              <w:sdt>
                                <w:sdtPr>
                                  <w:alias w:val="Numeris"/>
                                  <w:tag w:val="nr_13f9d54173c842318c6af17afec53df7"/>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68246d0437fc491e9b24a3387dab8f46"/>
                            <w:lock w:val="sdtLocked"/>
                            <w:richText/>
                          </w:sdtPr>
                          <w:sdtContent>
                            <w:p>
                              <w:pPr>
                                <w:spacing w:line="360" w:lineRule="auto"/>
                                <w:ind w:firstLine="720"/>
                                <w:jc w:val="both"/>
                                <w:rPr>
                                  <w:szCs w:val="24"/>
                                </w:rPr>
                              </w:pPr>
                              <w:r>
                                <w:rPr>
                                  <w:color w:val="000000"/>
                                  <w:szCs w:val="24"/>
                                  <w:lang w:eastAsia="lt-LT"/>
                                </w:rPr>
                                <w:t>81)</w:t>
                              </w:r>
                              <w:r>
                                <w:rPr>
                                  <w:b/>
                                  <w:color w:val="000000"/>
                                  <w:szCs w:val="24"/>
                                  <w:lang w:eastAsia="lt-LT"/>
                                </w:rPr>
                                <w:t xml:space="preserve"> </w:t>
                              </w:r>
                              <w:r>
                                <w:rPr>
                                  <w:color w:val="000000"/>
                                  <w:szCs w:val="24"/>
                                  <w:lang w:eastAsia="lt-LT"/>
                                </w:rPr>
                                <w:t>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vertAlign w:val="superscript"/>
                                  <w:lang w:eastAsia="lt-LT"/>
                                </w:rPr>
                                <w:t>1</w:t>
                              </w:r>
                              <w:r>
                                <w:rPr>
                                  <w:color w:val="000000"/>
                                  <w:szCs w:val="24"/>
                                  <w:lang w:eastAsia="lt-LT"/>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e869fe566e11433ab70cfeea7e637f49"/>
                            <w:lock w:val="sdtLocked"/>
                            <w:richText/>
                          </w:sdtPr>
                          <w:sdtContent>
                            <w:p>
                              <w:pPr>
                                <w:spacing w:line="360" w:lineRule="auto"/>
                                <w:ind w:firstLine="720"/>
                                <w:jc w:val="both"/>
                              </w:pPr>
                              <w:sdt>
                                <w:sdtPr>
                                  <w:alias w:val="Numeris"/>
                                  <w:tag w:val="nr_e869fe566e11433ab70cfeea7e637f49"/>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9 p."/>
                            <w:tag w:val="part_f5a4210f345e4a31b58bac8f7e6ae508"/>
                            <w:lock w:val="sdtLocked"/>
                            <w:richText/>
                          </w:sdtPr>
                          <w:sdtContent>
                            <w:p>
                              <w:pPr>
                                <w:spacing w:line="360" w:lineRule="auto"/>
                                <w:ind w:firstLine="720"/>
                                <w:jc w:val="both"/>
                              </w:pPr>
                              <w:sdt>
                                <w:sdtPr>
                                  <w:alias w:val="Numeris"/>
                                  <w:tag w:val="nr_f5a4210f345e4a31b58bac8f7e6ae508"/>
                                  <w:lock w:val="sdtLocked"/>
                                  <w:richText/>
                                </w:sdtPr>
                                <w:sdtContent>
                                  <w:r>
                                    <w:rPr>
                                      <w:szCs w:val="24"/>
                                    </w:rPr>
                                    <w:t>99</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100 p."/>
                            <w:tag w:val="part_b8cdcac5aedd474c91c3e0d036236536"/>
                            <w:lock w:val="sdtLocked"/>
                            <w:richText/>
                          </w:sdtPr>
                          <w:sdtContent>
                            <w:p>
                              <w:pPr>
                                <w:spacing w:line="360" w:lineRule="auto"/>
                                <w:ind w:firstLine="720"/>
                                <w:jc w:val="both"/>
                                <w:rPr>
                                  <w:szCs w:val="24"/>
                                </w:rPr>
                              </w:pPr>
                              <w:sdt>
                                <w:sdtPr>
                                  <w:alias w:val="Numeris"/>
                                  <w:tag w:val="nr_b8cdcac5aedd474c91c3e0d036236536"/>
                                  <w:lock w:val="sdtLocked"/>
                                  <w:richText/>
                                </w:sdtPr>
                                <w:sdtContent>
                                  <w:r>
                                    <w:rPr>
                                      <w:bCs/>
                                      <w:szCs w:val="24"/>
                                      <w:lang w:val="ga-IE"/>
                                    </w:rPr>
                                    <w:t>100</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7 p."/>
            <w:tag w:val="part_06051821f5704e978a10dbb325b0e647"/>
            <w:lock w:val="sdtLocked"/>
            <w:richText/>
          </w:sdtPr>
          <w:sdtContent>
            <w:p>
              <w:pPr>
                <w:spacing w:line="360" w:lineRule="auto"/>
                <w:ind w:firstLine="720"/>
                <w:jc w:val="both"/>
              </w:pPr>
              <w:sdt>
                <w:sdtPr>
                  <w:alias w:val="Numeris"/>
                  <w:tag w:val="nr_06051821f5704e978a10dbb325b0e647"/>
                  <w:lock w:val="sdtLocked"/>
                  <w:richText/>
                </w:sdtPr>
                <w:sdtContent>
                  <w:r>
                    <w:rPr>
                      <w:szCs w:val="24"/>
                      <w:lang w:eastAsia="lt-LT"/>
                    </w:rPr>
                    <w:t>97</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32136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40.xml"/>
  <Relationship Id="rId3" Type="http://schemas.openxmlformats.org/officeDocument/2006/relationships/footer" Target="footer139.xml"/>
  <Relationship Id="rId4" Type="http://schemas.openxmlformats.org/officeDocument/2006/relationships/footer" Target="footer140.xml"/>
  <Relationship Id="rId5" Type="http://schemas.openxmlformats.org/officeDocument/2006/relationships/header" Target="header141.xml"/>
  <Relationship Id="rId6" Type="http://schemas.openxmlformats.org/officeDocument/2006/relationships/footer" Target="footer14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1fa841a58ed6485f8cd09e50e0f86001">
          <Part Type="strDalis" Nr="1" Abbr="479 str. 1 d." DocPartId="8c8981490c5148698fc39a2937c50058" PartId="1fabc720b1af4e16a7fe69478c662644"/>
          <Part Type="strDalis" Nr="2" Abbr="479 str. 2 d." DocPartId="f1dda22bb2ce49bc9dc1c409a2f84315" PartId="39a9e0a247484164804b9e871ca54c44"/>
          <Part Type="strDalis" Nr="3" Abbr="479 str. 3 d." DocPartId="545eb5e4e60c41b58f02a8b4b3f50642" PartId="accc845d249945fd9caa37fcac9ca652"/>
          <Part Type="strDalis" Nr="4" Abbr="479 str. 4 d." DocPartId="1c595ddc6586483288d5a56bf8eca3bd" PartId="186a68d26bc24b469e8c43b4246d8dd5"/>
          <Part Type="strDalis" Nr="5" Abbr="479 str. 5 d." DocPartId="f2d4e9f72fba4cae9d953be45fec7135" PartId="6a3a69cef5334e48a5c838056567ede1"/>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3ecc128109344e4caa6908f91dc7477b"/>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4b7093da4f164cf5adf6c74ee2e95515"/>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abbe5f97ec044ffea656a774c68e2bc8"/>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77686d5bd06c4a65b3cd854a63603b6b"/>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150a69ad6c104589a7d6faa4756caa35"/>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4f7978f8ce224da2b8dfa044c89db5fa"/>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4535debd890041e1a98ee034deb5154e"/>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13f9d54173c842318c6af17afec53df7"/>
            <Part Type="strPunktas" Nr="80" Abbr="589 str. 1 d. 80 p." DocPartId="8be9411b46de432db54b2b6f40444f45" PartId="8757756a350e4f6ea90d7f7e59110db4"/>
            <Part Type="strPunktas" Nr="81" Abbr="589 str. 1 d. 81 p." DocPartId="84ccbd791cfe410f9322a68343063b67" PartId="68246d0437fc491e9b24a3387dab8f46"/>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e869fe566e11433ab70cfeea7e637f49"/>
            <Part Type="strPunktas" Nr="99" Abbr="99 p." DocPartId="14070f27d3bc46c49db24294f93eaaeb" PartId="f5a4210f345e4a31b58bac8f7e6ae508"/>
            <Part Type="punktas" Nr="100" Abbr="100 p." DocPartId="da93d44ab4f64e74bdecb62c6cf11c36" PartId="b8cdcac5aedd474c91c3e0d036236536"/>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punktas" Nr="97" Abbr="pr. 97 p." DocPartId="2f4508f6d13241bd9297562fe0fb9f35" PartId="06051821f5704e978a10dbb325b0e64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4B2854-81EF-42D1-AC36-928852ACF1A8}">
  <ds:schemaRefs>
    <ds:schemaRef ds:uri="http://lrs.lt/TAIS/DocParts"/>
  </ds:schemaRefs>
</ds:datastoreItem>
</file>

<file path=customXml/itemProps3.xml><?xml version="1.0" encoding="utf-8"?>
<ds:datastoreItem xmlns:ds="http://schemas.openxmlformats.org/officeDocument/2006/customXml" ds:itemID="{011D94F5-6104-4516-AD06-53FF28B9DAC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238</TotalTime>
  <Pages>387</Pages>
  <Words>602075</Words>
  <Characters>343183</Characters>
  <Application>Microsoft Office Word</Application>
  <DocSecurity>0</DocSecurity>
  <Lines>2859</Lines>
  <Paragraphs>1886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943372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2018-06-12T09:23:00Z</dcterms:modified>
  <revision>113</revision>
</coreProperties>
</file>