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eb16300d74496aa8b80f22b7f86817"/>
        <w:lock w:val="sdtLocked"/>
        <w:richText/>
      </w:sdtPr>
      <w:sdtContent>
        <w:p>
          <w:pPr>
            <w:jc w:val="both"/>
            <w:rPr>
              <w:rFonts w:ascii="Times New Roman" w:hAnsi="Times New Roman"/>
            </w:rPr>
          </w:pPr>
          <w:r>
            <w:rPr>
              <w:rFonts w:ascii="Times New Roman" w:hAnsi="Times New Roman"/>
              <w:b/>
              <w:i/>
            </w:rPr>
            <w:t>Suvestinė redakcija nuo 2025-12-10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95pt" o:ole="" fillcolor="window">
                <v:imagedata r:id="rId15" o:title=""/>
              </v:shape>
              <o:OLEObject Type="Embed" ProgID="Word.Picture.8" ShapeID="_x0000_i1025" DrawAspect="Content" ObjectID="_0000000001" r:id="rId16"/>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8eac781f179e45e89d78fa6a7c3d9f10"/>
            <w:lock w:val="sdtLocked"/>
            <w:richText/>
          </w:sdtPr>
          <w:sdtContent>
            <w:p>
              <w:pPr>
                <w:ind w:firstLine="720"/>
                <w:jc w:val="both"/>
                <w:rPr>
                  <w:szCs w:val="24"/>
                </w:rPr>
              </w:pPr>
              <w:r>
                <w:rPr>
                  <w:color w:val="000000"/>
                  <w:szCs w:val="24"/>
                  <w:lang w:eastAsia="lt-LT"/>
                </w:rPr>
                <w:t xml:space="preserve">Įgyvendindama </w:t>
              </w:r>
              <w:r>
                <w:rPr>
                  <w:bCs/>
                  <w:color w:val="000000"/>
                  <w:szCs w:val="24"/>
                  <w:lang w:eastAsia="lt-LT"/>
                </w:rPr>
                <w:t>Nacionalinės imunoprofilaktikos 2024–2028 metų programos, patvirtintos Lietuvos Respublikos sveikatos apsaugos ministro 2024 m. vasario 12 d. įsakymu Nr. V-192 „Dėl Nacionalinės imunoprofilaktikos 2024–2028 metų programos patvirtinimo“, 5 priedo 2.3 papunktį</w:t>
              </w:r>
              <w:r>
                <w:rPr>
                  <w:color w:val="000000"/>
                  <w:szCs w:val="24"/>
                  <w:lang w:eastAsia="lt-LT"/>
                </w:rPr>
                <w:t>, atsižvelgdama į Pasaulio sveikatos organizacijos, Europos Komisijos, Europos ligų prevencijos ir kontrolės centro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bfbc734103c4844b54684965f9ba56a"/>
                    <w:lock w:val="sdtLocked"/>
                    <w:richText/>
                  </w:sdtPr>
                  <w:sdtContent>
                    <w:p>
                      <w:pPr>
                        <w:suppressAutoHyphens/>
                        <w:ind w:firstLine="709"/>
                        <w:jc w:val="both"/>
                        <w:rPr>
                          <w:szCs w:val="24"/>
                        </w:rPr>
                      </w:pPr>
                      <w:sdt>
                        <w:sdtPr>
                          <w:alias w:val="Numeris"/>
                          <w:tag w:val="nr_5bfbc734103c4844b54684965f9ba56a"/>
                          <w:lock w:val="sdtLocked"/>
                          <w:richText/>
                        </w:sdtPr>
                        <w:sdtContent>
                          <w:r>
                            <w:rPr>
                              <w:szCs w:val="24"/>
                            </w:rPr>
                            <w:t>1.2.11</w:t>
                          </w:r>
                        </w:sdtContent>
                      </w:sdt>
                      <w:r>
                        <w:rPr>
                          <w:szCs w:val="24"/>
                        </w:rPr>
                        <w:t>. asmenys su kochleariniais implantais (Z96.2);</w:t>
                      </w: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a7a7596fda450cb8667db6aeac371f"/>
                    <w:lock w:val="sdtLocked"/>
                    <w:richText/>
                  </w:sdtPr>
                  <w:sdtContent>
                    <w:p>
                      <w:pPr>
                        <w:widowControl w:val="0"/>
                        <w:tabs>
                          <w:tab w:val="left" w:pos="851"/>
                        </w:tabs>
                        <w:ind w:firstLine="709"/>
                        <w:jc w:val="both"/>
                      </w:pPr>
                      <w:sdt>
                        <w:sdtPr>
                          <w:alias w:val="Numeris"/>
                          <w:tag w:val="nr_78a7a7596fda450cb8667db6aeac371f"/>
                          <w:lock w:val="sdtLocked"/>
                          <w:richText/>
                        </w:sdtPr>
                        <w:sdtContent>
                          <w:r>
                            <w:rPr>
                              <w:szCs w:val="24"/>
                            </w:rPr>
                            <w:t>1.2.15</w:t>
                          </w:r>
                        </w:sdtContent>
                      </w:sdt>
                      <w:r>
                        <w:rPr>
                          <w:szCs w:val="24"/>
                        </w:rPr>
                        <w:t>. asmenys, sergantys cukriniu diabetu (E10–E14);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00e61b34c28e447db96989c5e558d9dc"/>
                    <w:lock w:val="sdtLocked"/>
                    <w:richText/>
                  </w:sdtPr>
                  <w:sdtContent>
                    <w:p>
                      <w:pPr>
                        <w:widowControl w:val="0"/>
                        <w:ind w:firstLine="709"/>
                        <w:jc w:val="both"/>
                        <w:rPr>
                          <w:szCs w:val="24"/>
                        </w:rPr>
                      </w:pPr>
                      <w:sdt>
                        <w:sdtPr>
                          <w:alias w:val="Numeris"/>
                          <w:tag w:val="nr_00e61b34c28e447db96989c5e558d9dc"/>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
                  <w:sdtPr>
                    <w:alias w:val="1.2.18 pp."/>
                    <w:tag w:val="part_558a1846765d4dbd9befa67562e3d930"/>
                    <w:lock w:val="sdtLocked"/>
                    <w:richText/>
                  </w:sdtPr>
                  <w:sdtContent>
                    <w:p>
                      <w:pPr>
                        <w:widowControl w:val="0"/>
                        <w:tabs>
                          <w:tab w:val="left" w:pos="851"/>
                        </w:tabs>
                        <w:ind w:firstLine="709"/>
                        <w:jc w:val="both"/>
                      </w:pPr>
                      <w:sdt>
                        <w:sdtPr>
                          <w:alias w:val="Numeris"/>
                          <w:tag w:val="nr_558a1846765d4dbd9befa67562e3d930"/>
                          <w:lock w:val="sdtLocked"/>
                          <w:richText/>
                        </w:sdtPr>
                        <w:sdtContent>
                          <w:r>
                            <w:rPr>
                              <w:szCs w:val="24"/>
                            </w:rPr>
                            <w:t>1.2.18</w:t>
                          </w:r>
                        </w:sdtContent>
                      </w:sdt>
                      <w:r>
                        <w:rPr>
                          <w:szCs w:val="24"/>
                        </w:rPr>
                        <w:t>. asmenys, sergantys bronchų astma (J45–J46);</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9 pp."/>
                    <w:tag w:val="part_40f2002905e7468f8c28a935d9f1888d"/>
                    <w:lock w:val="sdtLocked"/>
                    <w:richText/>
                  </w:sdtPr>
                  <w:sdtContent>
                    <w:p>
                      <w:pPr>
                        <w:ind w:firstLine="720"/>
                        <w:jc w:val="both"/>
                        <w:rPr>
                          <w:szCs w:val="24"/>
                        </w:rPr>
                      </w:pPr>
                      <w:sdt>
                        <w:sdtPr>
                          <w:alias w:val="Numeris"/>
                          <w:tag w:val="nr_40f2002905e7468f8c28a935d9f1888d"/>
                          <w:lock w:val="sdtLocked"/>
                          <w:richText/>
                        </w:sdtPr>
                        <w:sdtContent>
                          <w:r>
                            <w:rPr>
                              <w:rFonts w:eastAsia="Calibri"/>
                              <w:szCs w:val="24"/>
                            </w:rPr>
                            <w:t>1.2.19</w:t>
                          </w:r>
                        </w:sdtContent>
                      </w:sdt>
                      <w:r>
                        <w:rPr>
                          <w:rFonts w:eastAsia="Calibri"/>
                          <w:szCs w:val="24"/>
                        </w:rPr>
                        <w:t xml:space="preserve">. </w:t>
                      </w:r>
                      <w:r>
                        <w:rPr>
                          <w:rFonts w:eastAsia="Calibri"/>
                          <w:szCs w:val="24"/>
                          <w:lang w:val="en-US"/>
                        </w:rPr>
                        <w:t>65</w:t>
                      </w:r>
                      <w:r>
                        <w:rPr>
                          <w:rFonts w:eastAsia="Calibri"/>
                          <w:szCs w:val="24"/>
                        </w:rPr>
                        <w:t xml:space="preserve"> m. amžiaus ir vyresni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4879f6d4c311f08918e1adc7c5b1ec">
                        <w:r w:rsidRPr="00532B9F">
                          <w:rPr>
                            <w:rFonts w:ascii="Times New Roman" w:eastAsia="MS Mincho" w:hAnsi="Times New Roman"/>
                            <w:sz w:val="20"/>
                            <w:i/>
                            <w:iCs/>
                            <w:color w:val="0000FF" w:themeColor="hyperlink"/>
                            <w:u w:val="single"/>
                          </w:rPr>
                          <w:t>V-1108</w:t>
                        </w:r>
                      </w:fldSimple>
                      <w:r>
                        <w:rPr>
                          <w:rFonts w:ascii="Times New Roman" w:eastAsia="MS Mincho" w:hAnsi="Times New Roman"/>
                          <w:sz w:val="20"/>
                          <w:i/>
                          <w:iCs/>
                        </w:rPr>
                        <w:t>,
2025-12-09,
paskelbta TAR 2025-12-09, i. k. 2025-20983            </w:t>
                      </w:r>
                    </w:p>
                    <w:p/>
                  </w:sdtContent>
                </w:sdt>
              </w:sdtContent>
            </w:sdt>
          </w:sdtContent>
        </w:sdt>
        <w:sdt>
          <w:sdtPr>
            <w:alias w:val="2 p."/>
            <w:tag w:val="part_2e38d3952e5348e98a9ac7cf4dec53de"/>
            <w:lock w:val="sdtLocked"/>
            <w:richText/>
          </w:sdtPr>
          <w:sdtContent>
            <w:p>
              <w:pPr>
                <w:tabs>
                  <w:tab w:val="left" w:pos="993"/>
                </w:tabs>
                <w:ind w:firstLine="709"/>
                <w:jc w:val="both"/>
                <w:rPr>
                  <w:szCs w:val="24"/>
                </w:rPr>
              </w:pPr>
              <w:sdt>
                <w:sdtPr>
                  <w:alias w:val="Numeris"/>
                  <w:tag w:val="nr_2e38d3952e5348e98a9ac7cf4dec53de"/>
                  <w:lock w:val="sdtLocked"/>
                  <w:richText/>
                </w:sdtPr>
                <w:sdtContent>
                  <w:r>
                    <w:rPr>
                      <w:szCs w:val="24"/>
                    </w:rPr>
                    <w:t>2</w:t>
                  </w:r>
                </w:sdtContent>
              </w:sdt>
              <w:r>
                <w:rPr>
                  <w:szCs w:val="24"/>
                </w:rPr>
                <w:t>. Pavedu:</w:t>
              </w:r>
            </w:p>
            <w:sdt>
              <w:sdtPr>
                <w:alias w:val="2.1 pp."/>
                <w:tag w:val="part_ce8dfbe676164204b34760d7c8666555"/>
                <w:lock w:val="sdtLocked"/>
                <w:richText/>
              </w:sdtPr>
              <w:sdtContent>
                <w:p>
                  <w:pPr>
                    <w:tabs>
                      <w:tab w:val="left" w:pos="993"/>
                    </w:tabs>
                    <w:ind w:firstLine="771"/>
                    <w:jc w:val="both"/>
                    <w:rPr>
                      <w:szCs w:val="24"/>
                    </w:rPr>
                  </w:pPr>
                  <w:sdt>
                    <w:sdtPr>
                      <w:alias w:val="Numeris"/>
                      <w:tag w:val="nr_ce8dfbe676164204b34760d7c8666555"/>
                      <w:lock w:val="sdtLocked"/>
                      <w:richText/>
                    </w:sdtPr>
                    <w:sdtContent>
                      <w:r>
                        <w:rPr>
                          <w:szCs w:val="24"/>
                        </w:rPr>
                        <w:t>2.1</w:t>
                      </w:r>
                    </w:sdtContent>
                  </w:sdt>
                  <w:r>
                    <w:rPr>
                      <w:szCs w:val="24"/>
                    </w:rPr>
                    <w:t xml:space="preserve">. asmens sveikatos priežiūros įstaigų vadovams pneumokokinės infekcijos rizikos grupių skiepijimus organizuoti ir vykdyti šiuo įsakymu patvirtintų rizikos grupių asmenims įskiepijant vieną pneumokokinės infekcijos polisacharidinės konjuguotos vakcinos dozę; po kraujodaros kamieninių ląstelių transplantacijos rizikos grupei priklausantiems asmenims – keturias pneumokokinės infekcijos polisacharidinės konjuguotos vakcinos dozes pagal vakcinos </w:t>
                  </w:r>
                  <w:r>
                    <w:rPr>
                      <w:bCs/>
                      <w:szCs w:val="24"/>
                    </w:rPr>
                    <w:t>preparato charakteristikų santraukoje</w:t>
                  </w:r>
                  <w:r>
                    <w:rPr>
                      <w:szCs w:val="24"/>
                    </w:rPr>
                    <w:t xml:space="preserve"> nurodytą skiepijimo schemą;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2.2 pp."/>
                <w:tag w:val="part_fb8b62205a84479c8100815327432d7d"/>
                <w:lock w:val="sdtLocked"/>
                <w:richText/>
              </w:sdtPr>
              <w:sdtContent>
                <w:p>
                  <w:pPr>
                    <w:tabs>
                      <w:tab w:val="left" w:pos="993"/>
                    </w:tabs>
                    <w:ind w:firstLine="709"/>
                    <w:jc w:val="both"/>
                    <w:rPr>
                      <w:szCs w:val="24"/>
                    </w:rPr>
                  </w:pPr>
                  <w:sdt>
                    <w:sdtPr>
                      <w:alias w:val="Numeris"/>
                      <w:tag w:val="nr_fb8b62205a84479c8100815327432d7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 užtikrinant vakcinų paskirstymą asmens sveikatos priežiūros įstaigoms, kaip numatyta Lietuvos Respublikos sveikatos apsaugos ministro 2020 m. kovo 26 d. įsakyme Nr. V-546 „Dėl Privalomojo sveikatos draudimo fondo biudžeto lėšomis įsigyjamų imuninių vaistinių preparatų užsakymo ir jų panaudojimo asmens sveikatos priežiūros įstaigose, atliekančiose skiepijimo procedūras, kontrolės tvarkos aprašo patvirtinimo“;</w:t>
                  </w:r>
                </w:p>
              </w:sdtContent>
            </w:sdt>
            <w:sdt>
              <w:sdtPr>
                <w:alias w:val="2.3 pp."/>
                <w:tag w:val="part_1907d7ecbf114e5e8ad890c77dccc32f"/>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2025-05-01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2.4 pp."/>
                <w:tag w:val="part_7a3d3f7757df48119e8aa57bf64269b6"/>
                <w:lock w:val="sdtLocked"/>
                <w:richText/>
              </w:sdtPr>
              <w:sdtContent>
                <w:p>
                  <w:pPr>
                    <w:tabs>
                      <w:tab w:val="left" w:pos="993"/>
                    </w:tabs>
                    <w:ind w:firstLine="709"/>
                    <w:jc w:val="both"/>
                    <w:rPr>
                      <w:szCs w:val="24"/>
                    </w:rPr>
                  </w:pPr>
                  <w:sdt>
                    <w:sdtPr>
                      <w:alias w:val="Numeris"/>
                      <w:tag w:val="nr_7a3d3f7757df48119e8aa57bf64269b6"/>
                      <w:lock w:val="sdtLocked"/>
                      <w:richText/>
                    </w:sdtPr>
                    <w:sdtContent>
                      <w:r>
                        <w:rPr>
                          <w:szCs w:val="24"/>
                        </w:rPr>
                        <w:t>2.</w:t>
                      </w:r>
                      <w:r>
                        <w:rPr>
                          <w:szCs w:val="24"/>
                          <w:lang w:val="en-US"/>
                        </w:rPr>
                        <w:t>4</w:t>
                      </w:r>
                    </w:sdtContent>
                  </w:sdt>
                  <w:r>
                    <w:rPr>
                      <w:szCs w:val="24"/>
                    </w:rPr>
                    <w:t>. įsakymo vykdymą kontroliuoti viceministrui pagal veiklos sritį.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6ab6fa5571fc445797886f0b539e4cfb"/>
            <w:lock w:val="sdtLocked"/>
            <w:richText/>
          </w:sdtPr>
          <w:sdtContent>
            <w:p/>
            <w:p/>
            <w:p/>
            <w:p>
              <w:r>
                <w:rPr>
                  <w:szCs w:val="24"/>
                </w:rPr>
                <w:t xml:space="preserve">Sveikatos apsaugos ministrė </w:t>
                <w:tab/>
                <w:tab/>
                <w:tab/>
                <w:tab/>
                <w:tab/>
                <w:tab/>
                <w:tab/>
                <w:t xml:space="preserve">    Rimantė Šalaševičiūtė</w:t>
              </w:r>
            </w:p>
          </w:sdtContent>
        </w:sdt>
      </w:sdtContent>
    </w:sdt>
    <w:sdt>
      <w:sdtPr>
        <w:alias w:val="1 pr."/>
        <w:tag w:val="part_285d82c3fd0e476ea87a559861f5c6f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2025-05-01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2 pr."/>
        <w:tag w:val="part_9ac4db093ef442d099a802551459857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2025-05-01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2db30910d11ed8df094f359a60216">
            <w:r w:rsidRPr="00532B9F">
              <w:rPr>
                <w:rFonts w:ascii="Times New Roman" w:eastAsia="MS Mincho" w:hAnsi="Times New Roman"/>
                <w:sz w:val="20"/>
                <w:iCs/>
                <w:color w:val="0000FF" w:themeColor="hyperlink"/>
                <w:u w:val="single"/>
              </w:rPr>
              <w:t>V-23</w:t>
            </w:r>
          </w:fldSimple>
          <w:r>
            <w:rPr>
              <w:rFonts w:ascii="Times New Roman" w:eastAsia="MS Mincho" w:hAnsi="Times New Roman"/>
              <w:sz w:val="20"/>
              <w:iCs/>
            </w:rPr>
            <w:t>,
2023-01-10,
paskelbta TAR 2023-01-10, i. k. 2023-00496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2da00a94b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2023-02-10,
paskelbta TAR 2023-02-10, i. k. 2023-02569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19930fa1a11ed9978886e85107ab2">
            <w:r w:rsidRPr="00532B9F">
              <w:rPr>
                <w:rFonts w:ascii="Times New Roman" w:eastAsia="MS Mincho" w:hAnsi="Times New Roman"/>
                <w:sz w:val="20"/>
                <w:iCs/>
                <w:color w:val="0000FF" w:themeColor="hyperlink"/>
                <w:u w:val="single"/>
              </w:rPr>
              <w:t>V-607</w:t>
            </w:r>
          </w:fldSimple>
          <w:r>
            <w:rPr>
              <w:rFonts w:ascii="Times New Roman" w:eastAsia="MS Mincho" w:hAnsi="Times New Roman"/>
              <w:sz w:val="20"/>
              <w:iCs/>
            </w:rPr>
            <w:t>,
2023-05-24,
paskelbta TAR 2023-05-24, i. k. 2023-09799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c03491211f11f08fdabd4950271e2c">
            <w:r w:rsidRPr="00532B9F">
              <w:rPr>
                <w:rFonts w:ascii="Times New Roman" w:eastAsia="MS Mincho" w:hAnsi="Times New Roman"/>
                <w:sz w:val="20"/>
                <w:iCs/>
                <w:color w:val="0000FF" w:themeColor="hyperlink"/>
                <w:u w:val="single"/>
              </w:rPr>
              <w:t>V-364</w:t>
            </w:r>
          </w:fldSimple>
          <w:r>
            <w:rPr>
              <w:rFonts w:ascii="Times New Roman" w:eastAsia="MS Mincho" w:hAnsi="Times New Roman"/>
              <w:sz w:val="20"/>
              <w:iCs/>
            </w:rPr>
            <w:t>,
2025-04-24,
paskelbta TAR 2025-04-24, i. k. 2025-07225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4879f6d4c311f08918e1adc7c5b1ec">
            <w:r w:rsidRPr="00532B9F">
              <w:rPr>
                <w:rFonts w:ascii="Times New Roman" w:eastAsia="MS Mincho" w:hAnsi="Times New Roman"/>
                <w:sz w:val="20"/>
                <w:iCs/>
                <w:color w:val="0000FF" w:themeColor="hyperlink"/>
                <w:u w:val="single"/>
              </w:rPr>
              <w:t>V-1108</w:t>
            </w:r>
          </w:fldSimple>
          <w:r>
            <w:rPr>
              <w:rFonts w:ascii="Times New Roman" w:eastAsia="MS Mincho" w:hAnsi="Times New Roman"/>
              <w:sz w:val="20"/>
              <w:iCs/>
            </w:rPr>
            <w:t>,
2025-12-09,
paskelbta TAR 2025-12-09, i. k. 2025-20983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077" w:right="567" w:bottom="851" w:left="1701" w:header="709" w:footer="1134"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left" w:pos="849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849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left" w:pos="849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left" w:pos="849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9937"/>
    <o:shapelayout v:ext="edit">
      <o:idmap v:ext="edit" data="1"/>
    </o:shapelayout>
  </w:shapeDefaults>
  <w:decimalSymbol w:val=","/>
  <w:listSeparator w:val=";"/>
  <w14:docId w14:val="3A519103"/>
  <w15:docId w15:val="{2B10A40B-4CD9-457E-AEC7-1EBFF026192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0.png"/>
  <Relationship Id="rId16" Type="http://schemas.openxmlformats.org/officeDocument/2006/relationships/oleObject" Target="embeddings/oleObject10.bin"/>
  <Relationship Id="rId17"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f8eb16300d74496aa8b80f22b7f86817">
    <Part Type="preambule" DocPartId="c30b6f1a86a84588b4820ffa3e729f22" PartId="8eac781f179e45e89d78fa6a7c3d9f10"/>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bfbc734103c4844b54684965f9ba56a"/>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a7a7596fda450cb8667db6aeac371f"/>
        <Part Type="papunktis" Nr="1.2.16" Abbr="1.2.16 pp." DocPartId="b6642ad793484b55a02ffe4a040c7563" PartId="560c68bca3d842299f22131f3d58673a"/>
        <Part Type="papunktis" Nr="1.2.17" Abbr="1.2.17 pp." DocPartId="8186edfcf12149dd95b5941b9164709a" PartId="00e61b34c28e447db96989c5e558d9dc"/>
        <Part Type="papunktis" Nr="1.2.18" Abbr="1.2.18 pp." DocPartId="485ce66a60214edea1a11e2d11f3a146" PartId="558a1846765d4dbd9befa67562e3d930"/>
        <Part Type="papunktis" Nr="1.2.19" Abbr="1.2.19 pp." DocPartId="2b1d681db7dc437aab4bb20a12f36937" PartId="40f2002905e7468f8c28a935d9f1888d"/>
      </Part>
    </Part>
    <Part Type="punktas" Nr="2" Abbr="2 p." DocPartId="595c3f4ebef747ce8af4871c58053177" PartId="2e38d3952e5348e98a9ac7cf4dec53de">
      <Part Type="papunktis" Nr="2.1" Abbr="2.1 pp." DocPartId="fe2ca81f51bf4d0ca927c992510f4ddc" PartId="ce8dfbe676164204b34760d7c8666555"/>
      <Part Type="papunktis" Nr="2.2" Abbr="2.2 pp." DocPartId="0e01cc2ac8054b26829108996b7a511b" PartId="fb8b62205a84479c8100815327432d7d"/>
      <Part Type="papunktis" Nr="2.3" Abbr="2.3 pp." DocPartId="3fabe8d8a3704cfcb60ca0fd3411a141" PartId="1907d7ecbf114e5e8ad890c77dccc32f"/>
      <Part Type="papunktis" Nr="2.4" Abbr="2.4 pp." DocPartId="7a05634e71914d97a40223fdd9364e69" PartId="7a3d3f7757df48119e8aa57bf64269b6"/>
    </Part>
    <Part Type="punktas" Nr="3" Abbr="3 p." DocPartId="079c1302c45a444d916fc4f7c55aa912" PartId="a32aa221b27d4d5cb0afc2c09bbddddb"/>
    <Part Type="signatura" DocPartId="3b98b1508cbc43bd8fb0cee2ca905d81" PartId="6ab6fa5571fc445797886f0b539e4cfb"/>
  </Part>
  <Part Type="priedas" Nr="1" Abbr="1 pr." Title="(Vaikų, priklausančių rizikos grupėms, skiepijimo pneumokokine polisacharidine konjuguota vakcina, įsigyta už valstybės lėšas, sunaudojimo ataskaitos forma)" DocPartId="7e9afd306f354e7e8a15955bd7dc0a17" PartId="285d82c3fd0e476ea87a559861f5c6fb"/>
  <Part Type="priedas" Nr="2" Abbr="2 pr." Title="Suaugusiųjų, priklausančių rizikos grupėms, skiepijimo pneumokokine polisacharidine konjuguota vakcina, įsigyta už valstybės lėšas, sunaudojimo ataskaitos forma" DocPartId="67f8a323bec54e3fb53b8fe2c58db279" PartId="9ac4db093ef442d099a802551459857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F480661-898F-4F12-BBE2-8C41DDBBA08E}">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6D05D0C6-A67A-438A-B223-9C17F83D77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Pages>
  <Words>570</Words>
  <Characters>4373</Characters>
  <Application>Microsoft Office Word</Application>
  <DocSecurity>0</DocSecurity>
  <Lines>36</Lines>
  <Paragraphs>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4934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TAMALIŪNIENĖ Vilija</lastModifiedBy>
  <lastPrinted>2015-09-28T06:41:00Z</lastPrinted>
  <dcterms:modified xsi:type="dcterms:W3CDTF">2025-12-11T09:21:00Z</dcterms:modified>
  <revision>19</revision>
  <dc:title>2001-05-00</dc:title>
</coreProperties>
</file>