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7c06033ba21e434eb300d99110cae885"/>
        <w:lock w:val="sdtLocked"/>
        <w:richText/>
      </w:sdtPr>
      <w:sdtContent>
        <w:p>
          <w:pPr>
            <w:jc w:val="both"/>
            <w:rPr>
              <w:rFonts w:ascii="Times New Roman" w:hAnsi="Times New Roman"/>
            </w:rPr>
          </w:pPr>
          <w:r>
            <w:rPr>
              <w:rFonts w:ascii="Times New Roman" w:hAnsi="Times New Roman"/>
              <w:b/>
              <w:i/>
            </w:rPr>
            <w:t>Suvestinė redakcija nuo 2016-07-14 iki 2017-12-31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2015-10-13, i. k. 2015-15076</w:t>
          </w:r>
        </w:p>
        <w:p>
          <w:pPr>
            <w:jc w:val="both"/>
            <w:rPr>
              <w:rFonts w:ascii="Times New Roman" w:hAnsi="Times New Roman"/>
              <w:sz w:val="20"/>
            </w:rPr>
          </w:pPr>
        </w:p>
        <w:p>
          <w:pPr>
            <w:tabs>
              <w:tab w:val="center" w:pos="4153"/>
              <w:tab w:val="right" w:pos="8306"/>
            </w:tabs>
            <w:jc w:val="right"/>
            <w:rPr>
              <w:b/>
              <w:szCs w:val="24"/>
            </w:rPr>
          </w:pPr>
        </w:p>
        <w:p>
          <w:pPr>
            <w:tabs>
              <w:tab w:val="center" w:pos="4153"/>
              <w:tab w:val="right" w:pos="8306"/>
            </w:tabs>
            <w:jc w:val="center"/>
            <w:rPr>
              <w:b/>
              <w:bCs/>
              <w:szCs w:val="24"/>
            </w:rPr>
          </w:pPr>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4pt;height:42.75pt" o:ole="" fillcolor="window">
                <v:imagedata r:id="rId16" o:title=""/>
              </v:shape>
              <o:OLEObject Type="Embed" ProgID="Word.Picture.8" ShapeID="_x0000_i1025" DrawAspect="Content" ObjectID="_0000000001" r:id="rId17"/>
            </w:objec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jc w:val="center"/>
            <w:rPr>
              <w:b/>
              <w:bCs/>
              <w:szCs w:val="24"/>
            </w:rPr>
          </w:pPr>
        </w:p>
        <w:p>
          <w:pPr>
            <w:tabs>
              <w:tab w:val="center" w:pos="4153"/>
              <w:tab w:val="right" w:pos="8306"/>
            </w:tabs>
            <w:jc w:val="center"/>
            <w:rPr>
              <w:szCs w:val="24"/>
            </w:rPr>
          </w:pPr>
          <w:r>
            <w:rPr>
              <w:b/>
              <w:bCs/>
              <w:szCs w:val="24"/>
            </w:rPr>
            <w:t>ĮSAKYMAS</w:t>
          </w:r>
        </w:p>
        <w:p>
          <w:pPr>
            <w:jc w:val="center"/>
            <w:rPr>
              <w:b/>
              <w:caps/>
              <w:szCs w:val="24"/>
            </w:rPr>
          </w:pPr>
          <w:r>
            <w:rPr>
              <w:b/>
              <w:caps/>
              <w:szCs w:val="24"/>
            </w:rPr>
            <w:t xml:space="preserve">DĖL pneumokokinės infekcijos rizikos grupIŲ PATVIRTINIMO </w:t>
          </w:r>
        </w:p>
        <w:p>
          <w:pPr>
            <w:jc w:val="center"/>
            <w:rPr>
              <w:szCs w:val="24"/>
            </w:rPr>
          </w:pPr>
        </w:p>
        <w:p>
          <w:pPr>
            <w:jc w:val="center"/>
            <w:rPr>
              <w:szCs w:val="24"/>
            </w:rPr>
          </w:pPr>
          <w:r>
            <w:rPr>
              <w:szCs w:val="24"/>
            </w:rPr>
            <w:t>2015 m. spalio 8 d. Nr. V-1130</w:t>
          </w:r>
        </w:p>
        <w:p>
          <w:pPr>
            <w:jc w:val="center"/>
            <w:rPr>
              <w:szCs w:val="24"/>
            </w:rPr>
          </w:pPr>
          <w:r>
            <w:rPr>
              <w:szCs w:val="24"/>
            </w:rPr>
            <w:t>Vilnius</w:t>
          </w:r>
        </w:p>
        <w:p>
          <w:pPr>
            <w:jc w:val="center"/>
            <w:rPr>
              <w:szCs w:val="24"/>
            </w:rPr>
          </w:pPr>
        </w:p>
        <w:p>
          <w:pPr>
            <w:jc w:val="center"/>
            <w:rPr>
              <w:szCs w:val="24"/>
            </w:rPr>
          </w:pPr>
        </w:p>
        <w:sdt>
          <w:sdtPr>
            <w:alias w:val="preambule"/>
            <w:tag w:val="part_35435493fdfa4241b455a6fb3490fee5"/>
            <w:lock w:val="sdtLocked"/>
            <w:richText/>
          </w:sdtPr>
          <w:sdtContent>
            <w:p>
              <w:pPr>
                <w:widowControl w:val="0"/>
                <w:shd w:val="clear" w:color="auto" w:fill="FFFFFF"/>
                <w:ind w:firstLine="720"/>
                <w:jc w:val="both"/>
                <w:rPr>
                  <w:szCs w:val="24"/>
                </w:rPr>
              </w:pPr>
              <w:r>
                <w:rPr>
                  <w:szCs w:val="24"/>
                </w:rPr>
                <w:t>Įgyvendindama Nacionalinės imunoprofilaktikos 2014–2018 metų programos, patvirtintos Lietuvos Respublikos sveikatos apsaugos ministro 2014 m. sausio 3 d. įsakymu Nr. V-8 „Dėl Nacionalinės imunoprofilaktikos 2014–2018 metų programos patvirtinimo“, 3 priedo 3.3 papunktyje numatytas priemones, atsižvelgdama į Pasaulio sveikatos organizacijos, Europos Komisijos, Europos ligų prevencijos ir kontrolės centro rekomendacijas:</w:t>
              </w:r>
            </w:p>
          </w:sdtContent>
        </w:sdt>
        <w:sdt>
          <w:sdtPr>
            <w:alias w:val="1 p."/>
            <w:tag w:val="part_82872f964a444171b337db22ce5c89f2"/>
            <w:lock w:val="sdtLocked"/>
            <w:richText/>
          </w:sdtPr>
          <w:sdtContent>
            <w:p>
              <w:pPr>
                <w:suppressAutoHyphens/>
                <w:ind w:firstLine="720"/>
                <w:jc w:val="both"/>
                <w:rPr>
                  <w:szCs w:val="24"/>
                </w:rPr>
              </w:pPr>
              <w:sdt>
                <w:sdtPr>
                  <w:alias w:val="Numeris"/>
                  <w:tag w:val="nr_82872f964a444171b337db22ce5c89f2"/>
                  <w:lock w:val="sdtLocked"/>
                  <w:richText/>
                </w:sdtPr>
                <w:sdtContent>
                  <w:r>
                    <w:rPr>
                      <w:szCs w:val="24"/>
                    </w:rPr>
                    <w:t>1</w:t>
                  </w:r>
                </w:sdtContent>
              </w:sdt>
              <w:r>
                <w:rPr>
                  <w:szCs w:val="24"/>
                </w:rPr>
                <w:t xml:space="preserve">. </w:t>
              </w:r>
              <w:r>
                <w:rPr>
                  <w:spacing w:val="60"/>
                  <w:szCs w:val="24"/>
                </w:rPr>
                <w:t>Tvirtinu</w:t>
              </w:r>
              <w:r>
                <w:rPr>
                  <w:szCs w:val="24"/>
                </w:rPr>
                <w:t xml:space="preserve"> Pneumokokinės infekcijos rizikos grupes, kurioms priklausantys asmenys skiepijami pneumokokinės infekcijos polisacharidine konjuguota vakcina:  </w:t>
              </w:r>
            </w:p>
            <w:sdt>
              <w:sdtPr>
                <w:alias w:val="1.1 p."/>
                <w:tag w:val="part_ffde670014bc4df99c23ddd75f4a991c"/>
                <w:lock w:val="sdtLocked"/>
                <w:richText/>
              </w:sdtPr>
              <w:sdtContent>
                <w:p>
                  <w:pPr>
                    <w:suppressAutoHyphens/>
                    <w:ind w:firstLine="709"/>
                    <w:jc w:val="both"/>
                    <w:rPr>
                      <w:szCs w:val="24"/>
                    </w:rPr>
                  </w:pPr>
                  <w:sdt>
                    <w:sdtPr>
                      <w:alias w:val="Numeris"/>
                      <w:tag w:val="nr_ffde670014bc4df99c23ddd75f4a991c"/>
                      <w:lock w:val="sdtLocked"/>
                      <w:richText/>
                    </w:sdtPr>
                    <w:sdtContent>
                      <w:r>
                        <w:rPr>
                          <w:szCs w:val="24"/>
                        </w:rPr>
                        <w:t>1.1</w:t>
                      </w:r>
                    </w:sdtContent>
                  </w:sdt>
                  <w:r>
                    <w:rPr>
                      <w:szCs w:val="24"/>
                    </w:rPr>
                    <w:t>. Vaikų (2–18 metų amžiaus) pneumokokinės infekcijos rizikos grupės (jei neskiepyti nuo pneumokokinės infekcijos anksčiau):</w:t>
                  </w:r>
                </w:p>
                <w:sdt>
                  <w:sdtPr>
                    <w:alias w:val="1.1.1 p."/>
                    <w:tag w:val="part_cb43010baa6c441e8f9d79c4fcd9d50c"/>
                    <w:lock w:val="sdtLocked"/>
                    <w:richText/>
                  </w:sdtPr>
                  <w:sdtContent>
                    <w:p>
                      <w:pPr>
                        <w:suppressAutoHyphens/>
                        <w:ind w:firstLine="709"/>
                        <w:jc w:val="both"/>
                        <w:rPr>
                          <w:szCs w:val="24"/>
                        </w:rPr>
                      </w:pPr>
                      <w:sdt>
                        <w:sdtPr>
                          <w:alias w:val="Numeris"/>
                          <w:tag w:val="nr_cb43010baa6c441e8f9d79c4fcd9d50c"/>
                          <w:lock w:val="sdtLocked"/>
                          <w:richText/>
                        </w:sdtPr>
                        <w:sdtContent>
                          <w:r>
                            <w:rPr>
                              <w:szCs w:val="24"/>
                            </w:rPr>
                            <w:t>1.1.1</w:t>
                          </w:r>
                        </w:sdtContent>
                      </w:sdt>
                      <w:r>
                        <w:rPr>
                          <w:szCs w:val="24"/>
                        </w:rPr>
                        <w:t>. sergantys bronchų astma (J45–J46), cistine fibroze (E84), bronchektazine liga (J47);</w:t>
                      </w:r>
                    </w:p>
                  </w:sdtContent>
                </w:sdt>
                <w:sdt>
                  <w:sdtPr>
                    <w:alias w:val="1.1.2 p."/>
                    <w:tag w:val="part_89a9f88ab77e4a97b688dab9fbd84fda"/>
                    <w:lock w:val="sdtLocked"/>
                    <w:richText/>
                  </w:sdtPr>
                  <w:sdtContent>
                    <w:p>
                      <w:pPr>
                        <w:suppressAutoHyphens/>
                        <w:ind w:firstLine="709"/>
                        <w:jc w:val="both"/>
                        <w:rPr>
                          <w:szCs w:val="24"/>
                        </w:rPr>
                      </w:pPr>
                      <w:sdt>
                        <w:sdtPr>
                          <w:alias w:val="Numeris"/>
                          <w:tag w:val="nr_89a9f88ab77e4a97b688dab9fbd84fda"/>
                          <w:lock w:val="sdtLocked"/>
                          <w:richText/>
                        </w:sdtPr>
                        <w:sdtContent>
                          <w:r>
                            <w:rPr>
                              <w:szCs w:val="24"/>
                            </w:rPr>
                            <w:t>1.1.2</w:t>
                          </w:r>
                        </w:sdtContent>
                      </w:sdt>
                      <w:r>
                        <w:rPr>
                          <w:szCs w:val="24"/>
                        </w:rPr>
                        <w:t>. sergantys cerebriniu paralyžiumi (G80), mioneuralinių jungčių ir raumenų ligomis (G70–G73);</w:t>
                      </w:r>
                    </w:p>
                  </w:sdtContent>
                </w:sdt>
                <w:sdt>
                  <w:sdtPr>
                    <w:alias w:val="1.1.3 p."/>
                    <w:tag w:val="part_7081eb94f8454d7b9660bb3763c33bed"/>
                    <w:lock w:val="sdtLocked"/>
                    <w:richText/>
                  </w:sdtPr>
                  <w:sdtContent>
                    <w:p>
                      <w:pPr>
                        <w:suppressAutoHyphens/>
                        <w:ind w:firstLine="709"/>
                        <w:jc w:val="both"/>
                        <w:rPr>
                          <w:szCs w:val="24"/>
                        </w:rPr>
                      </w:pPr>
                      <w:sdt>
                        <w:sdtPr>
                          <w:alias w:val="Numeris"/>
                          <w:tag w:val="nr_7081eb94f8454d7b9660bb3763c33bed"/>
                          <w:lock w:val="sdtLocked"/>
                          <w:richText/>
                        </w:sdtPr>
                        <w:sdtContent>
                          <w:r>
                            <w:rPr>
                              <w:szCs w:val="24"/>
                            </w:rPr>
                            <w:t>1.1.3</w:t>
                          </w:r>
                        </w:sdtContent>
                      </w:sdt>
                      <w:r>
                        <w:rPr>
                          <w:szCs w:val="24"/>
                        </w:rPr>
                        <w:t>. turintys įgimtas širdies ydas (Q20–Q25);</w:t>
                      </w:r>
                    </w:p>
                  </w:sdtContent>
                </w:sdt>
                <w:sdt>
                  <w:sdtPr>
                    <w:alias w:val="1.1.4 p."/>
                    <w:tag w:val="part_6737def0e1674248a2f2cb906c559139"/>
                    <w:lock w:val="sdtLocked"/>
                    <w:richText/>
                  </w:sdtPr>
                  <w:sdtContent>
                    <w:p>
                      <w:pPr>
                        <w:suppressAutoHyphens/>
                        <w:ind w:firstLine="709"/>
                        <w:jc w:val="both"/>
                        <w:rPr>
                          <w:szCs w:val="24"/>
                        </w:rPr>
                      </w:pPr>
                      <w:sdt>
                        <w:sdtPr>
                          <w:alias w:val="Numeris"/>
                          <w:tag w:val="nr_6737def0e1674248a2f2cb906c559139"/>
                          <w:lock w:val="sdtLocked"/>
                          <w:richText/>
                        </w:sdtPr>
                        <w:sdtContent>
                          <w:r>
                            <w:rPr>
                              <w:szCs w:val="24"/>
                            </w:rPr>
                            <w:t>1.1.4</w:t>
                          </w:r>
                        </w:sdtContent>
                      </w:sdt>
                      <w:r>
                        <w:rPr>
                          <w:szCs w:val="24"/>
                        </w:rPr>
                        <w:t>. sergantys cukriniu diabetu (E10–E14);</w:t>
                      </w:r>
                    </w:p>
                  </w:sdtContent>
                </w:sdt>
                <w:sdt>
                  <w:sdtPr>
                    <w:alias w:val="1.1.5 p."/>
                    <w:tag w:val="part_86b5896f070741abbbfe46e0035a28e1"/>
                    <w:lock w:val="sdtLocked"/>
                    <w:richText/>
                  </w:sdtPr>
                  <w:sdtContent>
                    <w:p>
                      <w:pPr>
                        <w:suppressAutoHyphens/>
                        <w:ind w:firstLine="709"/>
                        <w:jc w:val="both"/>
                        <w:rPr>
                          <w:szCs w:val="24"/>
                        </w:rPr>
                      </w:pPr>
                      <w:sdt>
                        <w:sdtPr>
                          <w:alias w:val="Numeris"/>
                          <w:tag w:val="nr_86b5896f070741abbbfe46e0035a28e1"/>
                          <w:lock w:val="sdtLocked"/>
                          <w:richText/>
                        </w:sdtPr>
                        <w:sdtContent>
                          <w:r>
                            <w:rPr>
                              <w:szCs w:val="24"/>
                            </w:rPr>
                            <w:t>1.1.5</w:t>
                          </w:r>
                        </w:sdtContent>
                      </w:sdt>
                      <w:r>
                        <w:rPr>
                          <w:szCs w:val="24"/>
                        </w:rPr>
                        <w:t>. sergantys navikais (C00–D48);</w:t>
                      </w:r>
                    </w:p>
                  </w:sdtContent>
                </w:sdt>
                <w:sdt>
                  <w:sdtPr>
                    <w:alias w:val="1.1.6 p."/>
                    <w:tag w:val="part_8c757f3c657b4b3d816474ca7954295a"/>
                    <w:lock w:val="sdtLocked"/>
                    <w:richText/>
                  </w:sdtPr>
                  <w:sdtContent>
                    <w:p>
                      <w:pPr>
                        <w:suppressAutoHyphens/>
                        <w:ind w:firstLine="709"/>
                        <w:jc w:val="both"/>
                        <w:rPr>
                          <w:szCs w:val="24"/>
                        </w:rPr>
                      </w:pPr>
                      <w:sdt>
                        <w:sdtPr>
                          <w:alias w:val="Numeris"/>
                          <w:tag w:val="nr_8c757f3c657b4b3d816474ca7954295a"/>
                          <w:lock w:val="sdtLocked"/>
                          <w:richText/>
                        </w:sdtPr>
                        <w:sdtContent>
                          <w:r>
                            <w:rPr>
                              <w:szCs w:val="24"/>
                            </w:rPr>
                            <w:t>1.1.6</w:t>
                          </w:r>
                        </w:sdtContent>
                      </w:sdt>
                      <w:r>
                        <w:rPr>
                          <w:szCs w:val="24"/>
                        </w:rPr>
                        <w:t>. sergantys lėtinėmis inkstų ligomis (N04, N18);</w:t>
                      </w:r>
                    </w:p>
                  </w:sdtContent>
                </w:sdt>
                <w:sdt>
                  <w:sdtPr>
                    <w:alias w:val="1.1.7 p."/>
                    <w:tag w:val="part_1aa32e506c1b412ea9b75a3b8d485d87"/>
                    <w:lock w:val="sdtLocked"/>
                    <w:richText/>
                  </w:sdtPr>
                  <w:sdtContent>
                    <w:p>
                      <w:pPr>
                        <w:suppressAutoHyphens/>
                        <w:ind w:firstLine="709"/>
                        <w:jc w:val="both"/>
                        <w:rPr>
                          <w:szCs w:val="24"/>
                        </w:rPr>
                      </w:pPr>
                      <w:sdt>
                        <w:sdtPr>
                          <w:alias w:val="Numeris"/>
                          <w:tag w:val="nr_1aa32e506c1b412ea9b75a3b8d485d87"/>
                          <w:lock w:val="sdtLocked"/>
                          <w:richText/>
                        </w:sdtPr>
                        <w:sdtContent>
                          <w:r>
                            <w:rPr>
                              <w:szCs w:val="24"/>
                            </w:rPr>
                            <w:t>1.1.7</w:t>
                          </w:r>
                        </w:sdtContent>
                      </w:sdt>
                      <w:r>
                        <w:rPr>
                          <w:szCs w:val="24"/>
                        </w:rPr>
                        <w:t>. vaikai, kuriems atliekama hemodializė ar peritoninė dializė (Z49.1, Z49.2, N18.5);</w:t>
                      </w:r>
                    </w:p>
                  </w:sdtContent>
                </w:sdt>
                <w:sdt>
                  <w:sdtPr>
                    <w:alias w:val="1.1.8 p."/>
                    <w:tag w:val="part_42eeff955ec74330b2a9c224bb7d4abd"/>
                    <w:lock w:val="sdtLocked"/>
                    <w:richText/>
                  </w:sdtPr>
                  <w:sdtContent>
                    <w:p>
                      <w:pPr>
                        <w:suppressAutoHyphens/>
                        <w:ind w:firstLine="709"/>
                        <w:jc w:val="both"/>
                        <w:rPr>
                          <w:szCs w:val="24"/>
                        </w:rPr>
                      </w:pPr>
                      <w:sdt>
                        <w:sdtPr>
                          <w:alias w:val="Numeris"/>
                          <w:tag w:val="nr_42eeff955ec74330b2a9c224bb7d4abd"/>
                          <w:lock w:val="sdtLocked"/>
                          <w:richText/>
                        </w:sdtPr>
                        <w:sdtContent>
                          <w:r>
                            <w:rPr>
                              <w:szCs w:val="24"/>
                            </w:rPr>
                            <w:t>1.1.8</w:t>
                          </w:r>
                        </w:sdtContent>
                      </w:sdt>
                      <w:r>
                        <w:rPr>
                          <w:szCs w:val="24"/>
                        </w:rPr>
                        <w:t>. sergantys lėtinėmis kepenų ligomis (K71.3–K71.7, K73–K74, Q44.2);</w:t>
                      </w:r>
                    </w:p>
                  </w:sdtContent>
                </w:sdt>
                <w:sdt>
                  <w:sdtPr>
                    <w:alias w:val="1.1.9 p."/>
                    <w:tag w:val="part_1acc865fd96a4ad4b847ab4de14f89a6"/>
                    <w:lock w:val="sdtLocked"/>
                    <w:richText/>
                  </w:sdtPr>
                  <w:sdtContent>
                    <w:p>
                      <w:pPr>
                        <w:suppressAutoHyphens/>
                        <w:ind w:firstLine="709"/>
                        <w:jc w:val="both"/>
                        <w:rPr>
                          <w:szCs w:val="24"/>
                        </w:rPr>
                      </w:pPr>
                      <w:sdt>
                        <w:sdtPr>
                          <w:alias w:val="Numeris"/>
                          <w:tag w:val="nr_1acc865fd96a4ad4b847ab4de14f89a6"/>
                          <w:lock w:val="sdtLocked"/>
                          <w:richText/>
                        </w:sdtPr>
                        <w:sdtContent>
                          <w:r>
                            <w:rPr>
                              <w:szCs w:val="24"/>
                            </w:rPr>
                            <w:t>1.1.9</w:t>
                          </w:r>
                        </w:sdtContent>
                      </w:sdt>
                      <w:r>
                        <w:rPr>
                          <w:szCs w:val="24"/>
                        </w:rPr>
                        <w:t>. esant imunosupresinėms būklėms: turintys imunodeficitą (D80–D84), sergantys reumatinėmis ligomis (M05–M08, M30–M36, M79.0), po kraujodaros kamieninių ląstelių ar žmogaus organų, ar audinių transplantacijos (Z94), esant įgimtai ar įgytai asplenijai (D73.0, Q89.01));</w:t>
                      </w:r>
                    </w:p>
                  </w:sdtContent>
                </w:sdt>
                <w:sdt>
                  <w:sdtPr>
                    <w:alias w:val="1.1.10 p."/>
                    <w:tag w:val="part_6f92c2795ef54b5ba0422d522f16e5e2"/>
                    <w:lock w:val="sdtLocked"/>
                    <w:richText/>
                  </w:sdtPr>
                  <w:sdtContent>
                    <w:p>
                      <w:pPr>
                        <w:suppressAutoHyphens/>
                        <w:ind w:firstLine="709"/>
                        <w:jc w:val="both"/>
                        <w:rPr>
                          <w:szCs w:val="24"/>
                        </w:rPr>
                      </w:pPr>
                      <w:sdt>
                        <w:sdtPr>
                          <w:alias w:val="Numeris"/>
                          <w:tag w:val="nr_6f92c2795ef54b5ba0422d522f16e5e2"/>
                          <w:lock w:val="sdtLocked"/>
                          <w:richText/>
                        </w:sdtPr>
                        <w:sdtContent>
                          <w:r>
                            <w:rPr>
                              <w:szCs w:val="24"/>
                            </w:rPr>
                            <w:t>1.1.10</w:t>
                          </w:r>
                        </w:sdtContent>
                      </w:sdt>
                      <w:r>
                        <w:rPr>
                          <w:szCs w:val="24"/>
                        </w:rPr>
                        <w:t>. vaikai su kochleariniais implantais (Z96.2);</w:t>
                      </w:r>
                    </w:p>
                  </w:sdtContent>
                </w:sdt>
                <w:sdt>
                  <w:sdtPr>
                    <w:alias w:val="1.1.11 p."/>
                    <w:tag w:val="part_c9a453474fd042f4bde8d69f089faa0d"/>
                    <w:lock w:val="sdtLocked"/>
                    <w:richText/>
                  </w:sdtPr>
                  <w:sdtContent>
                    <w:p>
                      <w:pPr>
                        <w:suppressAutoHyphens/>
                        <w:ind w:firstLine="709"/>
                        <w:jc w:val="both"/>
                        <w:rPr>
                          <w:szCs w:val="24"/>
                        </w:rPr>
                      </w:pPr>
                      <w:sdt>
                        <w:sdtPr>
                          <w:alias w:val="Numeris"/>
                          <w:tag w:val="nr_c9a453474fd042f4bde8d69f089faa0d"/>
                          <w:lock w:val="sdtLocked"/>
                          <w:richText/>
                        </w:sdtPr>
                        <w:sdtContent>
                          <w:r>
                            <w:rPr>
                              <w:szCs w:val="24"/>
                            </w:rPr>
                            <w:t>1.1.11</w:t>
                          </w:r>
                        </w:sdtContent>
                      </w:sdt>
                      <w:r>
                        <w:rPr>
                          <w:szCs w:val="24"/>
                        </w:rPr>
                        <w:t>. sergantys ŽIV sukelta liga ar ŽIV infekuoti (B20–B24, Z21).</w:t>
                      </w:r>
                    </w:p>
                  </w:sdtContent>
                </w:sdt>
              </w:sdtContent>
            </w:sdt>
            <w:sdt>
              <w:sdtPr>
                <w:alias w:val="1.2 p."/>
                <w:tag w:val="part_bd71ef0686c14f7684300594b98ce128"/>
                <w:lock w:val="sdtLocked"/>
                <w:richText/>
              </w:sdtPr>
              <w:sdtContent>
                <w:p>
                  <w:pPr>
                    <w:suppressAutoHyphens/>
                    <w:ind w:firstLine="709"/>
                    <w:jc w:val="both"/>
                    <w:rPr>
                      <w:szCs w:val="24"/>
                    </w:rPr>
                  </w:pPr>
                  <w:sdt>
                    <w:sdtPr>
                      <w:alias w:val="Numeris"/>
                      <w:tag w:val="nr_bd71ef0686c14f7684300594b98ce128"/>
                      <w:lock w:val="sdtLocked"/>
                      <w:richText/>
                    </w:sdtPr>
                    <w:sdtContent>
                      <w:r>
                        <w:rPr>
                          <w:szCs w:val="24"/>
                        </w:rPr>
                        <w:t>1.2</w:t>
                      </w:r>
                    </w:sdtContent>
                  </w:sdt>
                  <w:r>
                    <w:rPr>
                      <w:szCs w:val="24"/>
                    </w:rPr>
                    <w:t>. Suaugusiųjų (vyresnių nei 18 metų) pneumokokinės infekcijos rizikos grupės:</w:t>
                  </w:r>
                </w:p>
                <w:sdt>
                  <w:sdtPr>
                    <w:alias w:val="1.2.1 p."/>
                    <w:tag w:val="part_7245b24722994656a069f82ba1b748f3"/>
                    <w:lock w:val="sdtLocked"/>
                    <w:richText/>
                  </w:sdtPr>
                  <w:sdtContent>
                    <w:p>
                      <w:pPr>
                        <w:suppressAutoHyphens/>
                        <w:ind w:firstLine="709"/>
                        <w:jc w:val="both"/>
                        <w:rPr>
                          <w:szCs w:val="24"/>
                        </w:rPr>
                      </w:pPr>
                      <w:sdt>
                        <w:sdtPr>
                          <w:alias w:val="Numeris"/>
                          <w:tag w:val="nr_7245b24722994656a069f82ba1b748f3"/>
                          <w:lock w:val="sdtLocked"/>
                          <w:richText/>
                        </w:sdtPr>
                        <w:sdtContent>
                          <w:r>
                            <w:rPr>
                              <w:szCs w:val="24"/>
                            </w:rPr>
                            <w:t>1.2.1</w:t>
                          </w:r>
                        </w:sdtContent>
                      </w:sdt>
                      <w:r>
                        <w:rPr>
                          <w:szCs w:val="24"/>
                        </w:rPr>
                        <w:t>. sergantys lėtine inkstų liga, kai glomerulų filtracijos greitis (GFG) &lt;30ml/1,73m</w:t>
                      </w:r>
                      <w:r>
                        <w:rPr>
                          <w:szCs w:val="24"/>
                          <w:vertAlign w:val="superscript"/>
                        </w:rPr>
                        <w:t xml:space="preserve">2 </w:t>
                      </w:r>
                      <w:r>
                        <w:rPr>
                          <w:szCs w:val="24"/>
                        </w:rPr>
                        <w:t xml:space="preserve"> (N18.4–N18.5);</w:t>
                      </w:r>
                    </w:p>
                  </w:sdtContent>
                </w:sdt>
                <w:sdt>
                  <w:sdtPr>
                    <w:alias w:val="1.2.2 p."/>
                    <w:tag w:val="part_4d5f4a09ff0943a49fb46a4b91432440"/>
                    <w:lock w:val="sdtLocked"/>
                    <w:richText/>
                  </w:sdtPr>
                  <w:sdtContent>
                    <w:p>
                      <w:pPr>
                        <w:suppressAutoHyphens/>
                        <w:ind w:firstLine="709"/>
                        <w:jc w:val="both"/>
                        <w:rPr>
                          <w:szCs w:val="24"/>
                        </w:rPr>
                      </w:pPr>
                      <w:sdt>
                        <w:sdtPr>
                          <w:alias w:val="Numeris"/>
                          <w:tag w:val="nr_4d5f4a09ff0943a49fb46a4b91432440"/>
                          <w:lock w:val="sdtLocked"/>
                          <w:richText/>
                        </w:sdtPr>
                        <w:sdtContent>
                          <w:r>
                            <w:rPr>
                              <w:szCs w:val="24"/>
                            </w:rPr>
                            <w:t>1.2.2</w:t>
                          </w:r>
                        </w:sdtContent>
                      </w:sdt>
                      <w:r>
                        <w:rPr>
                          <w:szCs w:val="24"/>
                        </w:rPr>
                        <w:t>. sergantys nefroziniu sindromu (N04);</w:t>
                      </w:r>
                    </w:p>
                  </w:sdtContent>
                </w:sdt>
                <w:sdt>
                  <w:sdtPr>
                    <w:alias w:val="1.2.3 p."/>
                    <w:tag w:val="part_cea4420ee0cd4a1a831b40a8e5cac1de"/>
                    <w:lock w:val="sdtLocked"/>
                    <w:richText/>
                  </w:sdtPr>
                  <w:sdtContent>
                    <w:p>
                      <w:pPr>
                        <w:suppressAutoHyphens/>
                        <w:ind w:firstLine="709"/>
                        <w:jc w:val="both"/>
                        <w:rPr>
                          <w:szCs w:val="24"/>
                        </w:rPr>
                      </w:pPr>
                      <w:sdt>
                        <w:sdtPr>
                          <w:alias w:val="Numeris"/>
                          <w:tag w:val="nr_cea4420ee0cd4a1a831b40a8e5cac1de"/>
                          <w:lock w:val="sdtLocked"/>
                          <w:richText/>
                        </w:sdtPr>
                        <w:sdtContent>
                          <w:r>
                            <w:rPr>
                              <w:szCs w:val="24"/>
                            </w:rPr>
                            <w:t>1.2.3</w:t>
                          </w:r>
                        </w:sdtContent>
                      </w:sdt>
                      <w:r>
                        <w:rPr>
                          <w:szCs w:val="24"/>
                        </w:rPr>
                        <w:t>. asmenys, kuriems atliekama dializė ar peritoninė dializė (Z49.1, Z49.2, N18.5);</w:t>
                      </w:r>
                    </w:p>
                  </w:sdtContent>
                </w:sdt>
                <w:sdt>
                  <w:sdtPr>
                    <w:alias w:val="1.2.4 p."/>
                    <w:tag w:val="part_8b4a1a4a39da4b5d897ee2bd884544a3"/>
                    <w:lock w:val="sdtLocked"/>
                    <w:richText/>
                  </w:sdtPr>
                  <w:sdtContent>
                    <w:p>
                      <w:pPr>
                        <w:suppressAutoHyphens/>
                        <w:ind w:firstLine="709"/>
                        <w:jc w:val="both"/>
                        <w:rPr>
                          <w:szCs w:val="24"/>
                        </w:rPr>
                      </w:pPr>
                      <w:sdt>
                        <w:sdtPr>
                          <w:alias w:val="Numeris"/>
                          <w:tag w:val="nr_8b4a1a4a39da4b5d897ee2bd884544a3"/>
                          <w:lock w:val="sdtLocked"/>
                          <w:richText/>
                        </w:sdtPr>
                        <w:sdtContent>
                          <w:r>
                            <w:rPr>
                              <w:szCs w:val="24"/>
                            </w:rPr>
                            <w:t>1.2.4</w:t>
                          </w:r>
                        </w:sdtContent>
                      </w:sdt>
                      <w:r>
                        <w:rPr>
                          <w:szCs w:val="24"/>
                        </w:rPr>
                        <w:t>. sergantys navikais (C00–C96, D46–D47);</w:t>
                      </w:r>
                    </w:p>
                  </w:sdtContent>
                </w:sdt>
                <w:sdt>
                  <w:sdtPr>
                    <w:alias w:val="1.2.5 p."/>
                    <w:tag w:val="part_3fd2dd5c73c6425fb8fd662b34a07d07"/>
                    <w:lock w:val="sdtLocked"/>
                    <w:richText/>
                  </w:sdtPr>
                  <w:sdtContent>
                    <w:p>
                      <w:pPr>
                        <w:suppressAutoHyphens/>
                        <w:ind w:firstLine="709"/>
                        <w:jc w:val="both"/>
                        <w:rPr>
                          <w:szCs w:val="24"/>
                        </w:rPr>
                      </w:pPr>
                      <w:sdt>
                        <w:sdtPr>
                          <w:alias w:val="Numeris"/>
                          <w:tag w:val="nr_3fd2dd5c73c6425fb8fd662b34a07d07"/>
                          <w:lock w:val="sdtLocked"/>
                          <w:richText/>
                        </w:sdtPr>
                        <w:sdtContent>
                          <w:r>
                            <w:rPr>
                              <w:szCs w:val="24"/>
                            </w:rPr>
                            <w:t>1.2.5</w:t>
                          </w:r>
                        </w:sdtContent>
                      </w:sdt>
                      <w:r>
                        <w:rPr>
                          <w:szCs w:val="24"/>
                        </w:rPr>
                        <w:t>. asmenys po kraujodaros kamieninių ląstelių transplantacijos (Z94.8);</w:t>
                      </w:r>
                    </w:p>
                  </w:sdtContent>
                </w:sdt>
                <w:sdt>
                  <w:sdtPr>
                    <w:alias w:val="1.2.6 p."/>
                    <w:tag w:val="part_a234ac5633d74183b7644b9ce53307db"/>
                    <w:lock w:val="sdtLocked"/>
                    <w:richText/>
                  </w:sdtPr>
                  <w:sdtContent>
                    <w:p>
                      <w:pPr>
                        <w:suppressAutoHyphens/>
                        <w:ind w:firstLine="709"/>
                        <w:jc w:val="both"/>
                        <w:rPr>
                          <w:szCs w:val="24"/>
                        </w:rPr>
                      </w:pPr>
                      <w:sdt>
                        <w:sdtPr>
                          <w:alias w:val="Numeris"/>
                          <w:tag w:val="nr_a234ac5633d74183b7644b9ce53307db"/>
                          <w:lock w:val="sdtLocked"/>
                          <w:richText/>
                        </w:sdtPr>
                        <w:sdtContent>
                          <w:r>
                            <w:rPr>
                              <w:szCs w:val="24"/>
                            </w:rPr>
                            <w:t>1.2.6</w:t>
                          </w:r>
                        </w:sdtContent>
                      </w:sdt>
                      <w:r>
                        <w:rPr>
                          <w:szCs w:val="24"/>
                        </w:rPr>
                        <w:t>. asmenys po parenchiminių organų transplantacijos (Z94);</w:t>
                      </w:r>
                    </w:p>
                  </w:sdtContent>
                </w:sdt>
                <w:sdt>
                  <w:sdtPr>
                    <w:alias w:val="1.2.7 p."/>
                    <w:tag w:val="part_20450eec56464f46a2ef36eed7b0c296"/>
                    <w:lock w:val="sdtLocked"/>
                    <w:richText/>
                  </w:sdtPr>
                  <w:sdtContent>
                    <w:p>
                      <w:pPr>
                        <w:suppressAutoHyphens/>
                        <w:ind w:firstLine="709"/>
                        <w:jc w:val="both"/>
                        <w:rPr>
                          <w:szCs w:val="24"/>
                        </w:rPr>
                      </w:pPr>
                      <w:sdt>
                        <w:sdtPr>
                          <w:alias w:val="Numeris"/>
                          <w:tag w:val="nr_20450eec56464f46a2ef36eed7b0c296"/>
                          <w:lock w:val="sdtLocked"/>
                          <w:richText/>
                        </w:sdtPr>
                        <w:sdtContent>
                          <w:r>
                            <w:rPr>
                              <w:szCs w:val="24"/>
                            </w:rPr>
                            <w:t>1.2.7</w:t>
                          </w:r>
                        </w:sdtContent>
                      </w:sdt>
                      <w:r>
                        <w:rPr>
                          <w:szCs w:val="24"/>
                        </w:rPr>
                        <w:t>. sergantys reumatinėmis ligomis (M02–M08, M13, M30–M36);</w:t>
                      </w:r>
                    </w:p>
                  </w:sdtContent>
                </w:sdt>
                <w:sdt>
                  <w:sdtPr>
                    <w:alias w:val="1.2.8 p."/>
                    <w:tag w:val="part_2d21f53885114ca5a48e8ee2155e1167"/>
                    <w:lock w:val="sdtLocked"/>
                    <w:richText/>
                  </w:sdtPr>
                  <w:sdtContent>
                    <w:p>
                      <w:pPr>
                        <w:suppressAutoHyphens/>
                        <w:ind w:firstLine="709"/>
                        <w:jc w:val="both"/>
                        <w:rPr>
                          <w:szCs w:val="24"/>
                        </w:rPr>
                      </w:pPr>
                      <w:sdt>
                        <w:sdtPr>
                          <w:alias w:val="Numeris"/>
                          <w:tag w:val="nr_2d21f53885114ca5a48e8ee2155e1167"/>
                          <w:lock w:val="sdtLocked"/>
                          <w:richText/>
                        </w:sdtPr>
                        <w:sdtContent>
                          <w:r>
                            <w:rPr>
                              <w:szCs w:val="24"/>
                            </w:rPr>
                            <w:t>1.2.8</w:t>
                          </w:r>
                        </w:sdtContent>
                      </w:sdt>
                      <w:r>
                        <w:rPr>
                          <w:szCs w:val="24"/>
                        </w:rPr>
                        <w:t>. sergantys kepenų fibroze ir ciroze (K74)</w:t>
                      </w:r>
                    </w:p>
                  </w:sdtContent>
                </w:sdt>
                <w:sdt>
                  <w:sdtPr>
                    <w:alias w:val="1.2.9 p."/>
                    <w:tag w:val="part_b41551899d214c48a45811fa8e6f8880"/>
                    <w:lock w:val="sdtLocked"/>
                    <w:richText/>
                  </w:sdtPr>
                  <w:sdtContent>
                    <w:p>
                      <w:pPr>
                        <w:suppressAutoHyphens/>
                        <w:ind w:firstLine="709"/>
                        <w:jc w:val="both"/>
                        <w:rPr>
                          <w:szCs w:val="24"/>
                        </w:rPr>
                      </w:pPr>
                      <w:sdt>
                        <w:sdtPr>
                          <w:alias w:val="Numeris"/>
                          <w:tag w:val="nr_b41551899d214c48a45811fa8e6f8880"/>
                          <w:lock w:val="sdtLocked"/>
                          <w:richText/>
                        </w:sdtPr>
                        <w:sdtContent>
                          <w:r>
                            <w:rPr>
                              <w:szCs w:val="24"/>
                            </w:rPr>
                            <w:t>1.2.9</w:t>
                          </w:r>
                        </w:sdtContent>
                      </w:sdt>
                      <w:r>
                        <w:rPr>
                          <w:szCs w:val="24"/>
                        </w:rPr>
                        <w:t>. asmenys, kuriems nustatyta hiposplenizmas ar įgimta asplenija (D73.0, Q89.01);</w:t>
                      </w:r>
                    </w:p>
                  </w:sdtContent>
                </w:sdt>
                <w:sdt>
                  <w:sdtPr>
                    <w:alias w:val="1.2.10 p."/>
                    <w:tag w:val="part_52e9bf34f9e6474690fb085be4ba47f0"/>
                    <w:lock w:val="sdtLocked"/>
                    <w:richText/>
                  </w:sdtPr>
                  <w:sdtContent>
                    <w:p>
                      <w:pPr>
                        <w:suppressAutoHyphens/>
                        <w:ind w:firstLine="709"/>
                        <w:jc w:val="both"/>
                        <w:rPr>
                          <w:szCs w:val="24"/>
                        </w:rPr>
                      </w:pPr>
                      <w:sdt>
                        <w:sdtPr>
                          <w:alias w:val="Numeris"/>
                          <w:tag w:val="nr_52e9bf34f9e6474690fb085be4ba47f0"/>
                          <w:lock w:val="sdtLocked"/>
                          <w:richText/>
                        </w:sdtPr>
                        <w:sdtContent>
                          <w:r>
                            <w:rPr>
                              <w:szCs w:val="24"/>
                            </w:rPr>
                            <w:t>1.2.10</w:t>
                          </w:r>
                        </w:sdtContent>
                      </w:sdt>
                      <w:r>
                        <w:rPr>
                          <w:szCs w:val="24"/>
                        </w:rPr>
                        <w:t>. asmenys, kuriems nustatytas cerebrospinalinio skysčio nutekėjimas (G96.0);</w:t>
                      </w:r>
                    </w:p>
                  </w:sdtContent>
                </w:sdt>
                <w:sdt>
                  <w:sdtPr>
                    <w:alias w:val="1.2.11 p."/>
                    <w:tag w:val="part_591049cefc2d454cb89c5307a94749c7"/>
                    <w:lock w:val="sdtLocked"/>
                    <w:richText/>
                  </w:sdtPr>
                  <w:sdtContent>
                    <w:p>
                      <w:pPr>
                        <w:suppressAutoHyphens/>
                        <w:ind w:firstLine="709"/>
                        <w:jc w:val="both"/>
                        <w:rPr>
                          <w:szCs w:val="24"/>
                        </w:rPr>
                      </w:pPr>
                      <w:sdt>
                        <w:sdtPr>
                          <w:alias w:val="Numeris"/>
                          <w:tag w:val="nr_591049cefc2d454cb89c5307a94749c7"/>
                          <w:lock w:val="sdtLocked"/>
                          <w:richText/>
                        </w:sdtPr>
                        <w:sdtContent>
                          <w:r>
                            <w:rPr>
                              <w:szCs w:val="24"/>
                            </w:rPr>
                            <w:t>1.2.11</w:t>
                          </w:r>
                        </w:sdtContent>
                      </w:sdt>
                      <w:r>
                        <w:rPr>
                          <w:szCs w:val="24"/>
                        </w:rPr>
                        <w:t>. asmenys su kochleariniais implantais (Z96.2);</w:t>
                      </w:r>
                    </w:p>
                    <w:p>
                      <w:pPr>
                        <w:suppressAutoHyphens/>
                        <w:ind w:firstLine="709"/>
                        <w:jc w:val="both"/>
                        <w:rPr>
                          <w:szCs w:val="24"/>
                        </w:rPr>
                      </w:pPr>
                    </w:p>
                  </w:sdtContent>
                </w:sdt>
                <w:sdt>
                  <w:sdtPr>
                    <w:alias w:val="1.2.12 p."/>
                    <w:tag w:val="part_7252249c6eec4f6586aff0313dce7a41"/>
                    <w:lock w:val="sdtLocked"/>
                    <w:richText/>
                  </w:sdtPr>
                  <w:sdtContent>
                    <w:p>
                      <w:pPr>
                        <w:suppressAutoHyphens/>
                        <w:ind w:firstLine="709"/>
                        <w:jc w:val="both"/>
                        <w:rPr>
                          <w:szCs w:val="24"/>
                        </w:rPr>
                      </w:pPr>
                      <w:sdt>
                        <w:sdtPr>
                          <w:alias w:val="Numeris"/>
                          <w:tag w:val="nr_7252249c6eec4f6586aff0313dce7a41"/>
                          <w:lock w:val="sdtLocked"/>
                          <w:richText/>
                        </w:sdtPr>
                        <w:sdtContent>
                          <w:r>
                            <w:rPr>
                              <w:szCs w:val="24"/>
                            </w:rPr>
                            <w:t>1.2.12</w:t>
                          </w:r>
                        </w:sdtContent>
                      </w:sdt>
                      <w:r>
                        <w:rPr>
                          <w:szCs w:val="24"/>
                        </w:rPr>
                        <w:t>. sergantys ŽIV sukelta liga ar ŽIV infekuoti (B20–B24, Z21);</w:t>
                      </w:r>
                    </w:p>
                  </w:sdtContent>
                </w:sdt>
                <w:sdt>
                  <w:sdtPr>
                    <w:alias w:val="1.2.13 p."/>
                    <w:tag w:val="part_b5b6933053794045bc05b465ba06b292"/>
                    <w:lock w:val="sdtLocked"/>
                    <w:richText/>
                  </w:sdtPr>
                  <w:sdtContent>
                    <w:p>
                      <w:pPr>
                        <w:widowControl w:val="0"/>
                        <w:shd w:val="clear" w:color="auto" w:fill="FFFFFF"/>
                        <w:ind w:firstLine="709"/>
                        <w:jc w:val="both"/>
                      </w:pPr>
                      <w:sdt>
                        <w:sdtPr>
                          <w:alias w:val="Numeris"/>
                          <w:tag w:val="nr_b5b6933053794045bc05b465ba06b292"/>
                          <w:lock w:val="sdtLocked"/>
                          <w:richText/>
                        </w:sdtPr>
                        <w:sdtContent>
                          <w:r>
                            <w:rPr>
                              <w:szCs w:val="24"/>
                            </w:rPr>
                            <w:t>1.2.13</w:t>
                          </w:r>
                        </w:sdtContent>
                      </w:sdt>
                      <w:r>
                        <w:rPr>
                          <w:szCs w:val="24"/>
                        </w:rPr>
                        <w:t>. asmenys, kuriems nustatyta jatrogeninė imunosupresija (D89.8);</w:t>
                      </w:r>
                    </w:p>
                  </w:sdtContent>
                </w:sdt>
                <w:sdt>
                  <w:sdtPr>
                    <w:alias w:val="1.2.14 pp."/>
                    <w:tag w:val="part_048835b26f9941f3ba5a4233ff5190d0"/>
                    <w:lock w:val="sdtLocked"/>
                    <w:richText/>
                  </w:sdtPr>
                  <w:sdtContent>
                    <w:p>
                      <w:pPr>
                        <w:widowControl w:val="0"/>
                        <w:ind w:firstLine="709"/>
                        <w:jc w:val="both"/>
                        <w:rPr>
                          <w:szCs w:val="24"/>
                        </w:rPr>
                      </w:pPr>
                      <w:sdt>
                        <w:sdtPr>
                          <w:alias w:val="Numeris"/>
                          <w:tag w:val="nr_048835b26f9941f3ba5a4233ff5190d0"/>
                          <w:lock w:val="sdtLocked"/>
                          <w:richText/>
                        </w:sdtPr>
                        <w:sdtContent>
                          <w:r>
                            <w:rPr>
                              <w:szCs w:val="24"/>
                            </w:rPr>
                            <w:t>1.2.14</w:t>
                          </w:r>
                        </w:sdtContent>
                      </w:sdt>
                      <w:r>
                        <w:rPr>
                          <w:szCs w:val="24"/>
                        </w:rPr>
                        <w:t xml:space="preserve">. asmenys, kuriems nustatytas imunodeficitas su vyraujančiais antikūnų pakitimais (D80), kombinuoti imunodeficitai (D81), imunodeficitas kartu su kitais pagrindiniais sutrikimais (D82), įprastas kintamasis imunodeficitas (D83) arba kiti imunodeficitai (D84).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b07170484611e6bd3bfefc575ccac4">
                        <w:r w:rsidRPr="00532B9F">
                          <w:rPr>
                            <w:rFonts w:ascii="Times New Roman" w:eastAsia="MS Mincho" w:hAnsi="Times New Roman"/>
                            <w:sz w:val="20"/>
                            <w:i/>
                            <w:iCs/>
                            <w:color w:val="0000FF" w:themeColor="hyperlink"/>
                            <w:u w:val="single"/>
                          </w:rPr>
                          <w:t>V-924</w:t>
                        </w:r>
                      </w:fldSimple>
                      <w:r>
                        <w:rPr>
                          <w:rFonts w:ascii="Times New Roman" w:eastAsia="MS Mincho" w:hAnsi="Times New Roman"/>
                          <w:sz w:val="20"/>
                          <w:i/>
                          <w:iCs/>
                        </w:rPr>
                        <w:t>,
2016-07-11,
paskelbta TAR 2016-07-13, i. k. 2016-20025        </w:t>
                      </w:r>
                    </w:p>
                    <w:p/>
                  </w:sdtContent>
                </w:sdt>
              </w:sdtContent>
            </w:sdt>
          </w:sdtContent>
        </w:sdt>
        <w:sdt>
          <w:sdtPr>
            <w:alias w:val="2 p."/>
            <w:tag w:val="part_905c4ba9369e4b4eb1d24750a5d4ef88"/>
            <w:lock w:val="sdtLocked"/>
            <w:richText/>
          </w:sdtPr>
          <w:sdtContent>
            <w:p>
              <w:pPr>
                <w:widowControl w:val="0"/>
                <w:shd w:val="clear" w:color="auto" w:fill="FFFFFF"/>
                <w:ind w:firstLine="709"/>
                <w:jc w:val="both"/>
                <w:rPr>
                  <w:szCs w:val="24"/>
                </w:rPr>
              </w:pPr>
              <w:sdt>
                <w:sdtPr>
                  <w:alias w:val="Numeris"/>
                  <w:tag w:val="nr_905c4ba9369e4b4eb1d24750a5d4ef88"/>
                  <w:lock w:val="sdtLocked"/>
                  <w:richText/>
                </w:sdtPr>
                <w:sdtContent>
                  <w:r>
                    <w:rPr>
                      <w:szCs w:val="24"/>
                    </w:rPr>
                    <w:t>2</w:t>
                  </w:r>
                </w:sdtContent>
              </w:sdt>
              <w:r>
                <w:rPr>
                  <w:szCs w:val="24"/>
                </w:rPr>
                <w:t xml:space="preserve">. </w:t>
              </w:r>
              <w:r>
                <w:rPr>
                  <w:spacing w:val="60"/>
                  <w:szCs w:val="24"/>
                </w:rPr>
                <w:t>Paved</w:t>
              </w:r>
              <w:r>
                <w:rPr>
                  <w:szCs w:val="24"/>
                </w:rPr>
                <w:t>u:</w:t>
              </w:r>
            </w:p>
            <w:sdt>
              <w:sdtPr>
                <w:alias w:val="2.1 p."/>
                <w:tag w:val="part_0a5e4191cede4e11b61dded9e2801199"/>
                <w:lock w:val="sdtLocked"/>
                <w:richText/>
              </w:sdtPr>
              <w:sdtContent>
                <w:p>
                  <w:pPr>
                    <w:widowControl w:val="0"/>
                    <w:shd w:val="clear" w:color="auto" w:fill="FFFFFF"/>
                    <w:ind w:firstLine="709"/>
                    <w:jc w:val="both"/>
                    <w:rPr>
                      <w:szCs w:val="24"/>
                    </w:rPr>
                  </w:pPr>
                  <w:sdt>
                    <w:sdtPr>
                      <w:alias w:val="Numeris"/>
                      <w:tag w:val="nr_0a5e4191cede4e11b61dded9e2801199"/>
                      <w:lock w:val="sdtLocked"/>
                      <w:richText/>
                    </w:sdtPr>
                    <w:sdtContent>
                      <w:r>
                        <w:rPr>
                          <w:szCs w:val="24"/>
                        </w:rPr>
                        <w:t>2.1</w:t>
                      </w:r>
                    </w:sdtContent>
                  </w:sdt>
                  <w:r>
                    <w:rPr>
                      <w:szCs w:val="24"/>
                    </w:rPr>
                    <w:t xml:space="preserve">. asmens sveikatos priežiūros įstaigų vadovams pneumokokinės infekcijos rizikos grupių skiepijimus organizuoti ir vykdyti šiuo įsakymu patvirtintų rizikos grupių asmenims įskiepijant vieną pneumokokinės infekcijos polisacharidinės konjuguotos vakcinos dozę, išskyrus vaikus ir suaugusiuosius po kraujodaros kamieninių ląstelių transplantacijos, kurie turi būti skiepijami 4 dozėmis pneumokokinės infekcijos polisacharidinės konjuguotos vakcinos pagal vakcinos specialiosiose produkto charakteristikose nurodytą skiepijimo schemą;  </w:t>
                  </w:r>
                </w:p>
              </w:sdtContent>
            </w:sdt>
            <w:sdt>
              <w:sdtPr>
                <w:alias w:val="2.2 p."/>
                <w:tag w:val="part_0476c516e86e4d2a8c66e5837c3a36cd"/>
                <w:lock w:val="sdtLocked"/>
                <w:richText/>
              </w:sdtPr>
              <w:sdtContent>
                <w:p>
                  <w:pPr>
                    <w:widowControl w:val="0"/>
                    <w:shd w:val="clear" w:color="auto" w:fill="FFFFFF"/>
                    <w:ind w:firstLine="709"/>
                    <w:jc w:val="both"/>
                    <w:rPr>
                      <w:szCs w:val="24"/>
                    </w:rPr>
                  </w:pPr>
                  <w:sdt>
                    <w:sdtPr>
                      <w:alias w:val="Numeris"/>
                      <w:tag w:val="nr_0476c516e86e4d2a8c66e5837c3a36cd"/>
                      <w:lock w:val="sdtLocked"/>
                      <w:richText/>
                    </w:sdtPr>
                    <w:sdtContent>
                      <w:r>
                        <w:rPr>
                          <w:szCs w:val="24"/>
                        </w:rPr>
                        <w:t>2.2</w:t>
                      </w:r>
                    </w:sdtContent>
                  </w:sdt>
                  <w:r>
                    <w:rPr>
                      <w:szCs w:val="24"/>
                    </w:rPr>
                    <w:t>. Valstybinės ligonių kasos prie Sveikatos apsaugos ministerijos direktoriui vykdyti centralizuotą pneumokokinės infekcijos polisacharidinės konjuguotos vakcinos, švirkštų pirkimą pneumokokinės infekcijos rizikos grupių asmenims skiepyti;</w:t>
                  </w:r>
                </w:p>
              </w:sdtContent>
            </w:sdt>
            <w:sdt>
              <w:sdtPr>
                <w:alias w:val="2.3 p."/>
                <w:tag w:val="part_7876fccfd4224beda5a7df18a8e6555e"/>
                <w:lock w:val="sdtLocked"/>
                <w:richText/>
              </w:sdtPr>
              <w:sdtContent>
                <w:p>
                  <w:pPr>
                    <w:widowControl w:val="0"/>
                    <w:shd w:val="clear" w:color="auto" w:fill="FFFFFF"/>
                    <w:ind w:firstLine="709"/>
                    <w:jc w:val="both"/>
                    <w:rPr>
                      <w:szCs w:val="24"/>
                    </w:rPr>
                  </w:pPr>
                  <w:sdt>
                    <w:sdtPr>
                      <w:alias w:val="Numeris"/>
                      <w:tag w:val="nr_7876fccfd4224beda5a7df18a8e6555e"/>
                      <w:lock w:val="sdtLocked"/>
                      <w:richText/>
                    </w:sdtPr>
                    <w:sdtContent>
                      <w:r>
                        <w:rPr>
                          <w:szCs w:val="24"/>
                        </w:rPr>
                        <w:t>2.3</w:t>
                      </w:r>
                    </w:sdtContent>
                  </w:sdt>
                  <w:r>
                    <w:rPr>
                      <w:szCs w:val="24"/>
                    </w:rPr>
                    <w:t>. Užkrečiamųjų ligų ir AIDS centro direktoriui planuoti ir paskirstyti asmens sveikatos priežiūros įstaigoms pneumokokinės infekcijos polisacharidinę konjuguotą vakciną, švirkštus pneumokokinės infekcijos rizikos grupių asmenims skiepyti.</w:t>
                  </w:r>
                </w:p>
              </w:sdtContent>
            </w:sdt>
            <w:sdt>
              <w:sdtPr>
                <w:alias w:val="2.4 p."/>
                <w:tag w:val="part_046e4b901acd4afab5f2db821c0b16d2"/>
                <w:lock w:val="sdtLocked"/>
                <w:richText/>
              </w:sdtPr>
              <w:sdtContent>
                <w:p>
                  <w:pPr>
                    <w:widowControl w:val="0"/>
                    <w:shd w:val="clear" w:color="auto" w:fill="FFFFFF"/>
                    <w:ind w:firstLine="709"/>
                    <w:jc w:val="both"/>
                    <w:rPr>
                      <w:szCs w:val="24"/>
                    </w:rPr>
                  </w:pPr>
                  <w:sdt>
                    <w:sdtPr>
                      <w:alias w:val="Numeris"/>
                      <w:tag w:val="nr_046e4b901acd4afab5f2db821c0b16d2"/>
                      <w:lock w:val="sdtLocked"/>
                      <w:richText/>
                    </w:sdtPr>
                    <w:sdtContent>
                      <w:r>
                        <w:rPr>
                          <w:szCs w:val="24"/>
                        </w:rPr>
                        <w:t>2.4</w:t>
                      </w:r>
                    </w:sdtContent>
                  </w:sdt>
                  <w:r>
                    <w:rPr>
                      <w:szCs w:val="24"/>
                    </w:rPr>
                    <w:t>. įsakymo vykdymą kontroliuoti viceministrui pagal veiklos sritį.</w:t>
                  </w:r>
                </w:p>
              </w:sdtContent>
            </w:sdt>
          </w:sdtContent>
        </w:sdt>
        <w:sdt>
          <w:sdtPr>
            <w:alias w:val="3 p."/>
            <w:tag w:val="part_a32aa221b27d4d5cb0afc2c09bbddddb"/>
            <w:lock w:val="sdtLocked"/>
            <w:richText/>
          </w:sdtPr>
          <w:sdtContent>
            <w:p>
              <w:pPr>
                <w:widowControl w:val="0"/>
                <w:shd w:val="clear" w:color="auto" w:fill="FFFFFF"/>
                <w:ind w:firstLine="720"/>
                <w:jc w:val="both"/>
                <w:rPr>
                  <w:szCs w:val="24"/>
                </w:rPr>
              </w:pPr>
              <w:sdt>
                <w:sdtPr>
                  <w:alias w:val="Numeris"/>
                  <w:tag w:val="nr_a32aa221b27d4d5cb0afc2c09bbddddb"/>
                  <w:lock w:val="sdtLocked"/>
                  <w:richText/>
                </w:sdtPr>
                <w:sdtContent>
                  <w:r>
                    <w:rPr>
                      <w:szCs w:val="24"/>
                    </w:rPr>
                    <w:t>3</w:t>
                  </w:r>
                </w:sdtContent>
              </w:sdt>
              <w:r>
                <w:rPr>
                  <w:szCs w:val="24"/>
                </w:rPr>
                <w:t xml:space="preserve">. N u s t a t a u, kad šio įsakymo 2.1 papunktis  įsigalioja 2015 m. gruodžio 1 d.</w:t>
              </w:r>
            </w:p>
          </w:sdtContent>
        </w:sdt>
        <w:sdt>
          <w:sdtPr>
            <w:alias w:val="signatura"/>
            <w:tag w:val="part_d1ee45487e334cdfba768da9cc3fcb39"/>
            <w:lock w:val="sdtLocked"/>
            <w:richText/>
          </w:sdtPr>
          <w:sdtContent>
            <w:p/>
            <w:p/>
            <w:p/>
            <w:p>
              <w:pPr>
                <w:rPr>
                  <w:szCs w:val="24"/>
                </w:rPr>
              </w:pPr>
              <w:r>
                <w:rPr>
                  <w:szCs w:val="24"/>
                </w:rPr>
                <w:t xml:space="preserve">Sveikatos apsaugos ministrė </w:t>
                <w:tab/>
                <w:tab/>
                <w:tab/>
                <w:tab/>
                <w:tab/>
                <w:tab/>
                <w:tab/>
                <w:t xml:space="preserve">    Rimantė Šalaševičiūtė</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1b07170484611e6bd3bfefc575ccac4">
            <w:r w:rsidRPr="00532B9F">
              <w:rPr>
                <w:rFonts w:ascii="Times New Roman" w:eastAsia="MS Mincho" w:hAnsi="Times New Roman"/>
                <w:sz w:val="20"/>
                <w:iCs/>
                <w:color w:val="0000FF" w:themeColor="hyperlink"/>
                <w:u w:val="single"/>
              </w:rPr>
              <w:t>V-924</w:t>
            </w:r>
          </w:fldSimple>
          <w:r>
            <w:rPr>
              <w:rFonts w:ascii="Times New Roman" w:eastAsia="MS Mincho" w:hAnsi="Times New Roman"/>
              <w:sz w:val="20"/>
              <w:iCs/>
            </w:rPr>
            <w:t>,
2016-07-11,
paskelbta TAR 2016-07-13, i. k. 2016-20025                </w:t>
          </w:r>
        </w:p>
        <w:p>
          <w:pPr>
            <w:jc w:val="both"/>
            <w:rPr>
              <w:rFonts w:ascii="Times New Roman" w:hAnsi="Times New Roman"/>
            </w:rPr>
          </w:pPr>
          <w:r>
            <w:rPr>
              <w:rFonts w:ascii="Times New Roman" w:hAnsi="Times New Roman"/>
              <w:sz w:val="20"/>
            </w:rPr>
            <w:t>Lietuvos Respublikos sveikatos apsaugos ministro 2015 m. spalio 8 d. įsakymo Nr. V-1130 „Dėl Pneumokokinės infekcijos rizikos grupių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077" w:right="567" w:bottom="851" w:left="1701" w:header="1134" w:footer="1134" w:gutter="0"/>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1331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3313"/>
    <o:shapelayout v:ext="edit">
      <o:idmap v:ext="edit" data="1"/>
    </o:shapelayout>
  </w:shapeDefaults>
  <w:decimalSymbol w:val=","/>
  <w:listSeparator w:val=";"/>
  <w14:docId w14:val="2DC5179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551426963">
      <w:bodyDiv w:val="1"/>
      <w:marLeft w:val="0"/>
      <w:marRight w:val="0"/>
      <w:marTop w:val="0"/>
      <w:marBottom w:val="0"/>
      <w:divBdr>
        <w:top w:val="none" w:sz="0" w:space="0" w:color="auto"/>
        <w:left w:val="none" w:sz="0" w:space="0" w:color="auto"/>
        <w:bottom w:val="none" w:sz="0" w:space="0" w:color="auto"/>
        <w:right w:val="none" w:sz="0" w:space="0" w:color="auto"/>
      </w:divBdr>
    </w:div>
    <w:div w:id="11091593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2.png"/>
  <Relationship Id="rId17" Type="http://schemas.openxmlformats.org/officeDocument/2006/relationships/oleObject" Target="embeddings/oleObject2.bin"/>
  <Relationship Id="rId18" Type="http://schemas.openxmlformats.org/officeDocument/2006/relationships/customXml" Target="../customXml/item1.xml"/>
  <Relationship Id="rId2" Type="http://schemas.openxmlformats.org/officeDocument/2006/relationships/header" Target="header5.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42a961c017a54d8dac8b3a7d3c88c0b2" PartId="7c06033ba21e434eb300d99110cae885">
    <Part Type="preambule" DocPartId="c30b6f1a86a84588b4820ffa3e729f22" PartId="35435493fdfa4241b455a6fb3490fee5"/>
    <Part Type="punktas" Nr="1" Abbr="1 p." DocPartId="1dbd10b076e74e17bf6e0cb643ff0325" PartId="82872f964a444171b337db22ce5c89f2">
      <Part Type="punktas" Nr="1.1" Abbr="1.1 p." DocPartId="49053be132ee412abb293b04325e583e" PartId="ffde670014bc4df99c23ddd75f4a991c">
        <Part Type="punktas" Nr="1.1.1" Abbr="1.1.1 p." DocPartId="7eb4693590f04cd4b43f416c613dccb6" PartId="cb43010baa6c441e8f9d79c4fcd9d50c"/>
        <Part Type="punktas" Nr="1.1.2" Abbr="1.1.2 p." DocPartId="8aea15474aa54c9e9f939334f2d9ea48" PartId="89a9f88ab77e4a97b688dab9fbd84fda"/>
        <Part Type="punktas" Nr="1.1.3" Abbr="1.1.3 p." DocPartId="2c0cd843676a48c89a995553e1cc8066" PartId="7081eb94f8454d7b9660bb3763c33bed"/>
        <Part Type="punktas" Nr="1.1.4" Abbr="1.1.4 p." DocPartId="a737e3d994ce491f93694ae9271c89f6" PartId="6737def0e1674248a2f2cb906c559139"/>
        <Part Type="punktas" Nr="1.1.5" Abbr="1.1.5 p." DocPartId="f130833be368460d8a227dae9d5801a2" PartId="86b5896f070741abbbfe46e0035a28e1"/>
        <Part Type="punktas" Nr="1.1.6" Abbr="1.1.6 p." DocPartId="9eb5a4445264443bb550215c81857ef5" PartId="8c757f3c657b4b3d816474ca7954295a"/>
        <Part Type="punktas" Nr="1.1.7" Abbr="1.1.7 p." DocPartId="cd837a4bd7624fd28c4f43800f22770b" PartId="1aa32e506c1b412ea9b75a3b8d485d87"/>
        <Part Type="punktas" Nr="1.1.8" Abbr="1.1.8 p." DocPartId="bf30f33a9ae5427b960756add030a981" PartId="42eeff955ec74330b2a9c224bb7d4abd"/>
        <Part Type="punktas" Nr="1.1.9" Abbr="1.1.9 p." DocPartId="561417914b7343c5825e334c398db199" PartId="1acc865fd96a4ad4b847ab4de14f89a6"/>
        <Part Type="punktas" Nr="1.1.10" Abbr="1.1.10 p." DocPartId="aff0aa65245948c4a4363f18a386b3db" PartId="6f92c2795ef54b5ba0422d522f16e5e2"/>
        <Part Type="punktas" Nr="1.1.11" Abbr="1.1.11 p." DocPartId="9f7b24e0dc744e2c8ca9653e759a87d3" PartId="c9a453474fd042f4bde8d69f089faa0d"/>
      </Part>
      <Part Type="punktas" Nr="1.2" Abbr="1.2 p." DocPartId="bce5d893356b4c95829166b528d6b78b" PartId="bd71ef0686c14f7684300594b98ce128">
        <Part Type="punktas" Nr="1.2.1" Abbr="1.2.1 p." DocPartId="1949319f21a54af6a87c6bc70a84520a" PartId="7245b24722994656a069f82ba1b748f3"/>
        <Part Type="punktas" Nr="1.2.2" Abbr="1.2.2 p." DocPartId="a8123eff71bb451b9d858a2a6d628162" PartId="4d5f4a09ff0943a49fb46a4b91432440"/>
        <Part Type="punktas" Nr="1.2.3" Abbr="1.2.3 p." DocPartId="1d6d6c9296eb4f319ffcc5f16e000726" PartId="cea4420ee0cd4a1a831b40a8e5cac1de"/>
        <Part Type="punktas" Nr="1.2.4" Abbr="1.2.4 p." DocPartId="32bc6b54f82b49a79e56b497ba2b2417" PartId="8b4a1a4a39da4b5d897ee2bd884544a3"/>
        <Part Type="punktas" Nr="1.2.5" Abbr="1.2.5 p." DocPartId="f2b0a68da6c84a93afb2e46e3053268b" PartId="3fd2dd5c73c6425fb8fd662b34a07d07"/>
        <Part Type="punktas" Nr="1.2.6" Abbr="1.2.6 p." DocPartId="2ce61b062c1a4a6e99ac65cce7834585" PartId="a234ac5633d74183b7644b9ce53307db"/>
        <Part Type="punktas" Nr="1.2.7" Abbr="1.2.7 p." DocPartId="1e040b81b0984a80bf11a7e2c3481fe5" PartId="20450eec56464f46a2ef36eed7b0c296"/>
        <Part Type="punktas" Nr="1.2.8" Abbr="1.2.8 p." DocPartId="3dbee982edcd447eb2c96d5d41d86cc4" PartId="2d21f53885114ca5a48e8ee2155e1167"/>
        <Part Type="punktas" Nr="1.2.9" Abbr="1.2.9 p." DocPartId="01f8cb5b6f534c6bb2674e53809ea1b9" PartId="b41551899d214c48a45811fa8e6f8880"/>
        <Part Type="punktas" Nr="1.2.10" Abbr="1.2.10 p." DocPartId="f9ee65e8c26e43e3a3500c519a39dc22" PartId="52e9bf34f9e6474690fb085be4ba47f0"/>
        <Part Type="punktas" Nr="1.2.11" Abbr="1.2.11 p." DocPartId="6af02b4fe9474cb09bd6dbbe1a990c63" PartId="591049cefc2d454cb89c5307a94749c7"/>
        <Part Type="punktas" Nr="1.2.12" Abbr="1.2.12 p." DocPartId="70a054f99d56420e98b7dc631539e6cd" PartId="7252249c6eec4f6586aff0313dce7a41"/>
        <Part Type="punktas" Nr="1.2.13" Abbr="1.2.13 p." DocPartId="e07895683ced4701bf67d2d94f856422" PartId="b5b6933053794045bc05b465ba06b292"/>
        <Part Type="papunktis" Nr="1.2.14" Abbr="1.2.14 pp." Title="" DocPartId="aef2be5ca5b747edaa727bf5c82a7808" PartId="048835b26f9941f3ba5a4233ff5190d0"/>
      </Part>
    </Part>
    <Part Type="punktas" Nr="2" Abbr="2 p." DocPartId="595c3f4ebef747ce8af4871c58053177" PartId="905c4ba9369e4b4eb1d24750a5d4ef88">
      <Part Type="punktas" Nr="2.1" Abbr="2.1 p." DocPartId="04f4c859924a4eda9d4a6e530f8b242d" PartId="0a5e4191cede4e11b61dded9e2801199"/>
      <Part Type="punktas" Nr="2.2" Abbr="2.2 p." DocPartId="654f0b153fa74288a1ed83c87a880694" PartId="0476c516e86e4d2a8c66e5837c3a36cd"/>
      <Part Type="punktas" Nr="2.3" Abbr="2.3 p." DocPartId="fd1b4187ab1d4542a445d16fa99af4a6" PartId="7876fccfd4224beda5a7df18a8e6555e"/>
      <Part Type="punktas" Nr="2.4" Abbr="2.4 p." DocPartId="f1ac1f746f974365955c8d09309f6b32" PartId="046e4b901acd4afab5f2db821c0b16d2"/>
    </Part>
    <Part Type="punktas" Nr="3" Abbr="3 p." DocPartId="079c1302c45a444d916fc4f7c55aa912" PartId="a32aa221b27d4d5cb0afc2c09bbddddb"/>
    <Part Type="signatura" DocPartId="3b98b1508cbc43bd8fb0cee2ca905d81" PartId="d1ee45487e334cdfba768da9cc3fcb39"/>
  </Part>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50484D47-7E13-4EFD-812B-EBA1876AD0C7}">
  <ds:schemaRefs>
    <ds:schemaRef ds:uri="http://lrs.lt/TAIS/DocParts"/>
  </ds:schemaRefs>
</ds:datastoreItem>
</file>

<file path=customXml/itemProps2.xml><?xml version="1.0" encoding="utf-8"?>
<ds:datastoreItem xmlns:ds="http://schemas.openxmlformats.org/officeDocument/2006/customXml" ds:itemID="{05E22B88-0FD6-4C2F-B497-6B4B5AE6D418}">
  <ds:schemaRefs>
    <ds:schemaRef ds:uri="http://schemas.openxmlformats.org/officeDocument/2006/bibliography"/>
  </ds:schemaRefs>
</ds:datastoreItem>
</file>

<file path=customXml/itemProps3.xml><?xml version="1.0" encoding="utf-8"?>
<ds:datastoreItem xmlns:ds="http://schemas.openxmlformats.org/officeDocument/2006/customXml" ds:itemID="{8F4FCA59-8176-4452-A2B0-21C2394D49B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TotalTime>
  <Pages>2</Pages>
  <Words>2840</Words>
  <Characters>1620</Characters>
  <Application>Microsoft Office Word</Application>
  <DocSecurity>0</DocSecurity>
  <Lines>13</Lines>
  <Paragraphs>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4452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2015-10-13T05:30:00Z</dcterms:created>
  <dc:creator>loginovic</dc:creator>
  <lastModifiedBy>DRAZDAUSKIENĖ Nijolė</lastModifiedBy>
  <lastPrinted>2015-09-28T06:41:00Z</lastPrinted>
  <dcterms:modified xsi:type="dcterms:W3CDTF">2016-07-14T06:17:00Z</dcterms:modified>
  <revision>4</revision>
  <dc:title>2001-05-00</dc:title>
</coreProperties>
</file>