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984fb30dc1424a93ad2c057470706e"/>
        <w:lock w:val="sdtLocked"/>
        <w:richText/>
      </w:sdtPr>
      <w:sdtContent>
        <w:p>
          <w:pPr>
            <w:jc w:val="both"/>
            <w:rPr>
              <w:rFonts w:ascii="Times New Roman" w:hAnsi="Times New Roman"/>
            </w:rPr>
          </w:pPr>
          <w:r>
            <w:rPr>
              <w:rFonts w:ascii="Times New Roman" w:hAnsi="Times New Roman"/>
              <w:b/>
              <w:i/>
            </w:rPr>
            <w:t>Suvestinė redakcija nuo 2024-09-25 iki 2025-05-29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2023-04-26, i. k. 2023-08010</w:t>
          </w:r>
        </w:p>
        <w:p>
          <w:pPr>
            <w:jc w:val="both"/>
            <w:rPr>
              <w:rFonts w:ascii="Times New Roman" w:hAnsi="Times New Roman"/>
              <w:sz w:val="20"/>
            </w:rPr>
          </w:pPr>
        </w:p>
        <w:p>
          <w:pPr>
            <w:tabs>
              <w:tab w:val="center" w:pos="4819"/>
              <w:tab w:val="right" w:pos="9638"/>
            </w:tabs>
            <w:jc w:val="center"/>
            <w:rPr>
              <w:szCs w:val="22"/>
            </w:rPr>
          </w:pPr>
        </w:p>
        <w:p>
          <w:pPr>
            <w:suppressAutoHyphens/>
            <w:jc w:val="center"/>
            <w:rPr>
              <w:rFonts w:ascii="Arial" w:hAnsi="Arial"/>
              <w:spacing w:val="8"/>
              <w:lang w:eastAsia="zh-CN"/>
            </w:rPr>
          </w:pPr>
          <w:r>
            <w:rPr>
              <w:lang w:eastAsia="ko-KR"/>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pacing w:line="276" w:lineRule="auto"/>
            <w:jc w:val="center"/>
            <w:rPr>
              <w:b/>
              <w:bCs/>
              <w:szCs w:val="22"/>
            </w:rPr>
          </w:pPr>
          <w:r>
            <w:rPr>
              <w:b/>
              <w:bCs/>
              <w:szCs w:val="24"/>
              <w:lang w:eastAsia="x-none"/>
            </w:rPr>
            <w:t>LIETUVOS RESPUBLIKOS ŽEMĖS ŪKIO MINISTRAS</w:t>
          </w:r>
        </w:p>
        <w:p>
          <w:pPr>
            <w:jc w:val="center"/>
            <w:textAlignment w:val="baseline"/>
            <w:rPr>
              <w:b/>
              <w:bCs/>
              <w:szCs w:val="24"/>
              <w:lang w:val="en-GB" w:eastAsia="en-GB"/>
            </w:rPr>
          </w:pPr>
        </w:p>
        <w:p>
          <w:pPr>
            <w:jc w:val="center"/>
            <w:textAlignment w:val="baseline"/>
            <w:rPr>
              <w:b/>
              <w:bCs/>
              <w:szCs w:val="24"/>
              <w:lang w:val="en-GB" w:eastAsia="en-GB"/>
            </w:rPr>
          </w:pPr>
          <w:r>
            <w:rPr>
              <w:b/>
              <w:bCs/>
              <w:szCs w:val="24"/>
              <w:lang w:val="en-GB" w:eastAsia="en-GB"/>
            </w:rPr>
            <w:t>ĮSAKYMAS</w:t>
          </w:r>
        </w:p>
        <w:p>
          <w:pPr>
            <w:jc w:val="center"/>
            <w:rPr>
              <w:rFonts w:ascii="Segoe UI" w:hAnsi="Segoe UI" w:cs="Segoe UI"/>
              <w:sz w:val="18"/>
              <w:szCs w:val="18"/>
            </w:rPr>
          </w:pPr>
          <w:r>
            <w:rPr>
              <w:b/>
              <w:szCs w:val="24"/>
              <w:lang w:eastAsia="lt-LT"/>
            </w:rPr>
            <w:t>DĖL NACIONALINIO VANDENŲ SRITIES 20</w:t>
          </w:r>
          <w:r>
            <w:rPr>
              <w:b/>
              <w:szCs w:val="24"/>
              <w:lang w:val="en-US" w:eastAsia="lt-LT"/>
            </w:rPr>
            <w:t>22</w:t>
          </w:r>
          <w:r>
            <w:rPr>
              <w:b/>
              <w:szCs w:val="24"/>
              <w:lang w:eastAsia="lt-LT"/>
            </w:rPr>
            <w:t xml:space="preserve">–2027 METŲ PLANO </w:t>
          </w:r>
          <w:r>
            <w:rPr>
              <w:b/>
              <w:szCs w:val="22"/>
              <w:lang w:eastAsia="lt-LT"/>
            </w:rPr>
            <w:t xml:space="preserve">ĮGYVENDINIMO VEIKSMŲ </w:t>
          </w:r>
          <w:r>
            <w:rPr>
              <w:b/>
              <w:bCs/>
              <w:lang w:eastAsia="zh-CN"/>
            </w:rPr>
            <w:t>PLANO</w:t>
          </w:r>
          <w:r>
            <w:rPr>
              <w:b/>
              <w:szCs w:val="22"/>
              <w:lang w:eastAsia="lt-LT"/>
            </w:rPr>
            <w:t xml:space="preserve"> PATVIRTINIMO</w:t>
          </w:r>
        </w:p>
        <w:p>
          <w:pPr>
            <w:jc w:val="center"/>
            <w:textAlignment w:val="baseline"/>
            <w:rPr>
              <w:szCs w:val="24"/>
              <w:lang w:eastAsia="en-GB"/>
            </w:rPr>
          </w:pPr>
        </w:p>
        <w:p>
          <w:pPr>
            <w:suppressAutoHyphens/>
            <w:jc w:val="center"/>
            <w:rPr>
              <w:szCs w:val="24"/>
            </w:rPr>
          </w:pPr>
          <w:r>
            <w:rPr>
              <w:szCs w:val="24"/>
            </w:rPr>
            <w:t xml:space="preserve">2023 m. balandžio 26 d. Nr. </w:t>
          </w:r>
          <w:r>
            <w:rPr>
              <w:bCs/>
              <w:color w:val="333333"/>
              <w:szCs w:val="24"/>
              <w:shd w:val="clear" w:color="auto" w:fill="FFFFFF"/>
            </w:rPr>
            <w:t>D1-122/3D-286</w:t>
          </w:r>
        </w:p>
        <w:p>
          <w:pPr>
            <w:jc w:val="center"/>
            <w:textAlignment w:val="baseline"/>
            <w:rPr>
              <w:szCs w:val="24"/>
              <w:lang w:eastAsia="en-GB"/>
            </w:rPr>
          </w:pPr>
          <w:r>
            <w:rPr>
              <w:szCs w:val="24"/>
              <w:lang w:eastAsia="en-GB"/>
            </w:rPr>
            <w:t>Vilnius</w:t>
          </w:r>
        </w:p>
        <w:p>
          <w:pPr>
            <w:jc w:val="center"/>
            <w:textAlignment w:val="baseline"/>
            <w:rPr>
              <w:szCs w:val="24"/>
              <w:lang w:eastAsia="en-GB"/>
            </w:rPr>
          </w:pPr>
        </w:p>
        <w:p>
          <w:pPr>
            <w:jc w:val="center"/>
            <w:textAlignment w:val="baseline"/>
            <w:rPr>
              <w:szCs w:val="24"/>
              <w:lang w:eastAsia="en-GB"/>
            </w:rPr>
          </w:pPr>
        </w:p>
        <w:sdt>
          <w:sdtPr>
            <w:alias w:val="preambule"/>
            <w:tag w:val="part_aec4ee9d3dcb47ca8c51ec8057fec87f"/>
            <w:lock w:val="sdtLocked"/>
            <w:richText/>
          </w:sdtPr>
          <w:sdtContent>
            <w:p>
              <w:pPr>
                <w:spacing w:line="276" w:lineRule="auto"/>
                <w:ind w:firstLine="567"/>
                <w:jc w:val="both"/>
                <w:rPr>
                  <w:szCs w:val="24"/>
                  <w:lang w:eastAsia="lt-LT"/>
                </w:rPr>
              </w:pPr>
              <w:r>
                <w:rPr>
                  <w:bCs/>
                  <w:szCs w:val="24"/>
                  <w:lang w:eastAsia="lt-LT"/>
                </w:rPr>
                <w:t xml:space="preserve">Įgyvendindami </w:t>
              </w:r>
              <w:r>
                <w:rPr>
                  <w:color w:val="000000"/>
                  <w:szCs w:val="22"/>
                </w:rPr>
                <w:t>Nacionalinio vandenų srities 2022–2027 metų plano, </w:t>
              </w:r>
              <w:r>
                <w:rPr>
                  <w:szCs w:val="24"/>
                  <w:lang w:eastAsia="lt-LT"/>
                </w:rPr>
                <w:t xml:space="preserve">patvirtinto </w:t>
              </w:r>
              <w:r>
                <w:rPr>
                  <w:szCs w:val="22"/>
                </w:rPr>
                <w:t xml:space="preserve">Lietuvos Respublikos Vyriausybės 2022 m. gruodžio 21 d. nutarimu Nr. </w:t>
              </w:r>
              <w:r>
                <w:rPr>
                  <w:color w:val="000000"/>
                  <w:szCs w:val="22"/>
                </w:rPr>
                <w:t>1292 „Dėl Nacionalinio vandenų srities 2022–2027 metų plano patvirtinimo“, 91, 92 ir 93 punktus</w:t>
              </w:r>
              <w:r>
                <w:rPr>
                  <w:szCs w:val="24"/>
                  <w:lang w:eastAsia="lt-LT"/>
                </w:rPr>
                <w:t xml:space="preserve">, </w:t>
              </w:r>
              <w:r>
                <w:rPr>
                  <w:szCs w:val="22"/>
                </w:rPr>
                <w:t>1991</w:t>
              </w:r>
              <w:r>
                <w:rPr>
                  <w:color w:val="000000"/>
                  <w:szCs w:val="22"/>
                </w:rPr>
                <w:t> m. gruodžio 12 d. Tarybos</w:t>
              </w:r>
              <w:r>
                <w:rPr>
                  <w:b/>
                  <w:bCs/>
                  <w:color w:val="000000"/>
                  <w:szCs w:val="22"/>
                </w:rPr>
                <w:t> </w:t>
              </w:r>
              <w:r>
                <w:rPr>
                  <w:color w:val="000000"/>
                  <w:szCs w:val="22"/>
                </w:rPr>
                <w:t>direktyvos 91/676/EEB dėl vandenų apsaugos nuo taršos nitratais iš žemės ūkio šaltinių 5 straipsnio 7 dalį, 2000 m. spalio 23 d. Europos Parlamento ir Tarybos direktyvos 2000/60/EB, nustatančios Bendrijos veiksmų vandens politikos srityje pagrindus, su paskutiniais pakeitimais, padarytais 2014 m. spalio 30 d. Komisijos direktyva 2014/101/ES, 11 straipsnio 1 dalį, 2007 m. spalio 23 d. Europos Parlamento ir Tarybos direktyvos 2007/60/EB dėl potvynių rizikos įvertinimo ir valdymo bei 2008 m. birželio 17 d. Europos Parlamento ir Tarybos direktyvos 2008/56/EB, nustatančios Bendrijos veiksmų jūrų aplinkos politikos srityje pagrindus su pakeitimais (Jūrų strategijos pagrindų direktyva), padarytais 2017 m. gegužės  17 d. Komisijos direktyva (ES) 2017/845, 13 straipsnio 1 dalį</w:t>
              </w:r>
              <w:r>
                <w:rPr>
                  <w:szCs w:val="24"/>
                  <w:lang w:eastAsia="lt-LT"/>
                </w:rPr>
                <w:t xml:space="preserve">: </w:t>
              </w:r>
            </w:p>
          </w:sdtContent>
        </w:sdt>
        <w:sdt>
          <w:sdtPr>
            <w:alias w:val="1 p."/>
            <w:tag w:val="part_6e5b157db4f9433fb36dc640367b5178"/>
            <w:lock w:val="sdtLocked"/>
            <w:richText/>
          </w:sdtPr>
          <w:sdtContent>
            <w:p>
              <w:pPr>
                <w:spacing w:line="276" w:lineRule="auto"/>
                <w:ind w:firstLine="567"/>
                <w:jc w:val="both"/>
                <w:rPr>
                  <w:szCs w:val="24"/>
                  <w:lang w:eastAsia="lt-LT"/>
                </w:rPr>
              </w:pPr>
              <w:sdt>
                <w:sdtPr>
                  <w:alias w:val="Numeris"/>
                  <w:tag w:val="nr_6e5b157db4f9433fb36dc640367b5178"/>
                  <w:lock w:val="sdtLocked"/>
                  <w:richText/>
                </w:sdtPr>
                <w:sdtContent>
                  <w:r>
                    <w:rPr>
                      <w:szCs w:val="24"/>
                      <w:lang w:eastAsia="lt-LT"/>
                    </w:rPr>
                    <w:t>1</w:t>
                  </w:r>
                </w:sdtContent>
              </w:sdt>
              <w:r>
                <w:rPr>
                  <w:szCs w:val="24"/>
                  <w:lang w:eastAsia="lt-LT"/>
                </w:rPr>
                <w:t>.</w:t>
                <w:tab/>
              </w:r>
              <w:r>
                <w:rPr>
                  <w:spacing w:val="20"/>
                  <w:szCs w:val="24"/>
                  <w:lang w:eastAsia="lt-LT"/>
                </w:rPr>
                <w:t>T v i r t i n a m e</w:t>
              </w:r>
              <w:r>
                <w:rPr>
                  <w:szCs w:val="24"/>
                  <w:lang w:eastAsia="lt-LT"/>
                </w:rPr>
                <w:t xml:space="preserve"> Nacionalinio vandenų </w:t>
              </w:r>
              <w:r>
                <w:rPr>
                  <w:color w:val="000000"/>
                  <w:szCs w:val="22"/>
                </w:rPr>
                <w:t>srities 2022–2027 metų plano</w:t>
              </w:r>
              <w:r>
                <w:rPr>
                  <w:szCs w:val="24"/>
                  <w:lang w:eastAsia="lt-LT"/>
                </w:rPr>
                <w:t xml:space="preserve"> įgyvendinimo veiksmų planą (pridedama).</w:t>
              </w:r>
            </w:p>
          </w:sdtContent>
        </w:sdt>
        <w:sdt>
          <w:sdtPr>
            <w:alias w:val="2 p."/>
            <w:tag w:val="part_3256d6b051aa47c28d8baddf5a7ac442"/>
            <w:lock w:val="sdtLocked"/>
            <w:richText/>
          </w:sdtPr>
          <w:sdtContent>
            <w:p>
              <w:pPr>
                <w:spacing w:line="276" w:lineRule="auto"/>
                <w:ind w:firstLine="567"/>
                <w:jc w:val="both"/>
                <w:rPr>
                  <w:rFonts w:ascii="Calibri" w:hAnsi="Calibri" w:cs="Courier New"/>
                  <w:sz w:val="22"/>
                  <w:szCs w:val="22"/>
                  <w:lang w:eastAsia="lt-LT"/>
                </w:rPr>
              </w:pPr>
              <w:sdt>
                <w:sdtPr>
                  <w:alias w:val="Numeris"/>
                  <w:tag w:val="nr_3256d6b051aa47c28d8baddf5a7ac442"/>
                  <w:lock w:val="sdtLocked"/>
                  <w:richText/>
                </w:sdtPr>
                <w:sdtContent>
                  <w:r>
                    <w:rPr>
                      <w:szCs w:val="24"/>
                      <w:lang w:eastAsia="lt-LT"/>
                    </w:rPr>
                    <w:t>2</w:t>
                  </w:r>
                </w:sdtContent>
              </w:sdt>
              <w:r>
                <w:rPr>
                  <w:szCs w:val="24"/>
                  <w:lang w:eastAsia="lt-LT"/>
                </w:rPr>
                <w:t>.</w:t>
                <w:tab/>
              </w:r>
              <w:r>
                <w:rPr>
                  <w:spacing w:val="20"/>
                  <w:szCs w:val="24"/>
                  <w:lang w:eastAsia="lt-LT"/>
                </w:rPr>
                <w:t>N u s t a t o m e, kad</w:t>
              </w:r>
              <w:r>
                <w:rPr>
                  <w:szCs w:val="24"/>
                  <w:lang w:eastAsia="lt-LT"/>
                </w:rPr>
                <w:t xml:space="preserve"> Nacionalinio vandenų </w:t>
              </w:r>
              <w:r>
                <w:rPr>
                  <w:color w:val="000000"/>
                  <w:szCs w:val="22"/>
                </w:rPr>
                <w:t>srities 2022–2027 metų plano</w:t>
              </w:r>
              <w:r>
                <w:rPr>
                  <w:szCs w:val="24"/>
                  <w:lang w:eastAsia="lt-LT"/>
                </w:rPr>
                <w:t xml:space="preserve"> įgyvendinimo veiksmų planą įgyvendinančios institucijos kiekvienais metais iki vasario 20 d. Lietuvos Respublikos aplinkos ministerijai pateikia informaciją apie veiksmų įgyvendinimą.</w:t>
              </w:r>
            </w:p>
          </w:sdtContent>
        </w:sdt>
        <w:sdt>
          <w:sdtPr>
            <w:alias w:val="3 p."/>
            <w:tag w:val="part_f968de3354874b04a6015e21a665c25a"/>
            <w:lock w:val="sdtLocked"/>
            <w:richText/>
          </w:sdtPr>
          <w:sdtContent>
            <w:p>
              <w:pPr>
                <w:spacing w:line="276" w:lineRule="auto"/>
                <w:ind w:firstLine="567"/>
                <w:jc w:val="both"/>
                <w:rPr>
                  <w:szCs w:val="24"/>
                  <w:lang w:eastAsia="lt-LT"/>
                </w:rPr>
              </w:pPr>
              <w:sdt>
                <w:sdtPr>
                  <w:alias w:val="Numeris"/>
                  <w:tag w:val="nr_f968de3354874b04a6015e21a665c25a"/>
                  <w:lock w:val="sdtLocked"/>
                  <w:richText/>
                </w:sdtPr>
                <w:sdtContent>
                  <w:r>
                    <w:rPr>
                      <w:szCs w:val="24"/>
                      <w:lang w:eastAsia="lt-LT"/>
                    </w:rPr>
                    <w:t>3</w:t>
                  </w:r>
                </w:sdtContent>
              </w:sdt>
              <w:r>
                <w:rPr>
                  <w:szCs w:val="24"/>
                  <w:lang w:eastAsia="lt-LT"/>
                </w:rPr>
                <w:t>.</w:t>
                <w:tab/>
              </w:r>
              <w:r>
                <w:rPr>
                  <w:spacing w:val="20"/>
                  <w:szCs w:val="24"/>
                  <w:lang w:eastAsia="lt-LT"/>
                </w:rPr>
                <w:t>S i ū l o m e</w:t>
              </w:r>
              <w:r>
                <w:rPr>
                  <w:szCs w:val="24"/>
                  <w:lang w:eastAsia="lt-LT"/>
                </w:rPr>
                <w:t xml:space="preserve"> įgyvendinant Nacionalinio vandenų srities 2022–2027 metų plano įgyvendinimo veiksmų planą dalyvauti savivaldybėms, geriamojo vandens tiekėjams ir nuotekų tvarkytojams, kitiems juridiniams ir fiziniams asmenims ir kasmet iki vasario 20 d. Aplinkos ministerijai pateikti informaciją apie veiksmų įgyvendinimą.</w:t>
              </w:r>
            </w:p>
            <w:p>
              <w:pPr>
                <w:spacing w:line="276" w:lineRule="auto"/>
                <w:jc w:val="both"/>
                <w:rPr>
                  <w:szCs w:val="24"/>
                  <w:lang w:eastAsia="lt-LT"/>
                </w:rPr>
              </w:pPr>
            </w:p>
            <w:p>
              <w:pPr>
                <w:spacing w:line="276" w:lineRule="auto"/>
                <w:jc w:val="both"/>
                <w:rPr>
                  <w:szCs w:val="24"/>
                  <w:lang w:eastAsia="lt-LT"/>
                </w:rPr>
              </w:pPr>
            </w:p>
            <w:p>
              <w:pPr>
                <w:spacing w:line="276" w:lineRule="auto"/>
                <w:jc w:val="both"/>
                <w:rPr>
                  <w:szCs w:val="24"/>
                  <w:lang w:eastAsia="lt-LT"/>
                </w:rPr>
              </w:pPr>
            </w:p>
          </w:sdtContent>
        </w:sdt>
        <w:sdt>
          <w:sdtPr>
            <w:alias w:val="signatura"/>
            <w:tag w:val="part_f7a1b0bdecb44474b23ce56a5a12257e"/>
            <w:lock w:val="sdtLocked"/>
            <w:richText/>
          </w:sdtPr>
          <w:sdtContent>
            <w:p>
              <w:pPr>
                <w:tabs>
                  <w:tab w:val="left" w:pos="7513"/>
                </w:tabs>
                <w:spacing w:line="276" w:lineRule="auto"/>
                <w:ind w:right="34"/>
                <w:rPr>
                  <w:szCs w:val="24"/>
                  <w:lang w:eastAsia="lt-LT"/>
                </w:rPr>
              </w:pPr>
              <w:r>
                <w:rPr>
                  <w:szCs w:val="22"/>
                  <w:lang w:eastAsia="lt-LT"/>
                </w:rPr>
                <w:t>Aplinkos ministras</w:t>
                <w:tab/>
                <w:t>Simonas Gentvilas</w:t>
              </w:r>
            </w:p>
            <w:p>
              <w:pPr>
                <w:rPr>
                  <w:sz w:val="18"/>
                  <w:szCs w:val="18"/>
                </w:rPr>
              </w:pPr>
            </w:p>
            <w:p>
              <w:pPr>
                <w:tabs>
                  <w:tab w:val="left" w:pos="7513"/>
                </w:tabs>
                <w:spacing w:line="276" w:lineRule="auto"/>
                <w:ind w:right="34"/>
                <w:rPr>
                  <w:sz w:val="18"/>
                  <w:szCs w:val="18"/>
                </w:rPr>
              </w:pPr>
              <w:r>
                <w:rPr>
                  <w:szCs w:val="22"/>
                  <w:lang w:eastAsia="lt-LT"/>
                </w:rPr>
                <w:t xml:space="preserve">Žemės ūkio ministras </w:t>
                <w:tab/>
                <w:t>Kęstutis Navickas</w:t>
              </w:r>
            </w:p>
            <w:p>
              <w:pPr>
                <w:tabs>
                  <w:tab w:val="center" w:pos="4819"/>
                  <w:tab w:val="right" w:pos="9638"/>
                </w:tabs>
                <w:rPr>
                  <w:szCs w:val="22"/>
                </w:rPr>
              </w:pPr>
            </w:p>
          </w:sdtContent>
        </w:sdt>
      </w:sdtContent>
    </w:sdt>
    <w:sdt>
      <w:sdtPr>
        <w:alias w:val="patvirtinta"/>
        <w:tag w:val="part_f84988528641497aa671450687659558"/>
        <w:lock w:val="sdtLocked"/>
        <w:richText/>
      </w:sdtPr>
      <w:sdtContent>
        <w:p>
          <w:pPr>
            <w:ind w:firstLine="9498"/>
            <w:sectPr>
              <w:headerReference w:type="even" r:id="rId19"/>
              <w:headerReference w:type="default" r:id="rId20"/>
              <w:footerReference w:type="even" r:id="rId21"/>
              <w:footerReference w:type="default" r:id="rId22"/>
              <w:headerReference w:type="first" r:id="rId23"/>
              <w:footerReference w:type="first" r:id="rId24"/>
              <w:pgSz w:w="11906" w:h="16838"/>
              <w:pgMar w:top="567" w:right="849" w:bottom="1701" w:left="1418" w:header="567" w:footer="567" w:gutter="0"/>
              <w:pgNumType w:start="1"/>
              <w:cols w:space="1296"/>
              <w:titlePg/>
              <w:docGrid w:linePitch="360"/>
            </w:sectPr>
          </w:pPr>
        </w:p>
        <w:p>
          <w:pPr>
            <w:ind w:firstLine="9498"/>
            <w:rPr>
              <w:szCs w:val="24"/>
            </w:rPr>
          </w:pPr>
          <w:r>
            <w:rPr>
              <w:szCs w:val="24"/>
            </w:rPr>
            <w:t>PATVIRTINTA</w:t>
          </w:r>
        </w:p>
        <w:p>
          <w:pPr>
            <w:ind w:firstLine="9498"/>
            <w:rPr>
              <w:szCs w:val="24"/>
            </w:rPr>
          </w:pPr>
          <w:r>
            <w:rPr>
              <w:szCs w:val="24"/>
            </w:rPr>
            <w:t>Lietuvos Respublikos aplinkos ministro ir Lietuvos</w:t>
          </w:r>
        </w:p>
        <w:p>
          <w:pPr>
            <w:ind w:firstLine="9498"/>
            <w:rPr>
              <w:szCs w:val="24"/>
            </w:rPr>
          </w:pPr>
          <w:r>
            <w:rPr>
              <w:szCs w:val="24"/>
            </w:rPr>
            <w:t>Respublikos žemės ūkio ministro</w:t>
          </w:r>
        </w:p>
        <w:p>
          <w:pPr>
            <w:ind w:firstLine="9498"/>
            <w:rPr>
              <w:szCs w:val="24"/>
            </w:rPr>
          </w:pPr>
          <w:r>
            <w:rPr>
              <w:szCs w:val="24"/>
            </w:rPr>
            <w:t xml:space="preserve">2023 m. balandžio 26 d. įsakymu </w:t>
          </w:r>
        </w:p>
        <w:p>
          <w:pPr>
            <w:ind w:firstLine="9498"/>
            <w:rPr>
              <w:szCs w:val="24"/>
            </w:rPr>
          </w:pPr>
          <w:r>
            <w:rPr>
              <w:szCs w:val="24"/>
            </w:rPr>
            <w:t xml:space="preserve">Nr. </w:t>
          </w:r>
          <w:r>
            <w:rPr>
              <w:bCs/>
              <w:color w:val="333333"/>
              <w:szCs w:val="24"/>
              <w:shd w:val="clear" w:color="auto" w:fill="FFFFFF"/>
            </w:rPr>
            <w:t>D1-122/3D-286</w:t>
          </w:r>
        </w:p>
        <w:p>
          <w:pPr>
            <w:rPr>
              <w:szCs w:val="22"/>
            </w:rPr>
          </w:pPr>
        </w:p>
        <w:p>
          <w:pPr>
            <w:jc w:val="center"/>
            <w:rPr>
              <w:b/>
              <w:szCs w:val="22"/>
            </w:rPr>
          </w:pPr>
          <w:sdt>
            <w:sdtPr>
              <w:alias w:val="Pavadinimas"/>
              <w:tag w:val="title_f84988528641497aa671450687659558"/>
              <w:lock w:val="sdtLocked"/>
              <w:richText/>
            </w:sdtPr>
            <w:sdtContent>
              <w:r>
                <w:rPr>
                  <w:b/>
                  <w:szCs w:val="22"/>
                </w:rPr>
                <w:t xml:space="preserve">NACIONALINIO VANDENŲ SRITIES 2022–2027 METŲ PLANO ĮGYVENDINIMO </w:t>
              </w:r>
              <w:r>
                <w:rPr>
                  <w:b/>
                  <w:bCs/>
                  <w:szCs w:val="24"/>
                  <w:lang w:eastAsia="lt-LT"/>
                </w:rPr>
                <w:t>VEIKSMŲ PLANAS</w:t>
              </w:r>
            </w:sdtContent>
          </w:sdt>
        </w:p>
        <w:tbl>
          <w:tblPr>
            <w:tblW w:w="14451" w:type="dxa"/>
            <w:tblBorders>
              <w:top w:val="outset" w:sz="6" w:space="0" w:color="auto"/>
              <w:left w:val="outset" w:sz="6" w:space="0" w:color="auto"/>
              <w:bottom w:val="outset" w:sz="6" w:space="0" w:color="auto"/>
              <w:right w:val="outset" w:sz="6" w:space="0" w:color="auto"/>
            </w:tblBorders>
            <w:tblCellMar>
              <w:left w:w="57" w:type="dxa"/>
              <w:right w:w="57" w:type="dxa"/>
            </w:tblCellMar>
            <w:tblLook w:val="04A0" w:firstRow="1" w:lastRow="0" w:firstColumn="1" w:lastColumn="0" w:noHBand="0" w:noVBand="1"/>
          </w:tblPr>
          <w:tblGrid>
            <w:gridCol w:w="800"/>
            <w:gridCol w:w="4154"/>
            <w:gridCol w:w="1559"/>
            <w:gridCol w:w="2835"/>
            <w:gridCol w:w="3260"/>
            <w:gridCol w:w="1843"/>
          </w:tblGrid>
          <w:tr>
            <w:trPr>
              <w:trHeight w:val="810"/>
            </w:trPr>
            <w:tc>
              <w:tcPr>
                <w:tcW w:w="0" w:type="auto"/>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Eil. Nr. </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Tikslo, uždavinio, </w:t>
                </w:r>
                <w:r>
                  <w:rPr>
                    <w:sz w:val="22"/>
                    <w:szCs w:val="22"/>
                    <w:lang w:eastAsia="lt-LT"/>
                  </w:rPr>
                  <w:t>priemonės</w:t>
                </w:r>
                <w:r>
                  <w:rPr>
                    <w:b/>
                    <w:bCs/>
                    <w:sz w:val="22"/>
                    <w:szCs w:val="22"/>
                    <w:lang w:eastAsia="lt-LT"/>
                  </w:rPr>
                  <w:t xml:space="preserve">, </w:t>
                </w:r>
                <w:r>
                  <w:rPr>
                    <w:sz w:val="22"/>
                    <w:szCs w:val="22"/>
                  </w:rPr>
                  <w:t xml:space="preserve">veiksmo pavadinimas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Įvykdymo terminas (metai)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Vykdytojai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Finansavimo šaltinis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Veiksmo tipas </w:t>
                </w:r>
              </w:p>
            </w:tc>
          </w:tr>
          <w:tr>
            <w:trPr>
              <w:trHeight w:val="221"/>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Tikslas. Gerinti paviršinių ir požeminių vandens telkinių būklę</w:t>
                </w:r>
              </w:p>
            </w:tc>
          </w:tr>
          <w:tr>
            <w:trPr>
              <w:trHeight w:val="27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Uždavinys. Sumažinti vandens telkinių taršą iš žemės ūkio taršos šaltinių</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 xml:space="preserve">Priemonė. </w:t>
                </w:r>
                <w:r>
                  <w:rPr>
                    <w:b/>
                    <w:bCs/>
                    <w:sz w:val="22"/>
                    <w:szCs w:val="22"/>
                  </w:rPr>
                  <w:t>Siekti tvaraus mineralinių ir organinių trąšų naudojimo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spacing w:line="276" w:lineRule="auto"/>
                  <w:rPr>
                    <w:sz w:val="22"/>
                    <w:szCs w:val="22"/>
                  </w:rPr>
                </w:pPr>
                <w:r>
                  <w:rPr>
                    <w:sz w:val="22"/>
                    <w:szCs w:val="22"/>
                  </w:rPr>
                  <w:t>Lietuvos Respublikos žemės ūkio ministerija (toliau – ŽŪM), Lietuvos Respublikos aplinkos ministerija (toliau –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Patikslinti tręšiamųjų produktų naudojimo reikalavimus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52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tręšimo planų rengimo gaires, kuriomis vadovaujantis būtų apskaičiuojamas optimalus trąšų kiekis skirtingiems pasėliams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reikalavimą teikti informaciją į Paraiškų priėmimo informacinę sistemą apie ūkyje sunaudotas trąšas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Įvertinti 1992 m. Helsinkio konvencijos dėl Baltijos jūros baseino jūrinės aplinkos apsaugos III priedo „Taršos iš sausumos taršos šaltinių prevencijai taikomi kriterijai ir priemonės“ II dalyje „Taršos iš žemės ūkio šaltinių prevencija“ atnaujintų reikalavimų poveikį žemės ūkio sektoriui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u w:val="single"/>
                  </w:rPr>
                </w:pPr>
                <w:r>
                  <w:rPr>
                    <w:sz w:val="22"/>
                    <w:szCs w:val="22"/>
                  </w:rPr>
                  <w:t>1.1.1.5.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ir prireikus parengti maisto medžiagų balanso skaičiavimo gaires vadovaujantis Lietuvoje atliktais moksliniais tyrimais, Baltijos jūros aplinkos apsaugos komisijos (toliau – HELCOM) ir ES rekomendacijomis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w:t>
                </w:r>
                <w:r>
                  <w:rPr>
                    <w:sz w:val="22"/>
                    <w:szCs w:val="22"/>
                  </w:rPr>
                  <w:t xml:space="preserve"> biudžetas</w:t>
                </w:r>
                <w:r>
                  <w:rPr>
                    <w:sz w:val="22"/>
                    <w:szCs w:val="22"/>
                    <w:lang w:eastAsia="lt-LT"/>
                  </w:rPr>
                  <w:t xml:space="preserve"> ir (arba) Europos LIFE strateginio integruoto projekto (toliau – LIFE SIP)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1.1.1.6.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 xml:space="preserve">Remiantis įvairių šalių patirtimi, įvertinti finansines priemones tvariam maistinių medžiagų naudojimui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Įvertinti Lietuvos žemės ūkio ir kaimo plėtros 2023–2027 metų strateginiame plane nustatytų vandensaugos priemonių efektyvumą ir teikti pasiūlymus jų tobulinimui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firstLine="57"/>
                  <w:textAlignment w:val="baseline"/>
                  <w:rPr>
                    <w:sz w:val="22"/>
                    <w:szCs w:val="22"/>
                  </w:rPr>
                </w:pP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rPr>
                </w:pPr>
                <w:r>
                  <w:rPr>
                    <w:sz w:val="22"/>
                    <w:szCs w:val="22"/>
                  </w:rPr>
                  <w:t>Rizikos dėl žemės ūkio poveikio vandens telkinių baseinuose įvertinti Lietuvos žemės ūkio ir kaimo plėtros 2023–2027 metų strateginiame plane (toliau – SP) nustatytų vandensaugos priemonių (ariamosios žemės šaltuoju laikotarpiu uždengimą tarpiniais augalais arba ražienų palikimą, taip pat bearimės žemdirbystės taikymą ir kt.) poveikį vandens telkinių kokybei, pateikti išvadas ir siūlymus dėl SP priemonių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agentūra (toliau – AAA), AM, ŽŪM, VĮ Žemės ūkio duomenų centras </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garantijų fondas</w:t>
                </w:r>
                <w:r>
                  <w:rPr>
                    <w:color w:val="000000"/>
                    <w:sz w:val="22"/>
                    <w:szCs w:val="22"/>
                    <w:lang w:eastAsia="lt-LT"/>
                  </w:rPr>
                  <w:t xml:space="preserve">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1.1.2.2.</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highlight w:val="yellow"/>
                  </w:rPr>
                </w:pPr>
                <w:r>
                  <w:rPr>
                    <w:sz w:val="22"/>
                    <w:szCs w:val="22"/>
                  </w:rPr>
                  <w:t>Įvertinti SP nustatytus reikalavimus dėl daugiamečių natūralių pievų išsaugojimo ir (ar) plėtros, pateikti išvadas ir siūlymus dėl pievų išlaikymo ir didinimo paviršinių vandens telkinių apsaugos zonose ir (ar) pakrančių apsaugos juostose</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1.1.3.</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Siekti tvaraus augalų apsaugos produktų naudojimo</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1.1.3.1.</w:t>
                </w:r>
              </w:p>
            </w:tc>
            <w:tc>
              <w:tcPr>
                <w:tcW w:w="4154" w:type="dxa"/>
                <w:tcBorders>
                  <w:top w:val="single" w:sz="4"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Tobulinti elektroninę augalų apsaugos produktų panaudojimo žemės ūkyje duomenų surinkimo sistemą</w:t>
                </w:r>
              </w:p>
            </w:tc>
            <w:tc>
              <w:tcPr>
                <w:tcW w:w="1559"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Nustatyti pareigą augalų apsaugos produktų profesionaliesiems naudotojams teikti informaciją apie panaudotus augalų apsaugos produktus elektronine forma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111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highlight w:val="yellow"/>
                  </w:rPr>
                </w:pPr>
                <w:r>
                  <w:rPr>
                    <w:b/>
                    <w:sz w:val="22"/>
                    <w:szCs w:val="22"/>
                  </w:rPr>
                  <w:t>Priemonė. Skatinti žemės ūkio taršos pernašų prevenciją į vandens telkinius ir stiprinti jos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Europos ekonomikos gaivinimo ir atsparumo didinimo fondas ir (arba) </w:t>
                </w:r>
                <w:r>
                  <w:rPr>
                    <w:color w:val="000000"/>
                    <w:sz w:val="22"/>
                    <w:szCs w:val="22"/>
                    <w:lang w:eastAsia="lt-LT"/>
                  </w:rPr>
                  <w:t>valstybės</w:t>
                </w:r>
                <w:r>
                  <w:rPr>
                    <w:color w:val="000000"/>
                    <w:sz w:val="22"/>
                    <w:szCs w:val="22"/>
                  </w:rPr>
                  <w:t xml:space="preserve">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1.1.4.1</w:t>
                </w:r>
                <w:r>
                  <w:rPr>
                    <w:sz w:val="22"/>
                    <w:szCs w:val="22"/>
                    <w:lang w:val="en-US"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Sukurti paramos priemones, leisiančias ūkininkams įrengti žemės ūkio naudmenose šlapynes, atkurti ir palaikyti pelkes , įrengti reguliuojamo drenažo sistemas, kalkių filtravimo griovius, nuosėdų gaudykles, dviejų lygių griovius ir kt. (prioritetai nurodyti 3 priede)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Europos ekonomikos gaivinimo ir atsparumo didinimo fondas ir (arba) Europos žemės ūkio fondas kaimo plėtrai ir (arba) 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color w:val="000000"/>
                    <w:sz w:val="22"/>
                    <w:szCs w:val="22"/>
                    <w:shd w:val="clear" w:color="auto" w:fill="FFFFFF"/>
                  </w:rPr>
                  <w:t>Parengti priemones žemės ūkio paskirties dirvožemiui apsaugoti ir valdyti</w:t>
                </w:r>
                <w:r>
                  <w:rPr>
                    <w:color w:val="000000"/>
                    <w:sz w:val="22"/>
                    <w:szCs w:val="22"/>
                    <w:shd w:val="clear" w:color="auto" w:fill="FFFFFF"/>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Vykdyti žemės ūkio paskirties dirvožemio tyrimus, atnaujinti ir pildyti dirvožemio rodiklių duomenų bazę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Sukurti žemės ūkio paskirties dirvožemio apsaugos ir valdymo teisinį reglamentavimą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shd w:val="clear" w:color="auto" w:fill="FFFFFF"/>
                  </w:rPr>
                  <w:t>Skelbti informaciją visuomenei apie šalies regionų dirvožemio rodiklių kokybės pokyčius </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Priemonė.</w:t>
                </w:r>
                <w:r>
                  <w:rPr>
                    <w:sz w:val="22"/>
                    <w:szCs w:val="22"/>
                  </w:rPr>
                  <w:t xml:space="preserve"> </w:t>
                </w:r>
                <w:r>
                  <w:rPr>
                    <w:b/>
                    <w:sz w:val="22"/>
                    <w:szCs w:val="22"/>
                  </w:rPr>
                  <w:t>Vykdyti švietimo priemones žemės ūkio subjektams vandenų apsaugos klausimais žemės ūkio veikloje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1.1.6.</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Koordinuoti mokymo ir konsultavimo paslaugų teikimą žemės ūkio veiklos subjektams aplinkosaugos klausimais, įskaitant ir vandenų apsaugos klausimus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r>
                  <w:rPr>
                    <w:sz w:val="22"/>
                    <w:szCs w:val="22"/>
                    <w:lang w:val="en-US"/>
                  </w:rPr>
                  <w:t xml:space="preserve">2. </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Organizuoti mokymus, seminarus apie tręšimo planavimą</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Lietuvos agrarinių ir miškų mokslų centras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1.1.6.3.</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Skatinti gerąją praktiką ir keitimąsi informacija tarp žemės ūkio subjektų apie taikomas pažangias, aplinkai palankias technologijas  </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bdr w:val="none" w:sz="0" w:space="0" w:color="auto" w:frame="1"/>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9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Sumažinti neigiamą hidromorfologinių pokyčių poveikį paviršiniams vandens telkiniams</w:t>
                </w:r>
              </w:p>
              <w:p>
                <w:pPr>
                  <w:rPr>
                    <w:sz w:val="18"/>
                    <w:szCs w:val="18"/>
                  </w:rPr>
                </w:pPr>
              </w:p>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Sumažinti hidroelektrinių ir kitų hidrotechnikos statinių ar įrenginių neigiamą poveikį vandens telkiniams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w:t>
                </w:r>
                <w:r>
                  <w:rPr>
                    <w:sz w:val="22"/>
                    <w:szCs w:val="22"/>
                    <w:lang w:val="en-US"/>
                  </w:rPr>
                  <w:t>2–</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 Lietuvos Respublikos energetikos ministerija (toliau – EM), Valstybinė energetikos reguliavimo taryba (toliau –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savivaldybių biudžetai ir (arba) Europos regioninės plėtros fondo ar Sanglaudos fondo lėšos (toliau –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1.2.1.</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Pakeisti Tvenkinių naudojimo ir priežiūros tipines taisykles (LAND 2-95), patvirtintas Lietuvos Respublikos aplinkos ministro 1995 m. kovo 7 d. įsakymu Nr. 33 „Dėl Tvenkinių naudojimo ir priežiūros tipinių taisyklių (LAND 2-95) patvirtinimo“, patikslinti tvenkinių ir patvenktų ežerų  darbo režimo ir žuvų apsaugos ir migracijos sąlygų užtikrinimo nuostatas (</w:t>
                </w:r>
                <w:r>
                  <w:rPr>
                    <w:color w:val="000000"/>
                    <w:sz w:val="22"/>
                    <w:szCs w:val="22"/>
                  </w:rPr>
                  <w:t>hidroelektrinių darbas nekeistų natūralaus upės nuotėkio režimo, užtvankose ar greta jų būtų įrengtos žuvų pralaidos)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2005 m. rugsėjo 22 d. įsakymą Nr. D1-458 „Dėl statybos techninio reglamento STR 2.0519:2005 „Inžinerinė hidrologija. Pagrindiniai skaičiavimų reikalavimai“ patvirtinimo“ nustatant reikalavimus vandens debito kreivių sudarymui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Įgyvendinti priemones, patvirtintas Lietuvos Respublikos aplinkos ministro 2021 m. lapkričio 12 d. įsakyme Nr. D1-664 „Dėl Veiksmų plano upių vientisumui atkurti ir hidroelektrinių neigiamam poveikiui mažinti“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hidroenergetikos veiklos nutraukimo tvarką, kurioje būtų numatyta atsakomybė dėl hidroelektrinės veiklos nutraukimo lėšų planavimo užtvankai išmontuoti ar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EM,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2002 m. liepos 10 d. įsakymą Nr. 362 „Dėl vandens telkinių suskirstymo“ atnaujinant upių, priskiriamų lašišiniams vandens telkiniams ir upių, galimų priskirti lašišiniams vandens telkiniams, sąrašus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analitinis / reguliacinis </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Vykdyti upių vagų renatūralizaciją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r>
                  <w:rPr>
                    <w:sz w:val="22"/>
                    <w:szCs w:val="22"/>
                    <w:lang w:val="en-US"/>
                  </w:rPr>
                  <w:t>–</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savivaldybių biudžetai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41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hidromorfologinėms sąlygoms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Žuvininkystės tarnyba prie </w:t>
                </w:r>
                <w:r>
                  <w:rPr>
                    <w:sz w:val="22"/>
                    <w:szCs w:val="22"/>
                    <w:lang w:eastAsia="lt-LT"/>
                  </w:rPr>
                  <w:t>Lietuvos Respublikos</w:t>
                </w:r>
                <w:r>
                  <w:rPr>
                    <w:sz w:val="22"/>
                    <w:szCs w:val="22"/>
                  </w:rPr>
                  <w:t xml:space="preserve"> Žemės ūkio ministerijos (toliau – ŽT), Valstybinė saugomų teritorijų tarnyba (toliau –VSTT), Aplinkos projektų valdymo agentūra (toliau –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 xml:space="preserve">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8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2021–2023 m. renatūralizuotų upių ruožų pokyčius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renatūralizuotų upių ruožuose pasodintų želdinių priežiūrą ir sunykusių atsodinimą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biudžetai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taikyti upių vagų renatūralizavimo priemones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APVA, savivaldybės, AAA,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teisės aktus ir įvertinti galimybes sudaryti sąlygas patekti per privačios nuosavybės žemę prie valstybinių vandens telkinių, kai juose reikia atlikti vandens telkinio būklės tyrimus ir įgyvendinti būklės gerinimo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highlight w:val="yellow"/>
                  </w:rPr>
                </w:pPr>
                <w:r>
                  <w:rPr>
                    <w:b/>
                    <w:sz w:val="22"/>
                    <w:szCs w:val="22"/>
                  </w:rPr>
                  <w:t>Priemonė. Pagerinti žuvų migracijos sąlygas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Lietuvos Respublikos susisiekimo ministerija (toliau – 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savivaldybių biudžetai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Atkurti upių vagų vientisumą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APVA, hidrotechninių statinių savininkai, valdytojai ar naudotojai, savivaldybės, AAA, Žemaitijos saugomų teritorijų direkcija, Aukštaitijos saugomų teritorijų direkcija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savivaldybių biudžetas ir (arba) </w:t>
                </w:r>
                <w:r>
                  <w:rPr>
                    <w:sz w:val="22"/>
                    <w:szCs w:val="22"/>
                    <w:lang w:eastAsia="lt-LT"/>
                  </w:rPr>
                  <w:t>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Įrengti efektyvias žuvų apsaugos nuo sužalojimo priemones (mechanines, akustines, šviesos, elektrines ir kt.)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ŽT, hidrotechninių statinių savininkai, valdytojai ar naudotojai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Savivaldybių</w:t>
                </w:r>
                <w:r>
                  <w:rPr>
                    <w:sz w:val="22"/>
                    <w:szCs w:val="22"/>
                  </w:rPr>
                  <w:t xml:space="preserve"> biudžetai ir (arba) </w:t>
                </w:r>
                <w:r>
                  <w:rPr>
                    <w:sz w:val="22"/>
                    <w:szCs w:val="22"/>
                    <w:lang w:eastAsia="lt-LT"/>
                  </w:rPr>
                  <w:t xml:space="preserve">hidrotechninių statinių savininkų, valdytojų ar naudotojų lėšos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žuvų pralaidų efektyvumą; prireikus įvertinti galimybes ir neefektyvias žuvų perlaidas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ŽT, hidrotechninių statinių savininkai, valdytojai ar naudotojai, 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Įrengti įrenginius matuoti tranzitinį debitą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Lietuvos hidrometeorologijos tarnyba prie Aplinkos ministerijos (toliau – LHMT)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LIFE SIP lėšos ir (arba) valstybės biudžetas ir (arba) savivaldybių biudžetai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1.2.3.</w:t>
                </w:r>
                <w:r>
                  <w:rPr>
                    <w:sz w:val="22"/>
                    <w:szCs w:val="22"/>
                    <w:lang w:eastAsia="lt-LT"/>
                  </w:rPr>
                  <w:t>5</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teisės aktus, reglamentuojančius kelių įrengimą, siekiant užtikrinti upių vientisumą ir sudaryti galimybes įrengti žuvų pralaidas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reguliacinis </w:t>
                </w:r>
              </w:p>
            </w:tc>
          </w:tr>
          <w:tr>
            <w:trPr>
              <w:trHeight w:val="260"/>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w:t>
                </w:r>
                <w:r>
                  <w:rPr>
                    <w:sz w:val="22"/>
                    <w:szCs w:val="22"/>
                  </w:rPr>
                  <w:t>.</w:t>
                </w:r>
                <w:r>
                  <w:rPr>
                    <w:b/>
                    <w:sz w:val="22"/>
                    <w:szCs w:val="22"/>
                  </w:rPr>
                  <w:t xml:space="preserve"> Pagerinti ežerų, tvenkinių, upių, tarpinių ir priekrantės vandens telkinių būklę</w:t>
                </w:r>
              </w:p>
            </w:tc>
          </w:tr>
          <w:tr>
            <w:trPr>
              <w:trHeight w:val="38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Vykdyti paviršinių vandens telkinių vandens kokybės gerinimo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lang w:eastAsia="lt-LT"/>
                  </w:rPr>
                  <w:t xml:space="preserve">AM, </w:t>
                </w: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p>
            </w:tc>
          </w:tr>
          <w:tr>
            <w:trPr>
              <w:trHeight w:val="141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Atkurti ežerų hidrologines sąlygas pertvarkant jų ištakų slenksčius (Biržulio ir Stervo ežerai)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Telšių r. sav., </w:t>
                </w:r>
                <w:r>
                  <w:rPr>
                    <w:sz w:val="22"/>
                    <w:szCs w:val="22"/>
                    <w:lang w:eastAsia="lt-LT"/>
                  </w:rPr>
                  <w:t>Žemaitijos saugomų teritorijų</w:t>
                </w:r>
                <w:r>
                  <w:rPr>
                    <w:sz w:val="22"/>
                    <w:szCs w:val="22"/>
                  </w:rPr>
                  <w:t xml:space="preserve"> direkcija</w:t>
                </w:r>
                <w:r>
                  <w:rPr>
                    <w:sz w:val="22"/>
                    <w:szCs w:val="22"/>
                    <w:lang w:eastAsia="lt-LT"/>
                  </w:rPr>
                  <w:t xml:space="preserve"> (Varnių regioninis parkas), APVA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67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Atkurti nusausintą Obelių ežero apypelkį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Rokiškio r. sav., APVA,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 ir (arba) valstybės biudžetas ir (arba) savivaldybės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Geriau valyti nuotekas šiuose išleistuvuose: AB Vilniaus degtinė (Obelių spirito varykla), Dusetų aglomeracija, Nacionalinės teismų administracijos mokymo centras, Plinkšių aglomeracija, Salos gatvės bendruomenė, Simno aglomeracija, UAB „Lausna“, Veisiejų aglomeracija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subjektų lėšos 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Gamybines nuotekas ne vėliau kaip iki 2025 m. išleisti ne arčiau kaip 500 m nuo ežero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 / 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Įdiegti lietaus nuotekų valymo įrenginius išleistuvuose, netiesiogiai išleidžiančiuose nuotekas į ežerą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Ūkio </w:t>
                </w:r>
                <w:r>
                  <w:rPr>
                    <w:sz w:val="22"/>
                    <w:szCs w:val="22"/>
                    <w:lang w:eastAsia="lt-LT"/>
                  </w:rPr>
                  <w:t>subjektai,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w:t>
                </w:r>
                <w:r>
                  <w:rPr>
                    <w:sz w:val="22"/>
                    <w:szCs w:val="22"/>
                    <w:lang w:eastAsia="lt-LT"/>
                  </w:rPr>
                  <w:t xml:space="preserve">savivaldybių biudžetai ir (arba) </w:t>
                </w:r>
                <w:r>
                  <w:rPr>
                    <w:sz w:val="22"/>
                    <w:szCs w:val="22"/>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Įdiegti bandomąsias natūralias paviršinių nuotekų valymo priemones Vievyje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Elektrėnų r. sav.,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r>
                  <w:rPr>
                    <w:sz w:val="22"/>
                    <w:szCs w:val="22"/>
                  </w:rPr>
                  <w:t xml:space="preserve"> </w:t>
                </w:r>
                <w:r>
                  <w:rPr>
                    <w:sz w:val="22"/>
                    <w:szCs w:val="22"/>
                    <w:lang w:eastAsia="lt-LT"/>
                  </w:rPr>
                  <w:t>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779"/>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Inventorizuoti nuotekų išleistuvus į vandens telkinį ir į jį įtekančius intakus netoli telkinio, neįrašytus į taršos integruotos prevencijos ir kontrolės leidimus (toliau – TIPK) ar taršos leidimus arba į kuriuos neteisėtai pajungtos nuotekos, ir užtikrinti, kad nuotekos į ežerą nebūtų išleidžiamos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2023–</w:t>
                </w:r>
                <w:r>
                  <w:rPr>
                    <w:sz w:val="22"/>
                    <w:szCs w:val="22"/>
                    <w:lang w:eastAsia="lt-LT"/>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departamentas (toliau – AAD), savivaldybės, Lietuvos geologijos tarnyba (toliau – LGT)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Nustatyti teisinį reguliavimą (įskaitant melioracijos sistemų funkcijų atstatymą) tiesioginių ežero intakų baseine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2023–2024</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Įvertinus vandens telkinio apžėlimo laipsnį ir priemonės tikslingumą, išpjauti makrofitus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VSTT,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bCs/>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1.3.1.10.</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Pagerinti buitinių nuotekų išvalymą (1,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25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Pagerinti nuotekų, išleidžiamų toliau kaip 500 m nuo ežero, išvalymą, arba perkelti išleistuvus toliau nuo ežero / tvenkinio (Arnionių aglomeracija, Aukštelkės aglomeracija, Baltosios Vokės aglomeracija, Gedrimų aglomeracija, Glitiškių ir Paberžės aglomeracijos, Inturkės aglomeracija, Kriaunų aglomeracija, Luksnėnų aglomeracija, Padvarių aglomeracija, Palevenėlės aglomeracija, Pašaminės aglomeracija, Pikeliškių aglomeracija, Varnių ir Pavandenės aglomeracijos)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Vandens telkiniuose taikyti laikinus apribojimus plėšriųjų žuvų žvejybai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Atlikus ichtiologinius tyrimus priemonės tikslingumui ir įgyvendinimo detalėms nustatyti, prireikus vykdyti ekosistemų biomanipuliaciją suleidžiant plėšriųjų ar augalėdžių žuvų rūšių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sz w:val="22"/>
                    <w:szCs w:val="22"/>
                    <w:lang w:eastAsia="lt-LT"/>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ir vykdyti tyrimų programą, skirtą įvertinti įžuvinimo priemonių veiksmingumą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2024</w:t>
                </w:r>
                <w:r>
                  <w:rPr>
                    <w:bCs/>
                    <w:color w:val="000000"/>
                    <w:sz w:val="22"/>
                    <w:szCs w:val="22"/>
                  </w:rPr>
                  <w:t>–</w:t>
                </w:r>
                <w:r>
                  <w:rPr>
                    <w:color w:val="000000"/>
                    <w:sz w:val="22"/>
                    <w:szCs w:val="22"/>
                  </w:rPr>
                  <w:t>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1.3.1.15.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w:t>
                </w:r>
                <w:r>
                  <w:rPr>
                    <w:color w:val="000000"/>
                    <w:sz w:val="22"/>
                    <w:szCs w:val="22"/>
                  </w:rPr>
                  <w:t xml:space="preserve">Žuvų ir vėžių įveisimo į valstybinius vandens telkinius </w:t>
                </w:r>
                <w:r>
                  <w:rPr>
                    <w:sz w:val="22"/>
                    <w:szCs w:val="22"/>
                  </w:rPr>
                  <w:t>planus įtraukiant 3 priede išvardytus ežerus ir tvenkinius, į kuriuos neišduoti leidimai naudoti žvejybos plotą ir kuriuose žuvis įveisti leidžiama laikantis teisės aktų reikalavimų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ŽT,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teisės aktus ir planuoti palaipsniui uždrausti įžuvinti ežerus svetimų kraštų rūšimis, išskyrus išimtinius atvejus, kai vandens telkiniuose organizuojama limituota karpių žvejyba ir įžuvinimas karpiais, atitinkantis žuvų išteklių mokslinių tyrimų rekomendacijas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Lietuvos Respublikos administracinių nusižengimų kodekse ir Lietuvos Respublikos aplinkos apsaugos įstatyme nustatytas sankcijas už paviršinių vandens telkinių apsaugos zonose ir pakrančių apsaugos juostose nustatytų reikalavimų nesilaikymą ir prireikus pateikti Lietuvos Respublikos Vyriausybei pasiūlymus dėl teisinio reguliavimo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color w:val="FF0000"/>
                    <w:sz w:val="22"/>
                    <w:szCs w:val="22"/>
                  </w:rPr>
                </w:pPr>
                <w:r>
                  <w:rPr>
                    <w:sz w:val="22"/>
                    <w:szCs w:val="22"/>
                  </w:rPr>
                  <w:t xml:space="preserve">Tarpvalstybiniuose vandens telkiniuose, kuriuose kaimyninės šalys aptiko pavojingų medžiagų, atlikti šių medžiagų tyrimus Lietuvos teritorijoje (1 ir 3 priedai)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color w:val="242424"/>
                    <w:sz w:val="22"/>
                    <w:szCs w:val="22"/>
                    <w:shd w:val="clear" w:color="auto" w:fill="FFFFFF"/>
                  </w:rPr>
                  <w:t>Įgyvendinti vandens telkinių kokybės gerinimo bandomąjį projektą, kurio metu bus atliekami tyrimai geros būklės neatitikties priežastims nustatyti, įgyvendinamos vandens telkinių būklės gerinimo priemonės, pasiūlytos papildomos efektyvios neigiamo poveikio mažinimo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LIFE SIP lėšos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mišrus</w:t>
                </w:r>
              </w:p>
            </w:tc>
          </w:tr>
          <w:tr>
            <w:trPr>
              <w:trHeight w:val="373"/>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Uždavinys. Gerinti požeminių vandens telkinių būklę</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1.4.1.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Įvertinti, kokį poveikį karstinio proceso intensyvumui daro požeminio vandens gręžinių įrengimas ir jų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1.4.1.1.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Atlikti viršutinio devono Įstros–Tatulos vandeningajame sluoksnyje vykstančių procesų stebėseną ir tyrimus siekiant įvertinti, kokį poveikį vandeningajam sluoksniui daro požeminio vandens gręžinių įrengimas ir šio sluoksnio požeminio vandens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Užtikrinti racionalų požeminio vandens išteklių naudojimą ir aktualiais duomenimis pagrįstą išteklių naudojimo prognozavimą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2023–2024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Pakartotinai įvertinti Lielupės upių baseinų rajono (toliau – UBR) Joniškio ir Permo-viršutinio devono požeminio vandens baseino išteklių kiekį atsižvelgiant į realiai naudojamo požeminio vandens kiekį ir kokybę</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291"/>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Sumažinti vandens telkinių taršą iš sutelktosios taršos šaltinių </w:t>
                </w:r>
              </w:p>
              <w:p>
                <w:pPr>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 Stiprinti nuotekų taršos prevenciją ir kontrolę ir (ar)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Peržiūrėti išduotus Taršos integruotos prevencijos ir kontrolės </w:t>
                </w:r>
                <w:r>
                  <w:rPr>
                    <w:color w:val="000000"/>
                    <w:sz w:val="22"/>
                    <w:szCs w:val="22"/>
                  </w:rPr>
                  <w:t xml:space="preserve">leidimus </w:t>
                </w:r>
                <w:r>
                  <w:rPr>
                    <w:sz w:val="22"/>
                    <w:szCs w:val="22"/>
                  </w:rPr>
                  <w:t>(toliau – TIPK) ir Taršos leidimus ūkio subjektams, kai išleidžiamų nuotekų priimtuvui nustatomas poreikis mažinti taršą, patikslinti išleidžiamų nuotekų koncentraciją ir kiekius atsižvelgiant į vandens telkiniui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1.5.</w:t>
                </w:r>
                <w:r>
                  <w:rPr>
                    <w:sz w:val="22"/>
                    <w:szCs w:val="22"/>
                    <w:lang w:val="en-US"/>
                  </w:rPr>
                  <w:t>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poveikio nuotekų priimtuvui vertinimo metodiką, prireikus, ja vadovaujantis patikslinti Nuotekų tvarkymo reglamente, patvirtintame Lietuvos Respublikos aplinkos ministro 2006 m. gegužės 17 d. įsakymu Nr. D1-236 „Dėl Nuotekų tvarkymo reglamento patvirtinimo“, į gamtinę aplinką išleidžiamų buitinių, komunalinių ir gamybinių nuotekų užterštumo normas, kurios leistų pasiekti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pavojingų medžiagų mažinimo rekomendacijas, nustatant veiklos sąlygas stacionariems sutelktosios taršos šaltiniams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2026–2028</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w:t>
                </w:r>
                <w:r>
                  <w:rPr>
                    <w:sz w:val="22"/>
                    <w:szCs w:val="22"/>
                  </w:rPr>
                  <w:t xml:space="preserve"> </w:t>
                </w:r>
                <w:r>
                  <w:rPr>
                    <w:b/>
                    <w:sz w:val="22"/>
                    <w:szCs w:val="22"/>
                  </w:rPr>
                  <w:t>Stiprinti ūkio subjektų, kurie įgyvendino nuotekų valyklų rekonstrukciją ir plėtrą, taršos prevenciją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r>
                  <w:rPr>
                    <w:sz w:val="22"/>
                    <w:szCs w:val="22"/>
                    <w:lang w:val="en-US"/>
                  </w:rPr>
                  <w:t>2</w:t>
                </w:r>
                <w:r>
                  <w:rPr>
                    <w:sz w:val="22"/>
                    <w:szCs w:val="22"/>
                  </w:rPr>
                  <w:t>.1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išduotus TIPK ir taršos leidimus, po nuotekų valyklų rekonstrukcijų ir (arba) nuotekų tinklų plėtros ir leidimuose patikslinti išleidžiamų nuotekų koncentraciją ir kiekius atsižvelgiant į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Tikslas. Pasiekti ir (ar) išlaikyti gerą Baltijos jūros aplinkos būklę</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2.1. </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Mažinti Baltijos jūros taršą</w:t>
                </w:r>
              </w:p>
            </w:tc>
          </w:tr>
          <w:tr>
            <w:trPr>
              <w:trHeight w:val="32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eutrofikaciją skatinančių maistinių medžiagų patekimą į Kuršių marių ir Baltijos jūros aplinką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ir (ar)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hideMark/>
              </w:tcPr>
              <w:p>
                <w:pPr>
                  <w:rPr>
                    <w:sz w:val="22"/>
                    <w:szCs w:val="22"/>
                    <w:highlight w:val="green"/>
                  </w:rPr>
                </w:pPr>
                <w:r>
                  <w:rPr>
                    <w:sz w:val="22"/>
                    <w:szCs w:val="22"/>
                  </w:rPr>
                  <w:t>2.1.1.1.</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taršos iš Nemuno baseino ir vidinės taršos Kuršių mariose </w:t>
                </w:r>
                <w:r>
                  <w:rPr>
                    <w:sz w:val="22"/>
                    <w:szCs w:val="22"/>
                    <w:lang w:eastAsia="lt-LT"/>
                  </w:rPr>
                  <w:t>mastą</w:t>
                </w:r>
                <w:r>
                  <w:rPr>
                    <w:sz w:val="22"/>
                    <w:szCs w:val="22"/>
                  </w:rPr>
                  <w:t xml:space="preserve"> ir poveikį Baltijos jūros priekrantei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tcPr>
              <w:p>
                <w:pPr>
                  <w:rPr>
                    <w:sz w:val="22"/>
                    <w:szCs w:val="22"/>
                    <w:highlight w:val="green"/>
                  </w:rPr>
                </w:pPr>
                <w:r>
                  <w:rPr>
                    <w:sz w:val="22"/>
                    <w:szCs w:val="22"/>
                  </w:rPr>
                  <w:t>2.1.1.2.</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Kuršių marių litoralės makrozoobentoso bendrijos tyrimus ir parengti ekologinės būklės vertinimo sistemą pagal makrozoobentoso kokybės elementą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2.1.1.3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 xml:space="preserve">Prireikus šienauti </w:t>
                </w:r>
                <w:r>
                  <w:rPr>
                    <w:sz w:val="22"/>
                    <w:szCs w:val="22"/>
                  </w:rPr>
                  <w:t xml:space="preserve">nendres Kuršių marių pakrantėje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Mažinti pavojingų cheminių medžiagų poveikį ir patekimą į jūros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Lietuvos Respublikos </w:t>
                </w:r>
                <w:r>
                  <w:rPr>
                    <w:sz w:val="22"/>
                    <w:szCs w:val="22"/>
                    <w:lang w:eastAsia="lt-LT"/>
                  </w:rPr>
                  <w:t>krašto</w:t>
                </w:r>
                <w:r>
                  <w:rPr>
                    <w:sz w:val="22"/>
                    <w:szCs w:val="22"/>
                  </w:rPr>
                  <w:t xml:space="preserve"> apsaugos ministerija (toliau – KAM), Lietuvos Respublikos </w:t>
                </w:r>
                <w:r>
                  <w:rPr>
                    <w:sz w:val="22"/>
                    <w:szCs w:val="22"/>
                    <w:lang w:eastAsia="lt-LT"/>
                  </w:rPr>
                  <w:t>vidaus</w:t>
                </w:r>
                <w:r>
                  <w:rPr>
                    <w:sz w:val="22"/>
                    <w:szCs w:val="22"/>
                  </w:rPr>
                  <w:t xml:space="preserve"> reikalų ministerija (toliau – VRM),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Cs/>
                    <w:sz w:val="22"/>
                    <w:szCs w:val="22"/>
                  </w:rPr>
                  <w:t>Peržiūrėti taršos incidentų valdymo sistemos reglamentavimą</w:t>
                </w:r>
                <w:r>
                  <w:rPr>
                    <w:sz w:val="22"/>
                    <w:szCs w:val="22"/>
                  </w:rPr>
                  <w:t>, prireikus</w:t>
                </w:r>
                <w:r>
                  <w:rPr>
                    <w:bCs/>
                    <w:sz w:val="22"/>
                    <w:szCs w:val="22"/>
                  </w:rPr>
                  <w:t xml:space="preserve"> jį tobulinti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 AB Klaipėdos valstybinio jūrų uosto direkcija,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Atnaujinti Teršimo incidentų likvidavimo jūros rajone darbų planą ir rizikų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Atitinkamoms institucijoms priskirti nafta užterštų paukščių gelbėjimo funkcijas ir užtikrinti reikalingą infrastruktūrą gelbėjimo darbams atlikti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Dalyvauti vykdant Baltijos jūroje palaidoto cheminio ginklo galimo poveikio jūrinei aplinkai ir žmogui stebėjimus, tarptautinių organizacijų veikloje siekiant dalytis patirtimi ir informacija, vertinti galimo cheminio ginklo poveikio stebėjimų duomenis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teršalų paplitimą  Klaipėdos uosto įmonių išleidžiamose nuotekose  į Klaipėdos sąsiaurį, numatyti priemones ir technologijas su nuotekomis patenkančių teršalų sumažinimui ar pašalinimui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Mažinti jūros šiukšlių poveikį priekrantės ir jūros aplinkai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 savivaldybės</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Atlikti tyrimus ir nustatyti mikrošiukšlių kiekius nuotekų tvarkymo infrastruktūroje (komunalinių, pramoninių, paviršinių) ir identifikuoti tikslines nuotekų tvarkymo infrastruktūros vietas, kuriose būtų efektyviausia taikyti taršos prevencijos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apie jūrinę aplinką teršiančias šiukšles ir jų keliamą grėsmę, taršos prevencijos ir mažinimo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w:t>
                </w:r>
                <w:r>
                  <w:rPr>
                    <w:sz w:val="22"/>
                    <w:szCs w:val="22"/>
                    <w:lang w:eastAsia="lt-LT"/>
                  </w:rPr>
                  <w:t>valstybės</w:t>
                </w:r>
                <w:r>
                  <w:rPr>
                    <w:sz w:val="22"/>
                    <w:szCs w:val="22"/>
                  </w:rPr>
                  <w:t xml:space="preserve">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ir optimizuoti šiukšlių (neperdirbamų ir antrinių žaliavų) surinkimo galimybes Baltijos jūros pakrantėje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 xml:space="preserve">2.1.4. </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Siūlyti ratifikuoti tarptautinius protokolus, susijusius su jūrine aplinka, peržiūrėti ir atnaujinti nacionalinius teisės aktus ir monitoringo procedūras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poreikį ratifikuoti 2000 m. Protokolą dėl parengties, veiksmų ir bendradarbiavimo įvykus taršos pavojingomis ir kenksmingomis medžiagomis incidentams (OPRC/HNS 2000)</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Tarptautinės konvencijos dėl atsakomybės ir kompensacijos už žalą, susijusią su pavojingų ir kenksmingų medžiagų vežimu jūra (HNS konvencija), 2010 m. protokolo ratifikavimo poreikį ir poveikį suinteresuotoms šalims, prireikus inicijuoti šio protokolo ratifikavimą (dėl šio protokolo 1996 m. HNS konvencija neįsigalios)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Prireikus pateikti Seimui Baltijos jūros baseino jūrinės aplinkos apsaugos konvencijos pakeitimo III priedo „Taršos iš sausumos taršos šaltinių prevencijai taikomi kriterijai ir priemonės“ II dalį „Taršos iš žemės ūkio šaltinių prevencija“ siekiant ją ratifikuoti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Pakeisti Lietuvos Respublikos aplinkos ministro 2002 m. vasario 26 d. įsakymą Nr. 77 „Dėl aplinkos apsaugos normatyvinio dokumento LAND 46A-2002 „Grunto kasimo jūrų ir jūrų uostų akvatorijose ir iškasto grunto šalinimo taisyklės“ patvirtinimo“ siekiant sumažinti šalinamo grunto poveikį jūros aplinkai, atnaujinti  grunto tvarkymo ir klasifikavimo procedūras numatant grunto tikslingo panaudojimo galimybes (atkuriant paplūdimius, žemės ūkyje, statybos darbuose), numatyti papildomas alternatyvas IV užterštumo klasės grunto tvarkymui, atnaujinti reikalavimus grunto savybių privalomiesiems cheminiams tyrimams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Sukurti ir patvirtinti mėginių teršiančių medžiagų tyrimams</w:t>
                </w:r>
                <w:r>
                  <w:rPr>
                    <w:color w:val="242424"/>
                    <w:sz w:val="22"/>
                    <w:szCs w:val="22"/>
                    <w:shd w:val="clear" w:color="auto" w:fill="FFFFFF"/>
                  </w:rPr>
                  <w:t xml:space="preserve"> </w:t>
                </w:r>
                <w:r>
                  <w:rPr>
                    <w:sz w:val="22"/>
                    <w:szCs w:val="22"/>
                  </w:rPr>
                  <w:t xml:space="preserve">paėmimo sraigstasparniu jūroje procedūras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AM, KAM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2.1.4.6.</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Peržiūrėti </w:t>
                </w:r>
                <w:r>
                  <w:rPr>
                    <w:color w:val="000000"/>
                    <w:sz w:val="22"/>
                    <w:szCs w:val="22"/>
                  </w:rPr>
                  <w:t xml:space="preserve">Baltijos jūros rajono geros aplinkos būklės savybių nustatymo reikalavimus, patvirtintus </w:t>
                </w:r>
                <w:r>
                  <w:rPr>
                    <w:sz w:val="22"/>
                    <w:szCs w:val="22"/>
                  </w:rPr>
                  <w:t>Lietuvos Respublikos aplinkos ministro 2015 m. kovo 4 d. įsakymu Nr. D1-194 „Dėl B</w:t>
                </w:r>
                <w:r>
                  <w:rPr>
                    <w:color w:val="000000"/>
                    <w:sz w:val="22"/>
                    <w:szCs w:val="22"/>
                  </w:rPr>
                  <w:t>altijos jūros rajono geros aplinkos būklės savybių nustatymo reikalavimų“,</w:t>
                </w:r>
                <w:r>
                  <w:rPr>
                    <w:sz w:val="22"/>
                    <w:szCs w:val="22"/>
                  </w:rPr>
                  <w:t xml:space="preserve"> ir prireikus atnaujinti ribines vertes dugno nuosėdų užterštumui vertinti atsižvelgiant į regionui suderintas ribines vertes nuosėdoms, natūralų geocheminį taršos foną, smulkios dugno nuosėdų frakcijos ir organikos kiekio dugno nuosėdose pasiskirstymą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Uždavinys. Sustabdyti Baltijos jūros biologinės įvairovės nykimą ir ekosistemų ir jų paslaugų kokybės blogėjimą, kur įmanoma, jas atkurti</w:t>
                </w: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Užtikrinti, kad komerciniams tikslams naudojamų žuvų eksploatavimo intensyvumas neviršytų saugių biologinių ribų ir išsaugoti Baltijos jūros mitybinio tinklo 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r>
                  <w:rPr>
                    <w:sz w:val="22"/>
                    <w:szCs w:val="22"/>
                    <w:lang w:eastAsia="lt-LT"/>
                  </w:rPr>
                  <w:t xml:space="preserve">, </w:t>
                </w:r>
                <w:r>
                  <w:rPr>
                    <w:color w:val="000000"/>
                    <w:sz w:val="22"/>
                    <w:szCs w:val="22"/>
                  </w:rPr>
                  <w:t>Lietuvos jūrų muziejus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2.2.1.</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Atlikti tyrimą ir pateikti rekomendacijas dėl verslinės ir mėgėjų žvejybos apribojimų Baltijos jūros priekrantėje ir Kuršių mariose siekiant geros aplinkos būklės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2.2.1.2.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Surinkti mokslinę informaciją apie perpelių ir sykų paplitimą, pasiskirstymą, migraciją, biologiją ir žvejybą Baltijos jūros priekrantėje ir Kuršių mariose, reikalingą šių rūšių apsaugos planams parengti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bdr w:val="none" w:sz="0" w:space="0" w:color="auto" w:frame="1"/>
                    <w:shd w:val="clear" w:color="auto" w:fill="FFFFFF"/>
                  </w:rPr>
                  <w:t>Lietuvos jūrų muziejaus Baltijos jūros gyvūnų reabilitacijos centre vykdyti jūros žinduolių (ruonių) populiacijos tyrimus siekiant įvertinti reprodukcinę ir įmitimo būklę pagal HELCOM rekomendacijas 27–28/2 1 ir vykdyti jų populiacijos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BĮ Lietuvos jūrų muziejus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Paruošti nacionalinius priemonių planus, reikalingus pagerinti lašišų ir šlakių populiacijų būklę įgyvendinant HELCOM Baltijos jūros veiksmų planą, teikti rekomendacijas dėl jų įgyvendinimo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ŽT, AM, 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shd w:val="clear" w:color="auto" w:fill="FFFFFF"/>
                  </w:rPr>
                  <w:t>Efektyviau kontroliuoti žvejybos laivus, įmones ir žvejus mėgėjus Baltijos jūroje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ŽŪM, ŽT,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2.2.1.6.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žuvų migracijos per Klaipėdos sąsiaurį stebėsenos akustiniais metodais galimybių studiją, parengti rekomendacijas tyrimų metodų ir instrumentinės bazės parengimui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highlight w:val="yellow"/>
                  </w:rPr>
                </w:pPr>
                <w:r>
                  <w:rPr>
                    <w:b/>
                    <w:sz w:val="22"/>
                    <w:szCs w:val="22"/>
                  </w:rPr>
                  <w:t>Priemonė. Išsaugoti palankias sąlygas žiemojantiems jūros paukščiams jų žiemojimo vietose, mažinti jų mirtingumą susitepus naftos produktais ir (ar) patekus į verslinės žvejybos įrankius.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paukščių apsaugai svarbiose teritorijose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Patvirtinti metodinius reikalavimus (duomenų rinkimo, apimties ir kokybės, analizės ir vertinimo metodų ir kt.) vertinti galimą planuojamos ūkinės veiklos poveikį jūros paukščiams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Atsižvelgiant į žvejybos poveikio jūros paukščiams ir žinduoliams masto vertinimą, nustatyti žvejybos reguliavimo priemones, leidžiančias šio poveikio išvengti ar jį sumažinti mažiausiai 50 proc.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ŽŪM, ŽT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r>
                  <w:rPr>
                    <w:sz w:val="22"/>
                    <w:szCs w:val="22"/>
                    <w:lang w:eastAsia="lt-LT"/>
                  </w:rPr>
                  <w:t xml:space="preserve"> ir (arba)</w:t>
                </w:r>
                <w:r>
                  <w:rPr>
                    <w:b/>
                    <w:bCs/>
                    <w:sz w:val="22"/>
                    <w:szCs w:val="22"/>
                    <w:lang w:eastAsia="lt-LT"/>
                  </w:rPr>
                  <w:t xml:space="preserve"> </w:t>
                </w:r>
                <w:r>
                  <w:rPr>
                    <w:sz w:val="22"/>
                    <w:szCs w:val="22"/>
                    <w:lang w:eastAsia="lt-LT"/>
                  </w:rPr>
                  <w:t>Europos jūrų reikalų ir žuvininkystės fondas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r>
                  <w:rPr>
                    <w:sz w:val="22"/>
                    <w:szCs w:val="22"/>
                    <w:lang w:eastAsia="lt-LT"/>
                  </w:rPr>
                  <w:t xml:space="preserve">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2.2.2.4.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kad būtų naudojamos paukščius atbaidančios priemonės ar žvejybos reguliavimo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ŽT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žiemojančių jūros paukščių ir nafta suteptų jūros paukščių stebėseną Lietuvos jūriniuose vandenyse (ir Lietuvos išskirtinėje ekonominėje zonoje), dalyvauti regioniniu lygmeniu koordinuotoje žiemojančių jūros paukščių apskaitoje, siekiant įvertinti jūros paukščių gausumą ir pasiskirstymą Baltijos jūros mastu</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sz w:val="22"/>
                    <w:szCs w:val="22"/>
                    <w:lang w:val="en-US"/>
                  </w:rPr>
                  <w:t>2.2.2.6.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ir įvertinti paukščių žiemojimo buveinių kokybę ir maisto resursų prieinamumą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Sumažinti Baltijos jūrai naujų nevietinių gyvūnų rūšių atsiradimo riziką Lietuvos Respublikos jūros rajone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Įvertinti nevietinių rūšių paplitimą ir pasiskirstymą, įtraukiant apaugų tyrimus ant stacionarių objektų ir laivų korpusų, nevietinių rūšių keliamą riziką ir galimą poveikį</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ankstyvojo perspėjimo sistemos naudojimo tvarką, kuri padėtų rinkti duomenis apie nevietinių rūšių aptikimą ir invazinių rūšių plitimą ir poveikį (aplinkai, ekonomikai ir žmogaus sveikatai)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Prireikus teisės aktuose nustatyti reikalavimus pagal Tarptautinės jūrų organizacijos gaires dėl laivų korpusų biologinių apaugų kontrolės ir valdymo siekiant sumažinti invazinių vandens rūšių perkėlimą (pagal rezoliuciją MEPC.207 (62)) ir nevietinių / invazinių organizmų plitimą per biologines apaugas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sz w:val="22"/>
                    <w:szCs w:val="22"/>
                    <w:lang w:eastAsia="lt-LT"/>
                  </w:rPr>
                  <w:t xml:space="preserve">SM, </w:t>
                </w: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informacines kampanijas visuomenei apie jūrines nevietines rūšis, jų plitimo būdus, poveikį aplinkai ir žmogui, prevencines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AM, </w:t>
                </w:r>
                <w:r>
                  <w:rPr>
                    <w:sz w:val="22"/>
                    <w:szCs w:val="22"/>
                    <w:lang w:eastAsia="lt-LT"/>
                  </w:rPr>
                  <w:t>SM,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w:t>
                </w:r>
                <w:r>
                  <w:rPr>
                    <w:sz w:val="22"/>
                    <w:szCs w:val="22"/>
                  </w:rPr>
                  <w:t xml:space="preserve"> </w:t>
                </w:r>
                <w:r>
                  <w:rPr>
                    <w:b/>
                    <w:sz w:val="22"/>
                    <w:szCs w:val="22"/>
                  </w:rPr>
                  <w:t>Užtikrinti, kad ūkinė veikla jūroje nedarytų didelio neigiamo poveikio jūros dugno buveinėms, būtų išvengta jų nykimo ir būklės blogėjimo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buveinių apsaugai svarbioms teritorijoms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vyraujančių dugno buveinių tipų pasiskirstymą Lietuvos jūros rajone, papildyti planuojamus makrozoobentoso tyrimus Valstybinėje aplinkos monitoringo programoje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„Natura 2000“ tinklui priklausančių rifų (1170) buveinių monitoringą Baltijos jūroje pagal Valstybinės aplinkos monitoringo programos reikalavimus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 xml:space="preserve">Įdiegti ilgalaikio povandeninio triukšmo stebėjimo sistemą, vertinti  povandeninio triukšmo lygį ir poveikį bioįvairovei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val="en-US"/>
                  </w:rPr>
                </w:pPr>
                <w:r>
                  <w:rPr>
                    <w:sz w:val="22"/>
                    <w:szCs w:val="22"/>
                    <w:lang w:val="en-US"/>
                  </w:rPr>
                  <w:t>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Tikslas. </w:t>
                </w:r>
                <w:r>
                  <w:rPr>
                    <w:b/>
                    <w:color w:val="000000"/>
                    <w:sz w:val="22"/>
                    <w:szCs w:val="22"/>
                  </w:rPr>
                  <w:t>Mažinti potvynių riziką ir jų padarinius šalies teritorijoje</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Įgyvendinti veiksmingą potvynių valdymą, rizikos vertinimą ir mažinimą </w:t>
                </w:r>
              </w:p>
            </w:tc>
          </w:tr>
          <w:tr>
            <w:trPr>
              <w:trHeight w:val="1152"/>
            </w:trP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w:t>
                </w:r>
                <w:r>
                  <w:rPr>
                    <w:sz w:val="22"/>
                    <w:szCs w:val="22"/>
                  </w:rPr>
                  <w:t xml:space="preserve"> </w:t>
                </w:r>
                <w:r>
                  <w:rPr>
                    <w:b/>
                    <w:sz w:val="22"/>
                    <w:szCs w:val="22"/>
                  </w:rPr>
                  <w:t xml:space="preserve">Stiprinti potvynių prevenciją potvynių grėsmės teritorijose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AM, </w:t>
                </w:r>
                <w:r>
                  <w:rPr>
                    <w:sz w:val="22"/>
                    <w:szCs w:val="22"/>
                    <w:lang w:eastAsia="lt-LT"/>
                  </w:rPr>
                  <w:t>VRM</w:t>
                </w:r>
                <w:r>
                  <w:rPr>
                    <w:sz w:val="22"/>
                    <w:szCs w:val="22"/>
                  </w:rPr>
                  <w:t xml:space="preserve">, </w:t>
                </w:r>
                <w:r>
                  <w:rPr>
                    <w:color w:val="000000"/>
                    <w:sz w:val="22"/>
                    <w:szCs w:val="22"/>
                  </w:rPr>
                  <w:t>s</w:t>
                </w:r>
                <w:r>
                  <w:rPr>
                    <w:sz w:val="22"/>
                    <w:szCs w:val="22"/>
                  </w:rPr>
                  <w:t xml:space="preserve">avivaldybės, </w:t>
                </w:r>
                <w:r>
                  <w:rPr>
                    <w:color w:val="000000"/>
                    <w:sz w:val="22"/>
                    <w:szCs w:val="22"/>
                  </w:rPr>
                  <w:t>valstybės įmonė (toliau – VĮ) Valstybinių miškų urėdija, Lietuvos Respublikos k</w:t>
                </w:r>
                <w:r>
                  <w:rPr>
                    <w:sz w:val="22"/>
                    <w:szCs w:val="22"/>
                  </w:rPr>
                  <w:t>ultūros ministerija,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b/>
                    <w:color w:val="000000"/>
                    <w:sz w:val="22"/>
                    <w:szCs w:val="22"/>
                  </w:rPr>
                </w:pPr>
                <w:r>
                  <w:rPr>
                    <w:color w:val="000000"/>
                    <w:sz w:val="22"/>
                    <w:szCs w:val="22"/>
                  </w:rPr>
                  <w:t>VĮ Valstybinių miškų urėdijos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VĮ Valstybinių miškų urėdijos iniciatyva laisvos valstybinės žemės fondo žemėje suformuoti sklypus naujiems miškams įveisti Bartuvos upės baseine, Lielupės mažųjų intakų, Nevėžio ir Šešupės pabaseiniuose, parengti Lietuvos Respublikos Vyriausybės nutarimo projektą dėl šių sklypų perdavimo patikėjimo teise VĮ Valstybinių miškų urėdijai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p>
                <w:pPr>
                  <w:rPr>
                    <w:color w:val="000000"/>
                    <w:sz w:val="22"/>
                    <w:szCs w:val="22"/>
                  </w:rPr>
                </w:pPr>
                <w:r>
                  <w:rPr>
                    <w:color w:val="000000"/>
                    <w:sz w:val="22"/>
                    <w:szCs w:val="22"/>
                  </w:rPr>
                  <w:t>AM, Nacionalinė žemės tarnyba prie Aplinkos ministerijos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Įveisti naujus miškus VĮ Valstybinių miškų urėdijai patikėjimo teise perduotuose laisvos valstybinės žemės fondo žemės sklypuose Lielupės mažųjų intakų, Nevėžio ir Šešupės pabaseiniuose ir jų takoskyrose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(Šyšos ir Zuniškės upėse) potvynių užliejamose teritorijose taikyti upių vagų renatūralizavimo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APVA, Šilutės r. sav., AAA, Mažosios Lietuvos saugomų teritorijų direkcija (Nemuno deltos regioninis parkas)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Pagal Lietuvos hidrometeorologijos tarnybos parengtą tvarką kiekvienais metais teikti duomenis apie ledo sangrūdas ir užliejimus Lietuvos hidrometeorologijos tarnybai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ypač vietines bendruomenes. Periodiškai rengti ir publikuoti užsakomuosius straipsnius, informacinius pranešimus internete ir spaudoje apie potvynių grėsmes, viešinti potvynių grėsmės ir rizikos žemėlapius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Potvynių grėsmės teritorijose įvertinti potvynių keliamą pavojų </w:t>
                </w:r>
                <w:r>
                  <w:rPr>
                    <w:color w:val="000000"/>
                    <w:sz w:val="22"/>
                    <w:szCs w:val="22"/>
                  </w:rPr>
                  <w:t>nekilnojamosioms ir</w:t>
                </w:r>
                <w:r>
                  <w:rPr>
                    <w:b/>
                    <w:color w:val="000000"/>
                    <w:sz w:val="22"/>
                    <w:szCs w:val="22"/>
                  </w:rPr>
                  <w:t xml:space="preserve"> </w:t>
                </w:r>
                <w:r>
                  <w:rPr>
                    <w:sz w:val="22"/>
                    <w:szCs w:val="22"/>
                  </w:rPr>
                  <w:t>kilnojamosioms kultūros vertybėms, įtrauktoms į valstybinę kilnojamųjų kultūros vertybių apskaitą, prireikus parengti jų evakuacijos planus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Kilnojamųjų kultūros vertybių valdytojai, Kultūros paveldo departamentas prie Kultūros ministerijos, savivaldybės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yellow"/>
                  </w:rPr>
                </w:pPr>
                <w:r>
                  <w:rPr>
                    <w:color w:val="000000"/>
                    <w:sz w:val="22"/>
                    <w:szCs w:val="22"/>
                  </w:rPr>
                  <w:t>Kilnojamųjų kultūros vertybių valdytojų lėšos ir (arba) s</w:t>
                </w:r>
                <w:r>
                  <w:rPr>
                    <w:sz w:val="22"/>
                    <w:szCs w:val="22"/>
                  </w:rPr>
                  <w:t xml:space="preserve">avivaldybių biudžetas </w:t>
                </w:r>
                <w:r>
                  <w:rPr>
                    <w:color w:val="000000"/>
                    <w:sz w:val="22"/>
                    <w:szCs w:val="22"/>
                  </w:rPr>
                  <w:t>ir (arba) v</w:t>
                </w:r>
                <w:r>
                  <w:rPr>
                    <w:sz w:val="22"/>
                    <w:szCs w:val="22"/>
                  </w:rPr>
                  <w:t>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3.1.1.7.</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i/>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potvynių metu užliejamų apgyvendintų teritorijų plotus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sz w:val="22"/>
                    <w:szCs w:val="22"/>
                  </w:rPr>
                  <w:t>Savivaldybės,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Potvynių užliejamose teritorijose įgyvendinti potvynių rizikos mažinimo priemones, nurodytas 4 priede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Savivaldybės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2021–2027 m. ES lėšos,</w:t>
                </w:r>
              </w:p>
              <w:p>
                <w:pPr>
                  <w:textAlignment w:val="baseline"/>
                  <w:rPr>
                    <w:b/>
                    <w:bCs/>
                    <w:sz w:val="22"/>
                    <w:szCs w:val="24"/>
                    <w:lang w:eastAsia="lt-LT"/>
                  </w:rPr>
                </w:pPr>
                <w:r>
                  <w:rPr>
                    <w:sz w:val="22"/>
                    <w:szCs w:val="24"/>
                    <w:lang w:eastAsia="lt-LT"/>
                  </w:rPr>
                  <w:t xml:space="preserve">valstybės biudžetas, </w:t>
                </w:r>
                <w:r>
                  <w:rPr>
                    <w:color w:val="000000"/>
                    <w:sz w:val="22"/>
                  </w:rPr>
                  <w:t>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r>
                  <w:rPr>
                    <w:sz w:val="22"/>
                    <w:szCs w:val="22"/>
                    <w:lang w:eastAsia="lt-LT"/>
                  </w:rPr>
                  <w:t>2</w:t>
                </w:r>
                <w:r>
                  <w:rPr>
                    <w:sz w:val="22"/>
                    <w:szCs w:val="22"/>
                  </w:rPr>
                  <w:t>.</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naujausias apsaugos nuo potvynių struktūrines priemones ir statinio ypatumus potvynių grėsmės teritorijoje, peržiūrėti statybos techninius reglamentus ir nustatyti reikalavimus statinių projektavimui ir (ar) statybai šiose teritorijose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3.1.2.3.</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3.1.2.4.</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Įgyvendinant Direktyvos 2007/60/EB reikalavimus, parengti naujo periodo strateginius dokumentus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rPr>
                    <w:color w:val="000000"/>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Atsižvelgiant į 2007 m. spalio 23 d. Europos Parlamento ir Tarybos direktyvos 2007/60/EB dėl potvynių rizikos įvertinimo ir valdymo reikalavimus, peržiūrėti ir prireikus atnaujinti preliminaraus potvynių vertinimo ataskaitą, potvynių rizikos ir potvynių grėsmės žemėlapius, potvynių rizikos mažinimo planą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Tikslas. Stiprinti vandens telkinių valdymo sistemą, kontroliuoti Lietuvos tarptautinių ir ES vandenų srities įpareigojimų vykdymą</w:t>
                </w:r>
              </w:p>
              <w:p>
                <w:pPr>
                  <w:ind w:right="45"/>
                  <w:textAlignment w:val="baseline"/>
                  <w:rPr>
                    <w:b/>
                    <w:sz w:val="22"/>
                    <w:szCs w:val="22"/>
                  </w:rPr>
                </w:pPr>
              </w:p>
            </w:tc>
          </w:tr>
          <w:tr>
            <w:trPr>
              <w:trHeight w:val="3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b/>
                    <w:sz w:val="22"/>
                    <w:szCs w:val="22"/>
                  </w:rPr>
                  <w:t>Uždavinys. Efektyviau įgyvendinti vandensaugos ir vandens naudojimo reikalavimus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Skatinti tarpvalstybinį bendradarbiavimą vandens telkinių būklei gerinti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color w:val="000000"/>
                    <w:sz w:val="22"/>
                    <w:szCs w:val="22"/>
                  </w:rPr>
                  <w:t>Lietuvos Respublikos u</w:t>
                </w:r>
                <w:r>
                  <w:rPr>
                    <w:sz w:val="22"/>
                    <w:szCs w:val="22"/>
                  </w:rPr>
                  <w:t>žsienio reikalų ministerija (toliau –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Tęsti Lietuvos ir Lenkijos bendradarbiavimą tarptautinio Nemuno upių baseinų rajono valdymo srityje Lietuvos ir Lenkijos tarpvalstybinių vandenų komisijos darbo grupėse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LGT, LHMT, </w:t>
                </w:r>
                <w:r>
                  <w:rPr>
                    <w:sz w:val="22"/>
                    <w:szCs w:val="22"/>
                    <w:lang w:eastAsia="lt-LT"/>
                  </w:rPr>
                  <w:t>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Tęsti Lietuvos ir Latvijos bendradarbiavimą tarptautinių Ventos, Dauguvos ir Lielupės upių baseinų rajonų valdymo srityje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 LGT, LHMT,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Tobulinti vandens telkinių būklės įvertinimą ir monitoringą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w:t>
                </w:r>
                <w:r>
                  <w:rPr>
                    <w:sz w:val="22"/>
                    <w:szCs w:val="22"/>
                    <w:lang w:eastAsia="lt-LT"/>
                  </w:rPr>
                  <w:t>, VERT</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būklei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žuvų bendrijų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vandens floros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pavojingų medžiagų, kurios apibūdina paviršinių vandens telkinių cheminę būklę, paplitimui ir kiekiui įvertinti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hidromorfologinių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Įvertinti sąnaudų teikiant vandens paslaugas susigrąžinimo principo įgyvendinimą peržiūrint nacionalinę mokesčių už vandens paslaugas sistemą, tarifus, prireikus siūlyti teisės aktų projektų pakeitimus tinkamam šio principo įgyvendinimui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Atlikti išimčių gerai vandens telkinių būklei pasiekti taikymo sąnaudų ir naudos analizę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Išanalizuoti galimus praktinius būdus taikyti </w:t>
                </w:r>
                <w:r>
                  <w:rPr>
                    <w:bCs/>
                    <w:sz w:val="22"/>
                    <w:szCs w:val="22"/>
                    <w:lang w:eastAsia="lt-LT"/>
                  </w:rPr>
                  <w:t>Direktyvos</w:t>
                </w:r>
                <w:r>
                  <w:rPr>
                    <w:sz w:val="22"/>
                    <w:szCs w:val="22"/>
                  </w:rPr>
                  <w:t xml:space="preserve"> 2000/60/EB 4 straipsnio 7 punkte nurodytos išimties c) ir d) papunkčiuose </w:t>
                </w:r>
                <w:r>
                  <w:rPr>
                    <w:bCs/>
                    <w:sz w:val="22"/>
                    <w:szCs w:val="22"/>
                    <w:lang w:eastAsia="lt-LT"/>
                  </w:rPr>
                  <w:t>minimas</w:t>
                </w:r>
                <w:r>
                  <w:rPr>
                    <w:sz w:val="22"/>
                    <w:szCs w:val="22"/>
                  </w:rPr>
                  <w:t xml:space="preserve"> sąlygas </w:t>
                </w:r>
                <w:r>
                  <w:rPr>
                    <w:bCs/>
                    <w:sz w:val="22"/>
                    <w:szCs w:val="22"/>
                    <w:lang w:eastAsia="lt-LT"/>
                  </w:rPr>
                  <w:t>ir</w:t>
                </w:r>
                <w:r>
                  <w:rPr>
                    <w:sz w:val="22"/>
                    <w:szCs w:val="22"/>
                  </w:rPr>
                  <w:t xml:space="preserve"> parengti metodiką, kuria remiantis būtų galima pagrįsti </w:t>
                </w:r>
                <w:r>
                  <w:rPr>
                    <w:bCs/>
                    <w:sz w:val="22"/>
                    <w:szCs w:val="22"/>
                    <w:lang w:eastAsia="lt-LT"/>
                  </w:rPr>
                  <w:t>atitiktį</w:t>
                </w:r>
                <w:r>
                  <w:rPr>
                    <w:sz w:val="22"/>
                    <w:szCs w:val="22"/>
                  </w:rPr>
                  <w:t xml:space="preserve"> minėtoms išimties sąlygoms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Atlikti </w:t>
                </w:r>
                <w:r>
                  <w:rPr>
                    <w:bCs/>
                    <w:sz w:val="22"/>
                    <w:szCs w:val="22"/>
                    <w:lang w:eastAsia="lt-LT"/>
                  </w:rPr>
                  <w:t>Direktyvos</w:t>
                </w:r>
                <w:r>
                  <w:rPr>
                    <w:sz w:val="22"/>
                    <w:szCs w:val="22"/>
                  </w:rPr>
                  <w:t xml:space="preserve"> 2000/60/EB 4 straipsnio 7 punkte c) ir d) papunkčiuose nurodytų išimčių taikymo pagrindimo sąnaudų efektyvumo analizę palyginant galimybių sąnaudas. Įvertinti gamtines sąlygas vandensaugos tikslams pasiekti ir išimčių taikymo pagrindimui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w:t>
                </w:r>
                <w:r>
                  <w:rPr>
                    <w:sz w:val="22"/>
                    <w:szCs w:val="22"/>
                  </w:rPr>
                  <w:t xml:space="preserve"> </w:t>
                </w:r>
                <w:r>
                  <w:rPr>
                    <w:b/>
                    <w:sz w:val="22"/>
                    <w:szCs w:val="22"/>
                    <w:lang w:val="en-GB"/>
                  </w:rPr>
                  <w:t xml:space="preserve">Įgyvendinant </w:t>
                </w:r>
                <w:r>
                  <w:rPr>
                    <w:b/>
                    <w:sz w:val="22"/>
                    <w:szCs w:val="22"/>
                  </w:rPr>
                  <w:t>Direktyvų 2000/60/EB, 2007/60/EB ir 2008/56/EB reikalavimus, parengti naujo UBR periodo strateginius dokumentus</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1</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naujo periodo Nemuno, Ventos, Dauguvos ir Lielupės upių baseinų rajonų planus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Parengti naujo periodo priemones ir veiksmus gerai paviršinių ir požeminių vandens telkinių būklei pasiekti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priemonių gerai vandens telkinių būklei pasiekti sąnaudų efektyvumo analizę palyginant galimybių sąnaudas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4</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Atnaujinti jūros aplinkos būklės įvertinimą, geros būklės savybes, jūros aplinkos apsaugos tikslus ir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priemones ir veiksmus </w:t>
                </w:r>
                <w:r>
                  <w:rPr>
                    <w:sz w:val="22"/>
                    <w:szCs w:val="22"/>
                    <w:lang w:eastAsia="lt-LT"/>
                  </w:rPr>
                  <w:t xml:space="preserve">pasiekti </w:t>
                </w:r>
                <w:r>
                  <w:rPr>
                    <w:sz w:val="22"/>
                    <w:szCs w:val="22"/>
                  </w:rPr>
                  <w:t>gerai jūros aplinkos būklei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4.1.</w:t>
                </w:r>
                <w:r>
                  <w:rPr>
                    <w:sz w:val="22"/>
                    <w:szCs w:val="22"/>
                    <w:lang w:val="en-US"/>
                  </w:rPr>
                  <w:t>5.</w:t>
                </w:r>
                <w:r>
                  <w:rPr>
                    <w:sz w:val="22"/>
                    <w:szCs w:val="22"/>
                  </w:rPr>
                  <w:t xml:space="preserve">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Vykdyti savivaldybių monitoringą vandens telkinių intakuose ir (ar) ištakose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Siekiant nustatyti į 3 priede nurodytus ežerus patenkančių maistinių medžiagų kiekį ir (arba) jų balansą, vykdyti savivaldybių monitoringo programas vandens telkinių intakuose ir (ar) ištakuose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6</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Įsigyti įrangos ir priemonių paviršinių vandens telkinių būklės tyrimams</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Įsigyti įrangos ir priemonių paviršinių vandens telkinių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Įsigyti įrangos ir priemonių požeminio vandens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Informuoti visuomenę apie vandens telkinių būklę, taršos šaltinius, būdus padėti mažinti taršą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4.1.7.1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netoliese vandens telkinių, nurodytų 1, 2 ir 3 prieduose, gyvenančius gyventojus apie telkinių būklę, taršą, jos priežastis. Informuoti apie taršos iš namų ūkių mažinimo ir tvaraus žemės ūkio galimybes, ekonominę ir aplinkosauginę naudą, galimybes gauti ES paramą vandensaugos problemoms spręsti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švietimo ir informavimo kampanijas, kuriomis siekiama plačiau skleisti informaciją apie atsakingą elgesį su buitinės chemijos gaminiais ir pavojingomis medžiagomis, kad jos nepatektų į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4.1.7.3.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Vykdyti švietimo ir informavimo kampanijas siekiant informuoti visuomenę apie farmacinių medžiagų paplitimą aplinkoje, jų patvarumą ir kenksmingą poveikį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Vykdyti švietimo ir informavimo kampanijas apie išleidžiamas pavojingas medžiagas šiose ūkio šakose: dažų pramonė, metalo apdirbimo, plastikų, statybinių medžiagų gamyba, automobilių plovyklos, pramoninio ir buitinės paskirties valymo priemonių naudojimas ir gaminimas, pneumatinių prietaisų skysčių naudojimas ir gaminimas, audinių ir odos apdorojimas, metalurgijos, mašinų gamybos, galvanizavimo procesai, akmens anglies deginimas; iškastinio kuro deginimas, naftos perdirbimo įmonės, laivų korpusų dažymas ir apdorojimas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AAA, AM, APVA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 xml:space="preserve">Uždavinys. Stiprinti vandenų srities aplinkos apsaugos valstybinę kontrolę </w:t>
                </w:r>
              </w:p>
              <w:p>
                <w:pPr>
                  <w:rPr>
                    <w:sz w:val="18"/>
                    <w:szCs w:val="18"/>
                  </w:rPr>
                </w:pPr>
              </w:p>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teisės aktus, susijusius su paviršinio vandens telkinių apsaugos zonų ir pakrančių apsaugos juostų reglamentavimu</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Lietuvos Respublikos specialiųjų žemės naudojimo sąlygų įstatyme nustatytų reikalavimų laikymąsi; peržiūrėti paviršinio vandens telkinių apsaugos zonas ir pakrančių apsaugos juostas reglamentuojančią teisinę bazę ir atlikti reikiamus pakeitimus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w:t>
                </w:r>
                <w:r>
                  <w:rPr>
                    <w:sz w:val="22"/>
                    <w:szCs w:val="22"/>
                  </w:rPr>
                  <w:t xml:space="preserve">.2.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sz w:val="22"/>
                    <w:szCs w:val="22"/>
                  </w:rPr>
                  <w:t>Griežtinti hidrotechnikos statinių savininkų arba valdytojų kontrolę dėl žuvų pralaidų įrengimo ir leistinų vandens lygio tvenkinyje svyravimų užtikrinimo</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 xml:space="preserve">Aplinkosauginių patikrinimų planavimo sistemoje nustatyti efektyvius rizikų vertinimo kriterijus įvertinant hidrotechnikos statinių eksploatavimo atitiktį teisės aktų reikalavimams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akvakultūros tvenkinių paimamo ir išleidžiamo vandens kontrolės teisinį reglamentavimą</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w:t>
                </w:r>
                <w:r>
                  <w:rPr>
                    <w:sz w:val="22"/>
                    <w:szCs w:val="22"/>
                    <w:lang w:val="en-US"/>
                  </w:rPr>
                  <w:t>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Tobulinti teisinį reglamentavimą dėl akvakultūros tvenkinių savininkų teikiamų duomenų apie registruojamą vandens lygį paėmimo ir išleidimo vietose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akvakultūros tvenkinių išleidžiamo vandens kontrolę atsižvelgiant į duomenis apie ežerų ir upių kategorijos vandens telkinius, neatitinkančius geros būklės (1 ir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Didinti aplinkos apsaugos valstybinės kontrolės pajėgumus ir gebėjimus vykdyti kontrolę vandenų srityje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8"/>
                    <w:szCs w:val="8"/>
                  </w:rPr>
                </w:pPr>
              </w:p>
              <w:p>
                <w:pPr>
                  <w:rPr>
                    <w:sz w:val="22"/>
                    <w:szCs w:val="22"/>
                    <w:lang w:eastAsia="lt-LT"/>
                  </w:rPr>
                </w:pPr>
                <w:r>
                  <w:rPr>
                    <w:sz w:val="22"/>
                    <w:szCs w:val="22"/>
                    <w:lang w:eastAsia="lt-LT"/>
                  </w:rPr>
                  <w:t>Aplinkos apsaugos valstybinės kontrolės pareigūnus aprūpinti darbui reikalingomis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Griežtinti su nuotekomis išleidžiamų prioritetinių ir kitų pavojingų medžiagų kontrolę, parengti valstybinės laboratorinės kontrolės planus, pagal juos 1 priede nurodytiems ūkio subjektams atlikti nuotekų laboratorinę kontrolę pagal vandens telkinyje rastas medžiagas ir pranešti apie rezultatus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AAA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individualiai tvarkomų nuotekų išleidimo į aplinką kontrolę šalia vandens telkinių, neatitinkančių geros būklės kriterijų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Užtikrinti MARPOL VI priedo reikalavimų dėl 0,1 proc. sieros jūriniame kure vykdymo kontrolę, įskaitant kuro mėginių ėmimą ir jų tyrimą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lang w:eastAsia="lt-LT"/>
                  </w:rPr>
                </w:pPr>
                <w:r>
                  <w:rPr>
                    <w:sz w:val="22"/>
                    <w:szCs w:val="22"/>
                    <w:lang w:eastAsia="lt-LT"/>
                  </w:rPr>
                  <w:t>Valstybinė vartotojų teisių apsaugos tarnyba, Lietuvos transporto saugos administracija, AAD</w:t>
                </w:r>
              </w:p>
              <w:p>
                <w:pPr>
                  <w:ind w:firstLine="57"/>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magenta"/>
                  </w:rPr>
                </w:pPr>
                <w:r>
                  <w:rPr>
                    <w:sz w:val="22"/>
                    <w:szCs w:val="22"/>
                  </w:rPr>
                  <w:t>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3192"/>
                  <w:rPr>
                    <w:b/>
                    <w:sz w:val="22"/>
                    <w:szCs w:val="22"/>
                  </w:rPr>
                </w:pPr>
                <w:r>
                  <w:rPr>
                    <w:b/>
                    <w:sz w:val="22"/>
                    <w:szCs w:val="22"/>
                  </w:rPr>
                  <w:t>Tikslas. Užtikrinti kokybiškas viešąsias geriamojo vandens tiekimo ir nuotekų tvarkymo paslaugas</w:t>
                </w:r>
              </w:p>
            </w:tc>
          </w:tr>
          <w:tr>
            <w:trPr>
              <w:trHeight w:val="39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 Mažinti į aplinką išleidžiamų nuotekų užterštumą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Užtikrinti, kad individualiai tvarkomos nuotekos neterštų aplinkos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Sukurti informacinę individualių nuotekų tvarkymo įrenginių sistemą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w:t>
                </w:r>
                <w:r>
                  <w:rPr>
                    <w:sz w:val="22"/>
                    <w:szCs w:val="22"/>
                    <w:lang w:eastAsia="lt-LT"/>
                  </w:rPr>
                  <w:t>3</w:t>
                </w:r>
                <w:r>
                  <w:rPr>
                    <w:sz w:val="22"/>
                    <w:szCs w:val="22"/>
                  </w:rPr>
                  <w:t>–2024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2014–2020 m. ES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Nustatyti konkrečias pareigas individualių nuotekų tvarkymo įrenginių turėtojams ir įrenginių priežiūros paslaugas teikiantiems asmenims dėl įrenginių priežiūros ir išvalytų nuotekų kokybės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informacines kampanijas gyventojams apie nuotekų tvarkymą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Mažinti aplinkos teršimą paviršinėmis nuotekomis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įmonių</w:t>
                </w:r>
                <w:r>
                  <w:rPr>
                    <w:sz w:val="22"/>
                    <w:szCs w:val="22"/>
                  </w:rPr>
                  <w:t xml:space="preserve">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Diegti paviršinių nuotekų valymo infrastruktūrą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Įmonių lėšos ir (arba)</w:t>
                </w:r>
                <w:r>
                  <w:rPr>
                    <w:sz w:val="22"/>
                    <w:szCs w:val="22"/>
                  </w:rPr>
                  <w:t xml:space="preserve"> Valstybės</w:t>
                </w:r>
                <w:r>
                  <w:rPr>
                    <w:sz w:val="22"/>
                    <w:szCs w:val="22"/>
                    <w:lang w:eastAsia="lt-LT"/>
                  </w:rPr>
                  <w:t xml:space="preserve">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Vykdyti neteisėtų prisijungimų prie paviršinių nuotekų surinkimo sistemų prevenciją ir kontrolę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Įmonių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nuotekų tvarkymo paslaugų prieinamumą, ypač aglomeracijose, mažesnėse kaip 2000 gyventojų ekvivalento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Plėsti nuotekų tvarkymo sistemas gyvenvietėse, kuriose susidaro nuo 200 iki 2000 g.</w:t>
                </w:r>
                <w:r>
                  <w:rPr>
                    <w:sz w:val="22"/>
                    <w:szCs w:val="22"/>
                    <w:lang w:eastAsia="lt-LT"/>
                  </w:rPr>
                  <w:t xml:space="preserve"> </w:t>
                </w:r>
                <w:r>
                  <w:rPr>
                    <w:sz w:val="22"/>
                    <w:szCs w:val="22"/>
                  </w:rPr>
                  <w:t>e. atitinkanti apkrova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Plėsti atskirųjų ir grupinių nuotekų tvarkymo sistemas </w:t>
                </w:r>
                <w:r>
                  <w:rPr>
                    <w:sz w:val="22"/>
                    <w:szCs w:val="22"/>
                    <w:lang w:eastAsia="lt-LT"/>
                  </w:rPr>
                  <w:t>siekiant užtikrinti centralizuotos</w:t>
                </w:r>
                <w:r>
                  <w:rPr>
                    <w:sz w:val="22"/>
                    <w:szCs w:val="22"/>
                  </w:rPr>
                  <w:t xml:space="preserve"> nuotekų surinkimo </w:t>
                </w:r>
                <w:r>
                  <w:rPr>
                    <w:sz w:val="22"/>
                    <w:szCs w:val="22"/>
                    <w:lang w:eastAsia="lt-LT"/>
                  </w:rPr>
                  <w:t>sistemos suteikiamą</w:t>
                </w:r>
                <w:r>
                  <w:rPr>
                    <w:sz w:val="22"/>
                    <w:szCs w:val="22"/>
                  </w:rPr>
                  <w:t xml:space="preserve"> aplinkos </w:t>
                </w:r>
                <w:r>
                  <w:rPr>
                    <w:sz w:val="22"/>
                    <w:szCs w:val="22"/>
                    <w:lang w:eastAsia="lt-LT"/>
                  </w:rPr>
                  <w:t>apsaugą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w:t>
                </w:r>
              </w:p>
            </w:tc>
            <w:tc>
              <w:tcPr>
                <w:tcW w:w="13651" w:type="dxa"/>
                <w:gridSpan w:val="5"/>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Uždavinys. Didinti vandens tiekimo ir nuotekų tvarkymo paslaugų prieinamumą ir efektyvumą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 Skatinti vandentvarkos įmonių veiklos efektyvumą, didinti paslaugų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AM, VERT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sz w:val="22"/>
                    <w:szCs w:val="22"/>
                  </w:rPr>
                  <w:t xml:space="preserve">Kaupti ir analizuoti informaciją, reikalingą atlikti Lietuvos Respublikos </w:t>
                </w:r>
                <w:r>
                  <w:rPr>
                    <w:sz w:val="22"/>
                    <w:szCs w:val="22"/>
                    <w:lang w:eastAsia="lt-LT"/>
                  </w:rPr>
                  <w:t>geriamojo</w:t>
                </w:r>
                <w:r>
                  <w:rPr>
                    <w:sz w:val="22"/>
                    <w:szCs w:val="22"/>
                  </w:rPr>
                  <w:t xml:space="preserve"> vandens tiekimo ir nuotekų tvarkymo įstatymo 41 str</w:t>
                </w:r>
                <w:r>
                  <w:rPr>
                    <w:sz w:val="22"/>
                    <w:szCs w:val="22"/>
                    <w:lang w:eastAsia="lt-LT"/>
                  </w:rPr>
                  <w:t>aipsnyje</w:t>
                </w:r>
                <w:r>
                  <w:rPr>
                    <w:sz w:val="22"/>
                    <w:szCs w:val="22"/>
                  </w:rPr>
                  <w:t xml:space="preserve"> numatytą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reguliacinis </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prieigą prie geriamojo vandens, gerinti tiekiamo vandens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Įrenginių geriamajam vandeniui išgauti, ruošti, laikyti rekonstrukcija (kurie neužtikrina viešojo geriamojo vandens kokybės indikatorinių ir cheminių rodiklių gyvenvietėse, kuriose yra daugiau </w:t>
                </w:r>
                <w:r>
                  <w:rPr>
                    <w:sz w:val="22"/>
                    <w:szCs w:val="22"/>
                    <w:lang w:eastAsia="lt-LT"/>
                  </w:rPr>
                  <w:t>kaip</w:t>
                </w:r>
                <w:r>
                  <w:rPr>
                    <w:sz w:val="22"/>
                    <w:szCs w:val="22"/>
                  </w:rPr>
                  <w:t xml:space="preserve"> 2000 gyventojų)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Viešųjų geriamojo vandens tiekėjų ir (arba) savivaldybių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color w:val="000000"/>
                    <w:sz w:val="22"/>
                    <w:szCs w:val="22"/>
                  </w:rPr>
                  <w:t>Sudaryti galimybes miestų ir miestelių viešosiose erdvėse ir viešuosiuose pastatuose gauti geriamojo vandens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Vandens gerinimo įrenginių įrengimas vietovėse, kuriose geriamuoju vandeniu aprūpinama ne mažiau kaip 50 asmenų, deklaravusių gyvenamąją vietą toje gyvenamojoje vietovėje, ir viešasis geriamojo vandens tiekėjas turi licenciją tiekti geriamojo vandens tiekimo paslaugą toje gyvenamojoje vietovėje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Viešųjų geriamojo vandens tiekėjų lėšos ir (arba)  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5.2.3.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Gyventojų būstų prijungimas prie centralizuotų nuotekų tvarkymo sistemų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Viešieji geriamojo vandens tiekėjai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5.2.3.1.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Prijungti gyventojų būstus prie nutiestos ir viešiesiems geriamojo vandens tiekėjams ir nuotekų tvarkytojams priklausančios nuotekų surinkimo infrastruktūros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bl>
        <w:p>
          <w:pPr>
            <w:jc w:val="center"/>
            <w:rPr>
              <w:color w:val="000000"/>
              <w:szCs w:val="22"/>
            </w:rPr>
          </w:pPr>
        </w:p>
        <w:p>
          <w:pPr>
            <w:jc w:val="center"/>
            <w:rPr>
              <w:sz w:val="20"/>
            </w:rPr>
          </w:pP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f6b9917a6c11efabdbb4a1fc8b0b63">
            <w:r w:rsidRPr="00532B9F">
              <w:rPr>
                <w:rFonts w:ascii="Times New Roman" w:eastAsia="MS Mincho" w:hAnsi="Times New Roman"/>
                <w:sz w:val="20"/>
                <w:iCs/>
                <w:color w:val="0000FF" w:themeColor="hyperlink"/>
                <w:u w:val="single"/>
              </w:rPr>
              <w:t>D1-316/3D-680</w:t>
            </w:r>
          </w:fldSimple>
          <w:r>
            <w:rPr>
              <w:rFonts w:ascii="Times New Roman" w:eastAsia="MS Mincho" w:hAnsi="Times New Roman"/>
              <w:sz w:val="20"/>
              <w:iCs/>
            </w:rPr>
            <w:t>,
2024-09-24,
paskelbta TAR 2024-09-24, i. k. 2024-16605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 w:type="continuationNotice" w:id="1">
    <w:p>
      <w:pPr>
        <w:rPr>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type="continuationNotice" w:id="1">
    <w:p>
      <w:pPr>
        <w:rPr>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w:t>
    </w:r>
    <w:r>
      <w:rPr>
        <w:sz w:val="22"/>
        <w:szCs w:val="22"/>
      </w:rPr>
      <w:fldChar w:fldCharType="end"/>
    </w:r>
  </w:p>
  <w:p>
    <w:pPr>
      <w:tabs>
        <w:tab w:val="center" w:pos="4819"/>
        <w:tab w:val="right" w:pos="9638"/>
      </w:tabs>
      <w:rPr>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65"/>
  <w:hideSpellingErrors/>
  <w:hideGrammaticalErrors/>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53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59E8B4"/>
  <w15:docId w15:val="{F5428398-3198-4C71-A05F-BD7A30DF235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16802">
      <w:bodyDiv w:val="1"/>
      <w:marLeft w:val="0"/>
      <w:marRight w:val="0"/>
      <w:marTop w:val="0"/>
      <w:marBottom w:val="0"/>
      <w:divBdr>
        <w:top w:val="none" w:sz="0" w:space="0" w:color="auto"/>
        <w:left w:val="none" w:sz="0" w:space="0" w:color="auto"/>
        <w:bottom w:val="none" w:sz="0" w:space="0" w:color="auto"/>
        <w:right w:val="none" w:sz="0" w:space="0" w:color="auto"/>
      </w:divBdr>
    </w:div>
    <w:div w:id="79718839">
      <w:bodyDiv w:val="1"/>
      <w:marLeft w:val="0"/>
      <w:marRight w:val="0"/>
      <w:marTop w:val="0"/>
      <w:marBottom w:val="0"/>
      <w:divBdr>
        <w:top w:val="none" w:sz="0" w:space="0" w:color="auto"/>
        <w:left w:val="none" w:sz="0" w:space="0" w:color="auto"/>
        <w:bottom w:val="none" w:sz="0" w:space="0" w:color="auto"/>
        <w:right w:val="none" w:sz="0" w:space="0" w:color="auto"/>
      </w:divBdr>
    </w:div>
    <w:div w:id="252855932">
      <w:bodyDiv w:val="1"/>
      <w:marLeft w:val="0"/>
      <w:marRight w:val="0"/>
      <w:marTop w:val="0"/>
      <w:marBottom w:val="0"/>
      <w:divBdr>
        <w:top w:val="none" w:sz="0" w:space="0" w:color="auto"/>
        <w:left w:val="none" w:sz="0" w:space="0" w:color="auto"/>
        <w:bottom w:val="none" w:sz="0" w:space="0" w:color="auto"/>
        <w:right w:val="none" w:sz="0" w:space="0" w:color="auto"/>
      </w:divBdr>
    </w:div>
    <w:div w:id="324673497">
      <w:bodyDiv w:val="1"/>
      <w:marLeft w:val="0"/>
      <w:marRight w:val="0"/>
      <w:marTop w:val="0"/>
      <w:marBottom w:val="0"/>
      <w:divBdr>
        <w:top w:val="none" w:sz="0" w:space="0" w:color="auto"/>
        <w:left w:val="none" w:sz="0" w:space="0" w:color="auto"/>
        <w:bottom w:val="none" w:sz="0" w:space="0" w:color="auto"/>
        <w:right w:val="none" w:sz="0" w:space="0" w:color="auto"/>
      </w:divBdr>
    </w:div>
    <w:div w:id="453644852">
      <w:bodyDiv w:val="1"/>
      <w:marLeft w:val="0"/>
      <w:marRight w:val="0"/>
      <w:marTop w:val="0"/>
      <w:marBottom w:val="0"/>
      <w:divBdr>
        <w:top w:val="none" w:sz="0" w:space="0" w:color="auto"/>
        <w:left w:val="none" w:sz="0" w:space="0" w:color="auto"/>
        <w:bottom w:val="none" w:sz="0" w:space="0" w:color="auto"/>
        <w:right w:val="none" w:sz="0" w:space="0" w:color="auto"/>
      </w:divBdr>
    </w:div>
    <w:div w:id="686298705">
      <w:bodyDiv w:val="1"/>
      <w:marLeft w:val="0"/>
      <w:marRight w:val="0"/>
      <w:marTop w:val="0"/>
      <w:marBottom w:val="0"/>
      <w:divBdr>
        <w:top w:val="none" w:sz="0" w:space="0" w:color="auto"/>
        <w:left w:val="none" w:sz="0" w:space="0" w:color="auto"/>
        <w:bottom w:val="none" w:sz="0" w:space="0" w:color="auto"/>
        <w:right w:val="none" w:sz="0" w:space="0" w:color="auto"/>
      </w:divBdr>
    </w:div>
    <w:div w:id="714307310">
      <w:bodyDiv w:val="1"/>
      <w:marLeft w:val="0"/>
      <w:marRight w:val="0"/>
      <w:marTop w:val="0"/>
      <w:marBottom w:val="0"/>
      <w:divBdr>
        <w:top w:val="none" w:sz="0" w:space="0" w:color="auto"/>
        <w:left w:val="none" w:sz="0" w:space="0" w:color="auto"/>
        <w:bottom w:val="none" w:sz="0" w:space="0" w:color="auto"/>
        <w:right w:val="none" w:sz="0" w:space="0" w:color="auto"/>
      </w:divBdr>
      <w:divsChild>
        <w:div w:id="1711226865">
          <w:marLeft w:val="0"/>
          <w:marRight w:val="0"/>
          <w:marTop w:val="0"/>
          <w:marBottom w:val="0"/>
          <w:divBdr>
            <w:top w:val="none" w:sz="0" w:space="0" w:color="auto"/>
            <w:left w:val="none" w:sz="0" w:space="0" w:color="auto"/>
            <w:bottom w:val="none" w:sz="0" w:space="0" w:color="auto"/>
            <w:right w:val="none" w:sz="0" w:space="0" w:color="auto"/>
          </w:divBdr>
        </w:div>
      </w:divsChild>
    </w:div>
    <w:div w:id="804814047">
      <w:bodyDiv w:val="1"/>
      <w:marLeft w:val="0"/>
      <w:marRight w:val="0"/>
      <w:marTop w:val="0"/>
      <w:marBottom w:val="0"/>
      <w:divBdr>
        <w:top w:val="none" w:sz="0" w:space="0" w:color="auto"/>
        <w:left w:val="none" w:sz="0" w:space="0" w:color="auto"/>
        <w:bottom w:val="none" w:sz="0" w:space="0" w:color="auto"/>
        <w:right w:val="none" w:sz="0" w:space="0" w:color="auto"/>
      </w:divBdr>
    </w:div>
    <w:div w:id="1060206185">
      <w:bodyDiv w:val="1"/>
      <w:marLeft w:val="0"/>
      <w:marRight w:val="0"/>
      <w:marTop w:val="0"/>
      <w:marBottom w:val="0"/>
      <w:divBdr>
        <w:top w:val="none" w:sz="0" w:space="0" w:color="auto"/>
        <w:left w:val="none" w:sz="0" w:space="0" w:color="auto"/>
        <w:bottom w:val="none" w:sz="0" w:space="0" w:color="auto"/>
        <w:right w:val="none" w:sz="0" w:space="0" w:color="auto"/>
      </w:divBdr>
    </w:div>
    <w:div w:id="1093630730">
      <w:bodyDiv w:val="1"/>
      <w:marLeft w:val="0"/>
      <w:marRight w:val="0"/>
      <w:marTop w:val="0"/>
      <w:marBottom w:val="0"/>
      <w:divBdr>
        <w:top w:val="none" w:sz="0" w:space="0" w:color="auto"/>
        <w:left w:val="none" w:sz="0" w:space="0" w:color="auto"/>
        <w:bottom w:val="none" w:sz="0" w:space="0" w:color="auto"/>
        <w:right w:val="none" w:sz="0" w:space="0" w:color="auto"/>
      </w:divBdr>
    </w:div>
    <w:div w:id="1137378668">
      <w:bodyDiv w:val="1"/>
      <w:marLeft w:val="0"/>
      <w:marRight w:val="0"/>
      <w:marTop w:val="0"/>
      <w:marBottom w:val="0"/>
      <w:divBdr>
        <w:top w:val="none" w:sz="0" w:space="0" w:color="auto"/>
        <w:left w:val="none" w:sz="0" w:space="0" w:color="auto"/>
        <w:bottom w:val="none" w:sz="0" w:space="0" w:color="auto"/>
        <w:right w:val="none" w:sz="0" w:space="0" w:color="auto"/>
      </w:divBdr>
    </w:div>
    <w:div w:id="1543052075">
      <w:bodyDiv w:val="1"/>
      <w:marLeft w:val="0"/>
      <w:marRight w:val="0"/>
      <w:marTop w:val="0"/>
      <w:marBottom w:val="0"/>
      <w:divBdr>
        <w:top w:val="none" w:sz="0" w:space="0" w:color="auto"/>
        <w:left w:val="none" w:sz="0" w:space="0" w:color="auto"/>
        <w:bottom w:val="none" w:sz="0" w:space="0" w:color="auto"/>
        <w:right w:val="none" w:sz="0" w:space="0" w:color="auto"/>
      </w:divBdr>
    </w:div>
    <w:div w:id="1565412198">
      <w:bodyDiv w:val="1"/>
      <w:marLeft w:val="0"/>
      <w:marRight w:val="0"/>
      <w:marTop w:val="0"/>
      <w:marBottom w:val="0"/>
      <w:divBdr>
        <w:top w:val="none" w:sz="0" w:space="0" w:color="auto"/>
        <w:left w:val="none" w:sz="0" w:space="0" w:color="auto"/>
        <w:bottom w:val="none" w:sz="0" w:space="0" w:color="auto"/>
        <w:right w:val="none" w:sz="0" w:space="0" w:color="auto"/>
      </w:divBdr>
    </w:div>
    <w:div w:id="1572425750">
      <w:bodyDiv w:val="1"/>
      <w:marLeft w:val="0"/>
      <w:marRight w:val="0"/>
      <w:marTop w:val="0"/>
      <w:marBottom w:val="0"/>
      <w:divBdr>
        <w:top w:val="none" w:sz="0" w:space="0" w:color="auto"/>
        <w:left w:val="none" w:sz="0" w:space="0" w:color="auto"/>
        <w:bottom w:val="none" w:sz="0" w:space="0" w:color="auto"/>
        <w:right w:val="none" w:sz="0" w:space="0" w:color="auto"/>
      </w:divBdr>
    </w:div>
    <w:div w:id="1601721759">
      <w:bodyDiv w:val="1"/>
      <w:marLeft w:val="0"/>
      <w:marRight w:val="0"/>
      <w:marTop w:val="0"/>
      <w:marBottom w:val="0"/>
      <w:divBdr>
        <w:top w:val="none" w:sz="0" w:space="0" w:color="auto"/>
        <w:left w:val="none" w:sz="0" w:space="0" w:color="auto"/>
        <w:bottom w:val="none" w:sz="0" w:space="0" w:color="auto"/>
        <w:right w:val="none" w:sz="0" w:space="0" w:color="auto"/>
      </w:divBdr>
    </w:div>
    <w:div w:id="1608003733">
      <w:bodyDiv w:val="1"/>
      <w:marLeft w:val="0"/>
      <w:marRight w:val="0"/>
      <w:marTop w:val="0"/>
      <w:marBottom w:val="0"/>
      <w:divBdr>
        <w:top w:val="none" w:sz="0" w:space="0" w:color="auto"/>
        <w:left w:val="none" w:sz="0" w:space="0" w:color="auto"/>
        <w:bottom w:val="none" w:sz="0" w:space="0" w:color="auto"/>
        <w:right w:val="none" w:sz="0" w:space="0" w:color="auto"/>
      </w:divBdr>
    </w:div>
    <w:div w:id="1722753831">
      <w:bodyDiv w:val="1"/>
      <w:marLeft w:val="0"/>
      <w:marRight w:val="0"/>
      <w:marTop w:val="0"/>
      <w:marBottom w:val="0"/>
      <w:divBdr>
        <w:top w:val="none" w:sz="0" w:space="0" w:color="auto"/>
        <w:left w:val="none" w:sz="0" w:space="0" w:color="auto"/>
        <w:bottom w:val="none" w:sz="0" w:space="0" w:color="auto"/>
        <w:right w:val="none" w:sz="0" w:space="0" w:color="auto"/>
      </w:divBdr>
    </w:div>
    <w:div w:id="1760907880">
      <w:bodyDiv w:val="1"/>
      <w:marLeft w:val="0"/>
      <w:marRight w:val="0"/>
      <w:marTop w:val="0"/>
      <w:marBottom w:val="0"/>
      <w:divBdr>
        <w:top w:val="none" w:sz="0" w:space="0" w:color="auto"/>
        <w:left w:val="none" w:sz="0" w:space="0" w:color="auto"/>
        <w:bottom w:val="none" w:sz="0" w:space="0" w:color="auto"/>
        <w:right w:val="none" w:sz="0" w:space="0" w:color="auto"/>
      </w:divBdr>
    </w:div>
    <w:div w:id="1798186115">
      <w:bodyDiv w:val="1"/>
      <w:marLeft w:val="0"/>
      <w:marRight w:val="0"/>
      <w:marTop w:val="0"/>
      <w:marBottom w:val="0"/>
      <w:divBdr>
        <w:top w:val="none" w:sz="0" w:space="0" w:color="auto"/>
        <w:left w:val="none" w:sz="0" w:space="0" w:color="auto"/>
        <w:bottom w:val="none" w:sz="0" w:space="0" w:color="auto"/>
        <w:right w:val="none" w:sz="0" w:space="0" w:color="auto"/>
      </w:divBdr>
    </w:div>
    <w:div w:id="1861310483">
      <w:bodyDiv w:val="1"/>
      <w:marLeft w:val="0"/>
      <w:marRight w:val="0"/>
      <w:marTop w:val="0"/>
      <w:marBottom w:val="0"/>
      <w:divBdr>
        <w:top w:val="none" w:sz="0" w:space="0" w:color="auto"/>
        <w:left w:val="none" w:sz="0" w:space="0" w:color="auto"/>
        <w:bottom w:val="none" w:sz="0" w:space="0" w:color="auto"/>
        <w:right w:val="none" w:sz="0" w:space="0" w:color="auto"/>
      </w:divBdr>
    </w:div>
    <w:div w:id="1867670790">
      <w:bodyDiv w:val="1"/>
      <w:marLeft w:val="0"/>
      <w:marRight w:val="0"/>
      <w:marTop w:val="0"/>
      <w:marBottom w:val="0"/>
      <w:divBdr>
        <w:top w:val="none" w:sz="0" w:space="0" w:color="auto"/>
        <w:left w:val="none" w:sz="0" w:space="0" w:color="auto"/>
        <w:bottom w:val="none" w:sz="0" w:space="0" w:color="auto"/>
        <w:right w:val="none" w:sz="0" w:space="0" w:color="auto"/>
      </w:divBdr>
    </w:div>
    <w:div w:id="1888448374">
      <w:bodyDiv w:val="1"/>
      <w:marLeft w:val="0"/>
      <w:marRight w:val="0"/>
      <w:marTop w:val="0"/>
      <w:marBottom w:val="0"/>
      <w:divBdr>
        <w:top w:val="none" w:sz="0" w:space="0" w:color="auto"/>
        <w:left w:val="none" w:sz="0" w:space="0" w:color="auto"/>
        <w:bottom w:val="none" w:sz="0" w:space="0" w:color="auto"/>
        <w:right w:val="none" w:sz="0" w:space="0" w:color="auto"/>
      </w:divBdr>
    </w:div>
    <w:div w:id="200612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0.xml"/>
  <Relationship Id="rId2" Type="http://schemas.openxmlformats.org/officeDocument/2006/relationships/customXml" Target="../customXml/item2.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4.xml><?xml version="1.0" encoding="utf-8"?>
<Parts xmlns="http://lrs.lt/TAIS/DocParts">
  <Part Type="pagrindine" DocPartId="53b4039705a34ba2aea129ac1fe66bef" PartId="88984fb30dc1424a93ad2c057470706e">
    <Part Type="preambule" DocPartId="c188c2e027774a2fbbcc01883f5c8bb4" PartId="aec4ee9d3dcb47ca8c51ec8057fec87f"/>
    <Part Type="punktas" Nr="1" Abbr="1 p." DocPartId="4cf873d0c37641aea131c5c7f6deb290" PartId="6e5b157db4f9433fb36dc640367b5178"/>
    <Part Type="punktas" Nr="2" Abbr="2 p." DocPartId="9f35b7bf4ad940e99b9336902f853226" PartId="3256d6b051aa47c28d8baddf5a7ac442"/>
    <Part Type="punktas" Nr="3" Abbr="3 p." DocPartId="d2a61af76052490e824266e3689d9174" PartId="f968de3354874b04a6015e21a665c25a"/>
    <Part Type="signatura" DocPartId="98f1f7dc40fb410da3412e330554bca9" PartId="f7a1b0bdecb44474b23ce56a5a12257e"/>
  </Part>
  <Part Type="patvirtinta" Title="NACIONALINIO VANDENŲ SRITIES 2022–2027 METŲ PLANO ĮGYVENDINIMO VEIKSMŲ PLANAS" DocPartId="4b30146a11cd4d0798e2bdc7355b6c8a" PartId="f84988528641497aa671450687659558"/>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9AFDA87-8DC6-4EF5-8BDA-58E3AA478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5C7FE9-499A-4192-8ACC-797366E0BC9D}">
  <ds:schemaRefs>
    <ds:schemaRef ds:uri="http://schemas.microsoft.com/sharepoint/v3/contenttype/forms"/>
  </ds:schemaRefs>
</ds:datastoreItem>
</file>

<file path=customXml/itemProps3.xml><?xml version="1.0" encoding="utf-8"?>
<ds:datastoreItem xmlns:ds="http://schemas.openxmlformats.org/officeDocument/2006/customXml" ds:itemID="{C877E949-78C1-4E1A-A4C9-DD657B41263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F21A726-719C-4C98-B15A-7F4490D35145}">
  <ds:schemaRefs>
    <ds:schemaRef ds:uri="http://lrs.lt/TAIS/DocParts"/>
  </ds:schemaRefs>
</ds:datastoreItem>
</file>

<file path=customXml/itemProps5.xml><?xml version="1.0" encoding="utf-8"?>
<ds:datastoreItem xmlns:ds="http://schemas.openxmlformats.org/officeDocument/2006/customXml" ds:itemID="{5ECE423D-585B-4D66-AA04-5C91E32FAA92}">
  <ds:schemaRefs>
    <ds:schemaRef ds:uri="http://schemas.openxmlformats.org/officeDocument/2006/bibliography"/>
  </ds:schemaRefs>
</ds:datastoreItem>
</file>

<file path=customXml/itemProps6.xml><?xml version="1.0" encoding="utf-8"?>
<ds:datastoreItem xmlns:ds="http://schemas.openxmlformats.org/officeDocument/2006/customXml" ds:itemID="{4D4064AD-7F59-4000-91A4-ADD121AE8F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45</Pages>
  <Words>66051</Words>
  <Characters>37650</Characters>
  <Application>Microsoft Office Word</Application>
  <DocSecurity>0</DocSecurity>
  <Lines>313</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103495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2023-04-26T10:38:00Z</dcterms:created>
  <dc:creator>Justina Anglickytė</dc:creator>
  <lastModifiedBy>JUOSPONIENĖ Karolina</lastModifiedBy>
  <lastPrinted>2022-08-09T11:47:00Z</lastPrinted>
  <dcterms:modified xsi:type="dcterms:W3CDTF">2024-09-25T11:16:00Z</dcterms:modified>
  <revision>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MediaServiceImageTags">
    <vt:lpwstr xmlns:vt="http://schemas.openxmlformats.org/officeDocument/2006/docPropsVTypes"/>
  </property>
</Properties>
</file>