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8984fb30dc1424a93ad2c057470706e"/>
        <w:lock w:val="sdtLocked"/>
        <w:richText/>
      </w:sdtPr>
      <w:sdtContent>
        <w:p>
          <w:pPr>
            <w:jc w:val="both"/>
            <w:rPr>
              <w:rFonts w:ascii="Times New Roman" w:hAnsi="Times New Roman"/>
            </w:rPr>
          </w:pPr>
          <w:r>
            <w:rPr>
              <w:rFonts w:ascii="Times New Roman" w:hAnsi="Times New Roman"/>
              <w:b/>
              <w:i/>
            </w:rPr>
            <w:t>Suvestinė redakcija nuo 2025-05-30 iki 2025-12-11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2023-04-26, i. k. 2023-08010</w:t>
          </w:r>
        </w:p>
        <w:p>
          <w:pPr>
            <w:jc w:val="both"/>
            <w:rPr>
              <w:rFonts w:ascii="Times New Roman" w:hAnsi="Times New Roman"/>
              <w:sz w:val="20"/>
            </w:rPr>
          </w:pPr>
        </w:p>
        <w:p>
          <w:pPr>
            <w:tabs>
              <w:tab w:val="center" w:pos="4819"/>
              <w:tab w:val="right" w:pos="9638"/>
            </w:tabs>
            <w:jc w:val="center"/>
            <w:rPr>
              <w:szCs w:val="22"/>
            </w:rPr>
          </w:pPr>
        </w:p>
        <w:p>
          <w:pPr>
            <w:suppressAutoHyphens/>
            <w:jc w:val="center"/>
            <w:rPr>
              <w:rFonts w:ascii="Arial" w:hAnsi="Arial"/>
              <w:spacing w:val="8"/>
              <w:lang w:eastAsia="zh-CN"/>
            </w:rPr>
          </w:pPr>
          <w:r>
            <w:rPr>
              <w:lang w:eastAsia="ko-KR"/>
            </w:rPr>
            <w:drawing>
              <wp:inline distT="0" distB="0" distL="0" distR="0">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8"/>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pPr>
            <w:suppressAutoHyphens/>
            <w:jc w:val="center"/>
            <w:rPr>
              <w:b/>
              <w:bCs/>
              <w:lang w:eastAsia="zh-CN"/>
            </w:rPr>
          </w:pPr>
          <w:r>
            <w:rPr>
              <w:b/>
              <w:bCs/>
              <w:lang w:eastAsia="zh-CN"/>
            </w:rPr>
            <w:t>LIETUVOS RESPUBLIKOS APLINKOS MINISTRAS</w:t>
          </w:r>
        </w:p>
        <w:p>
          <w:pPr>
            <w:suppressAutoHyphens/>
            <w:jc w:val="center"/>
            <w:rPr>
              <w:b/>
              <w:bCs/>
              <w:lang w:eastAsia="zh-CN"/>
            </w:rPr>
          </w:pPr>
        </w:p>
        <w:p>
          <w:pPr>
            <w:spacing w:line="276" w:lineRule="auto"/>
            <w:jc w:val="center"/>
            <w:rPr>
              <w:b/>
              <w:bCs/>
              <w:szCs w:val="22"/>
            </w:rPr>
          </w:pPr>
          <w:r>
            <w:rPr>
              <w:b/>
              <w:bCs/>
              <w:szCs w:val="24"/>
              <w:lang w:eastAsia="x-none"/>
            </w:rPr>
            <w:t>LIETUVOS RESPUBLIKOS ŽEMĖS ŪKIO MINISTRAS</w:t>
          </w:r>
        </w:p>
        <w:p>
          <w:pPr>
            <w:jc w:val="center"/>
            <w:textAlignment w:val="baseline"/>
            <w:rPr>
              <w:b/>
              <w:bCs/>
              <w:szCs w:val="24"/>
              <w:lang w:val="en-GB" w:eastAsia="en-GB"/>
            </w:rPr>
          </w:pPr>
        </w:p>
        <w:p>
          <w:pPr>
            <w:jc w:val="center"/>
            <w:textAlignment w:val="baseline"/>
            <w:rPr>
              <w:b/>
              <w:bCs/>
              <w:szCs w:val="24"/>
              <w:lang w:val="en-GB" w:eastAsia="en-GB"/>
            </w:rPr>
          </w:pPr>
          <w:r>
            <w:rPr>
              <w:b/>
              <w:bCs/>
              <w:szCs w:val="24"/>
              <w:lang w:val="en-GB" w:eastAsia="en-GB"/>
            </w:rPr>
            <w:t>ĮSAKYMAS</w:t>
          </w:r>
        </w:p>
        <w:p>
          <w:pPr>
            <w:jc w:val="center"/>
            <w:rPr>
              <w:rFonts w:ascii="Segoe UI" w:hAnsi="Segoe UI" w:cs="Segoe UI"/>
              <w:sz w:val="18"/>
              <w:szCs w:val="18"/>
            </w:rPr>
          </w:pPr>
          <w:r>
            <w:rPr>
              <w:b/>
              <w:szCs w:val="24"/>
              <w:lang w:eastAsia="lt-LT"/>
            </w:rPr>
            <w:t>DĖL NACIONALINIO VANDENŲ SRITIES 20</w:t>
          </w:r>
          <w:r>
            <w:rPr>
              <w:b/>
              <w:szCs w:val="24"/>
              <w:lang w:val="en-US" w:eastAsia="lt-LT"/>
            </w:rPr>
            <w:t>22</w:t>
          </w:r>
          <w:r>
            <w:rPr>
              <w:b/>
              <w:szCs w:val="24"/>
              <w:lang w:eastAsia="lt-LT"/>
            </w:rPr>
            <w:t xml:space="preserve">–2027 METŲ PLANO </w:t>
          </w:r>
          <w:r>
            <w:rPr>
              <w:b/>
              <w:szCs w:val="22"/>
              <w:lang w:eastAsia="lt-LT"/>
            </w:rPr>
            <w:t xml:space="preserve">ĮGYVENDINIMO VEIKSMŲ </w:t>
          </w:r>
          <w:r>
            <w:rPr>
              <w:b/>
              <w:bCs/>
              <w:lang w:eastAsia="zh-CN"/>
            </w:rPr>
            <w:t>PLANO</w:t>
          </w:r>
          <w:r>
            <w:rPr>
              <w:b/>
              <w:szCs w:val="22"/>
              <w:lang w:eastAsia="lt-LT"/>
            </w:rPr>
            <w:t xml:space="preserve"> PATVIRTINIMO</w:t>
          </w:r>
        </w:p>
        <w:p>
          <w:pPr>
            <w:jc w:val="center"/>
            <w:textAlignment w:val="baseline"/>
            <w:rPr>
              <w:szCs w:val="24"/>
              <w:lang w:eastAsia="en-GB"/>
            </w:rPr>
          </w:pPr>
        </w:p>
        <w:p>
          <w:pPr>
            <w:suppressAutoHyphens/>
            <w:jc w:val="center"/>
            <w:rPr>
              <w:szCs w:val="24"/>
            </w:rPr>
          </w:pPr>
          <w:r>
            <w:rPr>
              <w:szCs w:val="24"/>
            </w:rPr>
            <w:t xml:space="preserve">2023 m. balandžio 26 d. Nr. </w:t>
          </w:r>
          <w:r>
            <w:rPr>
              <w:bCs/>
              <w:color w:val="333333"/>
              <w:szCs w:val="24"/>
              <w:shd w:val="clear" w:color="auto" w:fill="FFFFFF"/>
            </w:rPr>
            <w:t>D1-122/3D-286</w:t>
          </w:r>
        </w:p>
        <w:p>
          <w:pPr>
            <w:jc w:val="center"/>
            <w:textAlignment w:val="baseline"/>
            <w:rPr>
              <w:szCs w:val="24"/>
              <w:lang w:eastAsia="en-GB"/>
            </w:rPr>
          </w:pPr>
          <w:r>
            <w:rPr>
              <w:szCs w:val="24"/>
              <w:lang w:eastAsia="en-GB"/>
            </w:rPr>
            <w:t>Vilnius</w:t>
          </w:r>
        </w:p>
        <w:p>
          <w:pPr>
            <w:jc w:val="center"/>
            <w:textAlignment w:val="baseline"/>
            <w:rPr>
              <w:szCs w:val="24"/>
              <w:lang w:eastAsia="en-GB"/>
            </w:rPr>
          </w:pPr>
        </w:p>
        <w:p>
          <w:pPr>
            <w:jc w:val="center"/>
            <w:textAlignment w:val="baseline"/>
            <w:rPr>
              <w:szCs w:val="24"/>
              <w:lang w:eastAsia="en-GB"/>
            </w:rPr>
          </w:pPr>
        </w:p>
        <w:sdt>
          <w:sdtPr>
            <w:alias w:val="preambule"/>
            <w:tag w:val="part_aec4ee9d3dcb47ca8c51ec8057fec87f"/>
            <w:lock w:val="sdtLocked"/>
            <w:richText/>
          </w:sdtPr>
          <w:sdtContent>
            <w:p>
              <w:pPr>
                <w:spacing w:line="276" w:lineRule="auto"/>
                <w:ind w:firstLine="567"/>
                <w:jc w:val="both"/>
                <w:rPr>
                  <w:szCs w:val="24"/>
                  <w:lang w:eastAsia="lt-LT"/>
                </w:rPr>
              </w:pPr>
              <w:r>
                <w:rPr>
                  <w:bCs/>
                  <w:szCs w:val="24"/>
                  <w:lang w:eastAsia="lt-LT"/>
                </w:rPr>
                <w:t xml:space="preserve">Įgyvendindami </w:t>
              </w:r>
              <w:r>
                <w:rPr>
                  <w:color w:val="000000"/>
                  <w:szCs w:val="22"/>
                </w:rPr>
                <w:t>Nacionalinio vandenų srities 2022–2027 metų plano, </w:t>
              </w:r>
              <w:r>
                <w:rPr>
                  <w:szCs w:val="24"/>
                  <w:lang w:eastAsia="lt-LT"/>
                </w:rPr>
                <w:t xml:space="preserve">patvirtinto </w:t>
              </w:r>
              <w:r>
                <w:rPr>
                  <w:szCs w:val="22"/>
                </w:rPr>
                <w:t xml:space="preserve">Lietuvos Respublikos Vyriausybės 2022 m. gruodžio 21 d. nutarimu Nr. </w:t>
              </w:r>
              <w:r>
                <w:rPr>
                  <w:color w:val="000000"/>
                  <w:szCs w:val="22"/>
                </w:rPr>
                <w:t>1292 „Dėl Nacionalinio vandenų srities 2022–2027 metų plano patvirtinimo“, 91, 92 ir 93 punktus</w:t>
              </w:r>
              <w:r>
                <w:rPr>
                  <w:szCs w:val="24"/>
                  <w:lang w:eastAsia="lt-LT"/>
                </w:rPr>
                <w:t xml:space="preserve">, </w:t>
              </w:r>
              <w:r>
                <w:rPr>
                  <w:szCs w:val="22"/>
                </w:rPr>
                <w:t>1991</w:t>
              </w:r>
              <w:r>
                <w:rPr>
                  <w:color w:val="000000"/>
                  <w:szCs w:val="22"/>
                </w:rPr>
                <w:t> m. gruodžio 12 d. Tarybos</w:t>
              </w:r>
              <w:r>
                <w:rPr>
                  <w:b/>
                  <w:bCs/>
                  <w:color w:val="000000"/>
                  <w:szCs w:val="22"/>
                </w:rPr>
                <w:t> </w:t>
              </w:r>
              <w:r>
                <w:rPr>
                  <w:color w:val="000000"/>
                  <w:szCs w:val="22"/>
                </w:rPr>
                <w:t>direktyvos 91/676/EEB dėl vandenų apsaugos nuo taršos nitratais iš žemės ūkio šaltinių 5 straipsnio 7 dalį, 2000 m. spalio 23 d. Europos Parlamento ir Tarybos direktyvos 2000/60/EB, nustatančios Bendrijos veiksmų vandens politikos srityje pagrindus, su paskutiniais pakeitimais, padarytais 2014 m. spalio 30 d. Komisijos direktyva 2014/101/ES, 11 straipsnio 1 dalį, 2007 m. spalio 23 d. Europos Parlamento ir Tarybos direktyvos 2007/60/EB dėl potvynių rizikos įvertinimo ir valdymo bei 2008 m. birželio 17 d. Europos Parlamento ir Tarybos direktyvos 2008/56/EB, nustatančios Bendrijos veiksmų jūrų aplinkos politikos srityje pagrindus su pakeitimais (Jūrų strategijos pagrindų direktyva), padarytais 2017 m. gegužės  17 d. Komisijos direktyva (ES) 2017/845, 13 straipsnio 1 dalį</w:t>
              </w:r>
              <w:r>
                <w:rPr>
                  <w:szCs w:val="24"/>
                  <w:lang w:eastAsia="lt-LT"/>
                </w:rPr>
                <w:t xml:space="preserve">: </w:t>
              </w:r>
            </w:p>
          </w:sdtContent>
        </w:sdt>
        <w:sdt>
          <w:sdtPr>
            <w:alias w:val="1 p."/>
            <w:tag w:val="part_6e5b157db4f9433fb36dc640367b5178"/>
            <w:lock w:val="sdtLocked"/>
            <w:richText/>
          </w:sdtPr>
          <w:sdtContent>
            <w:p>
              <w:pPr>
                <w:spacing w:line="276" w:lineRule="auto"/>
                <w:ind w:firstLine="567"/>
                <w:jc w:val="both"/>
                <w:rPr>
                  <w:szCs w:val="24"/>
                  <w:lang w:eastAsia="lt-LT"/>
                </w:rPr>
              </w:pPr>
              <w:sdt>
                <w:sdtPr>
                  <w:alias w:val="Numeris"/>
                  <w:tag w:val="nr_6e5b157db4f9433fb36dc640367b5178"/>
                  <w:lock w:val="sdtLocked"/>
                  <w:richText/>
                </w:sdtPr>
                <w:sdtContent>
                  <w:r>
                    <w:rPr>
                      <w:szCs w:val="24"/>
                      <w:lang w:eastAsia="lt-LT"/>
                    </w:rPr>
                    <w:t>1</w:t>
                  </w:r>
                </w:sdtContent>
              </w:sdt>
              <w:r>
                <w:rPr>
                  <w:szCs w:val="24"/>
                  <w:lang w:eastAsia="lt-LT"/>
                </w:rPr>
                <w:t>.</w:t>
                <w:tab/>
              </w:r>
              <w:r>
                <w:rPr>
                  <w:spacing w:val="20"/>
                  <w:szCs w:val="24"/>
                  <w:lang w:eastAsia="lt-LT"/>
                </w:rPr>
                <w:t>T v i r t i n a m e</w:t>
              </w:r>
              <w:r>
                <w:rPr>
                  <w:szCs w:val="24"/>
                  <w:lang w:eastAsia="lt-LT"/>
                </w:rPr>
                <w:t xml:space="preserve"> Nacionalinio vandenų </w:t>
              </w:r>
              <w:r>
                <w:rPr>
                  <w:color w:val="000000"/>
                  <w:szCs w:val="22"/>
                </w:rPr>
                <w:t>srities 2022–2027 metų plano</w:t>
              </w:r>
              <w:r>
                <w:rPr>
                  <w:szCs w:val="24"/>
                  <w:lang w:eastAsia="lt-LT"/>
                </w:rPr>
                <w:t xml:space="preserve"> įgyvendinimo veiksmų planą (pridedama).</w:t>
              </w:r>
            </w:p>
          </w:sdtContent>
        </w:sdt>
        <w:sdt>
          <w:sdtPr>
            <w:alias w:val="2 p."/>
            <w:tag w:val="part_3256d6b051aa47c28d8baddf5a7ac442"/>
            <w:lock w:val="sdtLocked"/>
            <w:richText/>
          </w:sdtPr>
          <w:sdtContent>
            <w:p>
              <w:pPr>
                <w:spacing w:line="276" w:lineRule="auto"/>
                <w:ind w:firstLine="567"/>
                <w:jc w:val="both"/>
                <w:rPr>
                  <w:rFonts w:ascii="Calibri" w:hAnsi="Calibri" w:cs="Courier New"/>
                  <w:sz w:val="22"/>
                  <w:szCs w:val="22"/>
                  <w:lang w:eastAsia="lt-LT"/>
                </w:rPr>
              </w:pPr>
              <w:sdt>
                <w:sdtPr>
                  <w:alias w:val="Numeris"/>
                  <w:tag w:val="nr_3256d6b051aa47c28d8baddf5a7ac442"/>
                  <w:lock w:val="sdtLocked"/>
                  <w:richText/>
                </w:sdtPr>
                <w:sdtContent>
                  <w:r>
                    <w:rPr>
                      <w:szCs w:val="24"/>
                      <w:lang w:eastAsia="lt-LT"/>
                    </w:rPr>
                    <w:t>2</w:t>
                  </w:r>
                </w:sdtContent>
              </w:sdt>
              <w:r>
                <w:rPr>
                  <w:szCs w:val="24"/>
                  <w:lang w:eastAsia="lt-LT"/>
                </w:rPr>
                <w:t>.</w:t>
                <w:tab/>
              </w:r>
              <w:r>
                <w:rPr>
                  <w:spacing w:val="20"/>
                  <w:szCs w:val="24"/>
                  <w:lang w:eastAsia="lt-LT"/>
                </w:rPr>
                <w:t>N u s t a t o m e, kad</w:t>
              </w:r>
              <w:r>
                <w:rPr>
                  <w:szCs w:val="24"/>
                  <w:lang w:eastAsia="lt-LT"/>
                </w:rPr>
                <w:t xml:space="preserve"> Nacionalinio vandenų </w:t>
              </w:r>
              <w:r>
                <w:rPr>
                  <w:color w:val="000000"/>
                  <w:szCs w:val="22"/>
                </w:rPr>
                <w:t>srities 2022–2027 metų plano</w:t>
              </w:r>
              <w:r>
                <w:rPr>
                  <w:szCs w:val="24"/>
                  <w:lang w:eastAsia="lt-LT"/>
                </w:rPr>
                <w:t xml:space="preserve"> įgyvendinimo veiksmų planą įgyvendinančios institucijos kiekvienais metais iki vasario 20 d. Lietuvos Respublikos aplinkos ministerijai pateikia informaciją apie veiksmų įgyvendinimą.</w:t>
              </w:r>
            </w:p>
          </w:sdtContent>
        </w:sdt>
        <w:sdt>
          <w:sdtPr>
            <w:alias w:val="3 p."/>
            <w:tag w:val="part_f968de3354874b04a6015e21a665c25a"/>
            <w:lock w:val="sdtLocked"/>
            <w:richText/>
          </w:sdtPr>
          <w:sdtContent>
            <w:p>
              <w:pPr>
                <w:spacing w:line="276" w:lineRule="auto"/>
                <w:ind w:firstLine="567"/>
                <w:jc w:val="both"/>
                <w:rPr>
                  <w:szCs w:val="24"/>
                  <w:lang w:eastAsia="lt-LT"/>
                </w:rPr>
              </w:pPr>
              <w:sdt>
                <w:sdtPr>
                  <w:alias w:val="Numeris"/>
                  <w:tag w:val="nr_f968de3354874b04a6015e21a665c25a"/>
                  <w:lock w:val="sdtLocked"/>
                  <w:richText/>
                </w:sdtPr>
                <w:sdtContent>
                  <w:r>
                    <w:rPr>
                      <w:szCs w:val="24"/>
                      <w:lang w:eastAsia="lt-LT"/>
                    </w:rPr>
                    <w:t>3</w:t>
                  </w:r>
                </w:sdtContent>
              </w:sdt>
              <w:r>
                <w:rPr>
                  <w:szCs w:val="24"/>
                  <w:lang w:eastAsia="lt-LT"/>
                </w:rPr>
                <w:t>.</w:t>
                <w:tab/>
              </w:r>
              <w:r>
                <w:rPr>
                  <w:spacing w:val="20"/>
                  <w:szCs w:val="24"/>
                  <w:lang w:eastAsia="lt-LT"/>
                </w:rPr>
                <w:t>S i ū l o m e</w:t>
              </w:r>
              <w:r>
                <w:rPr>
                  <w:szCs w:val="24"/>
                  <w:lang w:eastAsia="lt-LT"/>
                </w:rPr>
                <w:t xml:space="preserve"> įgyvendinant Nacionalinio vandenų srities 2022–2027 metų plano įgyvendinimo veiksmų planą dalyvauti savivaldybėms, geriamojo vandens tiekėjams ir nuotekų tvarkytojams, kitiems juridiniams ir fiziniams asmenims ir kasmet iki vasario 20 d. Aplinkos ministerijai pateikti informaciją apie veiksmų įgyvendinimą.</w:t>
              </w:r>
            </w:p>
            <w:p>
              <w:pPr>
                <w:spacing w:line="276" w:lineRule="auto"/>
                <w:jc w:val="both"/>
                <w:rPr>
                  <w:szCs w:val="24"/>
                  <w:lang w:eastAsia="lt-LT"/>
                </w:rPr>
              </w:pPr>
            </w:p>
            <w:p>
              <w:pPr>
                <w:spacing w:line="276" w:lineRule="auto"/>
                <w:jc w:val="both"/>
                <w:rPr>
                  <w:szCs w:val="24"/>
                  <w:lang w:eastAsia="lt-LT"/>
                </w:rPr>
              </w:pPr>
            </w:p>
            <w:p>
              <w:pPr>
                <w:spacing w:line="276" w:lineRule="auto"/>
                <w:jc w:val="both"/>
                <w:rPr>
                  <w:szCs w:val="24"/>
                  <w:lang w:eastAsia="lt-LT"/>
                </w:rPr>
              </w:pPr>
            </w:p>
          </w:sdtContent>
        </w:sdt>
        <w:sdt>
          <w:sdtPr>
            <w:alias w:val="signatura"/>
            <w:tag w:val="part_f7a1b0bdecb44474b23ce56a5a12257e"/>
            <w:lock w:val="sdtLocked"/>
            <w:richText/>
          </w:sdtPr>
          <w:sdtContent>
            <w:p>
              <w:pPr>
                <w:tabs>
                  <w:tab w:val="left" w:pos="7513"/>
                </w:tabs>
                <w:spacing w:line="276" w:lineRule="auto"/>
                <w:ind w:right="34"/>
                <w:rPr>
                  <w:szCs w:val="24"/>
                  <w:lang w:eastAsia="lt-LT"/>
                </w:rPr>
              </w:pPr>
              <w:r>
                <w:rPr>
                  <w:szCs w:val="22"/>
                  <w:lang w:eastAsia="lt-LT"/>
                </w:rPr>
                <w:t>Aplinkos ministras</w:t>
                <w:tab/>
                <w:t>Simonas Gentvilas</w:t>
              </w:r>
            </w:p>
            <w:p>
              <w:pPr>
                <w:rPr>
                  <w:sz w:val="18"/>
                  <w:szCs w:val="18"/>
                </w:rPr>
              </w:pPr>
            </w:p>
            <w:p>
              <w:pPr>
                <w:tabs>
                  <w:tab w:val="left" w:pos="7513"/>
                </w:tabs>
                <w:spacing w:line="276" w:lineRule="auto"/>
                <w:ind w:right="34"/>
                <w:rPr>
                  <w:sz w:val="18"/>
                  <w:szCs w:val="18"/>
                </w:rPr>
              </w:pPr>
              <w:r>
                <w:rPr>
                  <w:szCs w:val="22"/>
                  <w:lang w:eastAsia="lt-LT"/>
                </w:rPr>
                <w:t xml:space="preserve">Žemės ūkio ministras </w:t>
                <w:tab/>
                <w:t>Kęstutis Navickas</w:t>
              </w:r>
            </w:p>
            <w:p>
              <w:pPr>
                <w:tabs>
                  <w:tab w:val="center" w:pos="4819"/>
                  <w:tab w:val="right" w:pos="9638"/>
                </w:tabs>
                <w:rPr>
                  <w:szCs w:val="22"/>
                </w:rPr>
              </w:pPr>
            </w:p>
          </w:sdtContent>
        </w:sdt>
      </w:sdtContent>
    </w:sdt>
    <w:sdt>
      <w:sdtPr>
        <w:alias w:val="patvirtinta"/>
        <w:tag w:val="part_f84988528641497aa671450687659558"/>
        <w:lock w:val="sdtLocked"/>
        <w:richText/>
      </w:sdtPr>
      <w:sdtContent>
        <w:p>
          <w:pPr>
            <w:ind w:firstLine="9498"/>
            <w:sectPr>
              <w:headerReference w:type="even" r:id="rId19"/>
              <w:headerReference w:type="default" r:id="rId20"/>
              <w:footerReference w:type="even" r:id="rId21"/>
              <w:footerReference w:type="default" r:id="rId22"/>
              <w:headerReference w:type="first" r:id="rId23"/>
              <w:footerReference w:type="first" r:id="rId24"/>
              <w:pgSz w:w="11906" w:h="16838"/>
              <w:pgMar w:top="567" w:right="849" w:bottom="1701" w:left="1418" w:header="567" w:footer="567" w:gutter="0"/>
              <w:pgNumType w:start="1"/>
              <w:cols w:space="1296"/>
              <w:titlePg/>
              <w:docGrid w:linePitch="360"/>
            </w:sectPr>
          </w:pPr>
        </w:p>
        <w:p>
          <w:pPr>
            <w:ind w:firstLine="9498"/>
            <w:rPr>
              <w:szCs w:val="24"/>
            </w:rPr>
          </w:pPr>
          <w:r>
            <w:rPr>
              <w:szCs w:val="24"/>
            </w:rPr>
            <w:t>PATVIRTINTA</w:t>
          </w:r>
        </w:p>
        <w:p>
          <w:pPr>
            <w:ind w:firstLine="9498"/>
            <w:rPr>
              <w:szCs w:val="24"/>
            </w:rPr>
          </w:pPr>
          <w:r>
            <w:rPr>
              <w:szCs w:val="24"/>
            </w:rPr>
            <w:t>Lietuvos Respublikos aplinkos ministro ir Lietuvos</w:t>
          </w:r>
        </w:p>
        <w:p>
          <w:pPr>
            <w:ind w:firstLine="9498"/>
            <w:rPr>
              <w:szCs w:val="24"/>
            </w:rPr>
          </w:pPr>
          <w:r>
            <w:rPr>
              <w:szCs w:val="24"/>
            </w:rPr>
            <w:t>Respublikos žemės ūkio ministro</w:t>
          </w:r>
        </w:p>
        <w:p>
          <w:pPr>
            <w:ind w:firstLine="9498"/>
            <w:rPr>
              <w:szCs w:val="24"/>
            </w:rPr>
          </w:pPr>
          <w:r>
            <w:rPr>
              <w:szCs w:val="24"/>
            </w:rPr>
            <w:t xml:space="preserve">2023 m. balandžio 26 d. įsakymu </w:t>
          </w:r>
        </w:p>
        <w:p>
          <w:pPr>
            <w:ind w:firstLine="9498"/>
            <w:rPr>
              <w:szCs w:val="24"/>
            </w:rPr>
          </w:pPr>
          <w:r>
            <w:rPr>
              <w:szCs w:val="24"/>
            </w:rPr>
            <w:t xml:space="preserve">Nr. </w:t>
          </w:r>
          <w:r>
            <w:rPr>
              <w:bCs/>
              <w:color w:val="333333"/>
              <w:szCs w:val="24"/>
              <w:shd w:val="clear" w:color="auto" w:fill="FFFFFF"/>
            </w:rPr>
            <w:t>D1-122/3D-286</w:t>
          </w:r>
        </w:p>
        <w:p>
          <w:pPr>
            <w:rPr>
              <w:szCs w:val="22"/>
            </w:rPr>
          </w:pPr>
        </w:p>
        <w:p>
          <w:pPr>
            <w:jc w:val="center"/>
            <w:rPr>
              <w:b/>
              <w:szCs w:val="22"/>
            </w:rPr>
          </w:pPr>
          <w:sdt>
            <w:sdtPr>
              <w:alias w:val="Pavadinimas"/>
              <w:tag w:val="title_f84988528641497aa671450687659558"/>
              <w:lock w:val="sdtLocked"/>
              <w:richText/>
            </w:sdtPr>
            <w:sdtContent>
              <w:r>
                <w:rPr>
                  <w:b/>
                  <w:szCs w:val="22"/>
                </w:rPr>
                <w:t xml:space="preserve">NACIONALINIO VANDENŲ SRITIES 2022–2027 METŲ PLANO ĮGYVENDINIMO </w:t>
              </w:r>
              <w:r>
                <w:rPr>
                  <w:b/>
                  <w:bCs/>
                  <w:szCs w:val="24"/>
                  <w:lang w:eastAsia="lt-LT"/>
                </w:rPr>
                <w:t>VEIKSMŲ PLANAS</w:t>
              </w:r>
            </w:sdtContent>
          </w:sdt>
        </w:p>
        <w:tbl>
          <w:tblPr>
            <w:tblW w:w="14451" w:type="dxa"/>
            <w:tblBorders>
              <w:top w:val="outset" w:sz="6" w:space="0" w:color="auto"/>
              <w:left w:val="outset" w:sz="6" w:space="0" w:color="auto"/>
              <w:bottom w:val="outset" w:sz="6" w:space="0" w:color="auto"/>
              <w:right w:val="outset" w:sz="6" w:space="0" w:color="auto"/>
            </w:tblBorders>
            <w:tblCellMar>
              <w:left w:w="57" w:type="dxa"/>
              <w:right w:w="57" w:type="dxa"/>
            </w:tblCellMar>
            <w:tblLook w:val="04A0" w:firstRow="1" w:lastRow="0" w:firstColumn="1" w:lastColumn="0" w:noHBand="0" w:noVBand="1"/>
          </w:tblPr>
          <w:tblGrid>
            <w:gridCol w:w="800"/>
            <w:gridCol w:w="4154"/>
            <w:gridCol w:w="1559"/>
            <w:gridCol w:w="2835"/>
            <w:gridCol w:w="3260"/>
            <w:gridCol w:w="1843"/>
          </w:tblGrid>
          <w:tr>
            <w:trPr>
              <w:trHeight w:val="810"/>
            </w:trPr>
            <w:tc>
              <w:tcPr>
                <w:tcW w:w="0" w:type="auto"/>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 xml:space="preserve">Eil. Nr. </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 xml:space="preserve">Tikslo, uždavinio, </w:t>
                </w:r>
                <w:r>
                  <w:rPr>
                    <w:sz w:val="22"/>
                    <w:szCs w:val="22"/>
                    <w:lang w:eastAsia="lt-LT"/>
                  </w:rPr>
                  <w:t>priemonės</w:t>
                </w:r>
                <w:r>
                  <w:rPr>
                    <w:b/>
                    <w:bCs/>
                    <w:sz w:val="22"/>
                    <w:szCs w:val="22"/>
                    <w:lang w:eastAsia="lt-LT"/>
                  </w:rPr>
                  <w:t xml:space="preserve">, </w:t>
                </w:r>
                <w:r>
                  <w:rPr>
                    <w:sz w:val="22"/>
                    <w:szCs w:val="22"/>
                  </w:rPr>
                  <w:t xml:space="preserve">veiksmo pavadinimas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Įvykdymo terminas (metai) </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Vykdytojai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Finansavimo šaltinis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Veiksmo tipas </w:t>
                </w:r>
              </w:p>
            </w:tc>
          </w:tr>
          <w:tr>
            <w:trPr>
              <w:trHeight w:val="221"/>
            </w:trPr>
            <w:tc>
              <w:tcPr>
                <w:tcW w:w="0" w:type="auto"/>
                <w:tcBorders>
                  <w:top w:val="single" w:sz="6"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1.</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Tikslas. Gerinti paviršinių ir požeminių vandens telkinių būklę</w:t>
                </w:r>
              </w:p>
            </w:tc>
          </w:tr>
          <w:tr>
            <w:trPr>
              <w:trHeight w:val="27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1.1.</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Uždavinys. Sumažinti vandens telkinių taršą iš žemės ūkio taršos šaltinių</w:t>
                </w:r>
              </w:p>
            </w:tc>
          </w:tr>
          <w:tr>
            <w:trPr>
              <w:trHeight w:val="752"/>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b/>
                    <w:sz w:val="22"/>
                    <w:szCs w:val="22"/>
                  </w:rPr>
                  <w:t xml:space="preserve">Priemonė. </w:t>
                </w:r>
                <w:r>
                  <w:rPr>
                    <w:b/>
                    <w:bCs/>
                    <w:sz w:val="22"/>
                    <w:szCs w:val="22"/>
                  </w:rPr>
                  <w:t>Siekti tvaraus mineralinių ir organinių trąšų naudojimo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spacing w:line="276" w:lineRule="auto"/>
                  <w:rPr>
                    <w:sz w:val="22"/>
                    <w:szCs w:val="22"/>
                  </w:rPr>
                </w:pPr>
                <w:r>
                  <w:rPr>
                    <w:sz w:val="22"/>
                    <w:szCs w:val="22"/>
                  </w:rPr>
                  <w:t>Lietuvos Respublikos žemės ūkio ministerija (toliau – ŽŪM), Lietuvos Respublikos aplinkos ministerija (toliau –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rPr>
              <w:trHeight w:val="752"/>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1.1.1.1.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Patikslinti tręšiamųjų produktų naudojimo reikalavimus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529"/>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1.1.1.2.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Patvirtinti tręšimo planų rengimo gaires, kuriomis vadovaujantis būtų apskaičiuojamas optimalus trąšų kiekis skirtingiems pasėliams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752"/>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1.1.1.3.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Patvirtinti reikalavimą teikti informaciją į Paraiškų priėmimo informacinę sistemą apie ūkyje sunaudotas trąšas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752"/>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1.1.1.4.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Įvertinti 1992 m. Helsinkio konvencijos dėl Baltijos jūros baseino jūrinės aplinkos apsaugos III priedo „Taršos iš sausumos taršos šaltinių prevencijai taikomi kriterijai ir priemonės“ II dalyje „Taršos iš žemės ūkio šaltinių prevencija“ atnaujintų reikalavimų poveikį žemės ūkio sektoriui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Valstybės</w:t>
                </w:r>
                <w:r>
                  <w:rPr>
                    <w:sz w:val="22"/>
                    <w:szCs w:val="22"/>
                  </w:rPr>
                  <w:t xml:space="preserve">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rPr>
              <w:trHeight w:val="523"/>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u w:val="single"/>
                  </w:rPr>
                </w:pPr>
                <w:r>
                  <w:rPr>
                    <w:sz w:val="22"/>
                    <w:szCs w:val="22"/>
                  </w:rPr>
                  <w:t>1.1.1.5.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Įvertinti ir prireikus parengti maisto medžiagų balanso skaičiavimo gaires vadovaujantis Lietuvoje atliktais moksliniais tyrimais, Baltijos jūros aplinkos apsaugos komisijos (toliau – HELCOM) ir ES rekomendacijomis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rPr>
                  <w:t>Valstybės</w:t>
                </w:r>
                <w:r>
                  <w:rPr>
                    <w:sz w:val="22"/>
                    <w:szCs w:val="22"/>
                  </w:rPr>
                  <w:t xml:space="preserve"> biudžetas</w:t>
                </w:r>
                <w:r>
                  <w:rPr>
                    <w:sz w:val="22"/>
                    <w:szCs w:val="22"/>
                    <w:lang w:eastAsia="lt-LT"/>
                  </w:rPr>
                  <w:t xml:space="preserve"> ir (arba) Europos LIFE strateginio integruoto projekto (toliau – LIFE SIP) lėšos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mišrus</w:t>
                </w:r>
              </w:p>
            </w:tc>
          </w:tr>
          <w:tr>
            <w:trPr>
              <w:trHeight w:val="523"/>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highlight w:val="red"/>
                  </w:rPr>
                </w:pPr>
                <w:r>
                  <w:rPr>
                    <w:sz w:val="22"/>
                    <w:szCs w:val="22"/>
                  </w:rPr>
                  <w:t>1.1.1.6.</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 xml:space="preserve">Remiantis įvairių šalių patirtimi, įvertinti finansines priemones tvariam maistinių medžiagų naudojimui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ŽŪM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Valstybės</w:t>
                </w:r>
                <w:r>
                  <w:rPr>
                    <w:sz w:val="22"/>
                    <w:szCs w:val="22"/>
                  </w:rPr>
                  <w:t xml:space="preserve">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mišrus</w:t>
                </w:r>
              </w:p>
            </w:tc>
          </w:tr>
          <w:tr>
            <w:trPr>
              <w:trHeight w:val="633"/>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1.1.2.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w:t>
                </w:r>
                <w:r>
                  <w:rPr>
                    <w:sz w:val="22"/>
                    <w:szCs w:val="22"/>
                  </w:rPr>
                  <w:t xml:space="preserve">. </w:t>
                </w:r>
                <w:r>
                  <w:rPr>
                    <w:b/>
                    <w:sz w:val="22"/>
                    <w:szCs w:val="22"/>
                  </w:rPr>
                  <w:t>Įvertinti Lietuvos žemės ūkio ir kaimo plėtros 2023–2027 metų strateginiame plane nustatytų vandensaugos priemonių efektyvumą ir teikti pasiūlymus jų tobulinimui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firstLine="57"/>
                  <w:textAlignment w:val="baseline"/>
                  <w:rPr>
                    <w:sz w:val="22"/>
                    <w:szCs w:val="22"/>
                  </w:rPr>
                </w:pPr>
              </w:p>
            </w:tc>
          </w:tr>
          <w:tr>
            <w:trPr>
              <w:trHeight w:val="633"/>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b/>
                    <w:sz w:val="22"/>
                    <w:szCs w:val="22"/>
                  </w:rPr>
                </w:pPr>
                <w:r>
                  <w:rPr>
                    <w:sz w:val="22"/>
                    <w:szCs w:val="22"/>
                  </w:rPr>
                  <w:t>Rizikos dėl žemės ūkio poveikio vandens telkinių baseinuose įvertinti Lietuvos žemės ūkio ir kaimo plėtros 2023–2027 metų strateginiame plane (toliau – SP) nustatytų vandensaugos priemonių (ariamosios žemės šaltuoju laikotarpiu uždengimą tarpiniais augalais arba ražienų palikimą, taip pat bearimės žemdirbystės taikymą ir kt.) poveikį vandens telkinių kokybei, pateikti išvadas ir siūlymus dėl SP priemonių tobulinimo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2024–2025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Aplinkos apsaugos agentūra (toliau – AAA), AM, ŽŪM, VĮ Žemės ūkio duomenų centras </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Valstybės biudžetas ir (arba) Europos žemės ūkio garantijų fondas</w:t>
                </w:r>
                <w:r>
                  <w:rPr>
                    <w:color w:val="000000"/>
                    <w:sz w:val="22"/>
                    <w:szCs w:val="22"/>
                    <w:lang w:eastAsia="lt-LT"/>
                  </w:rPr>
                  <w:t xml:space="preserve">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analitinis / 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1.1.2.2.</w:t>
                </w:r>
              </w:p>
            </w:tc>
            <w:tc>
              <w:tcPr>
                <w:tcW w:w="4154" w:type="dxa"/>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highlight w:val="yellow"/>
                  </w:rPr>
                </w:pPr>
                <w:r>
                  <w:rPr>
                    <w:sz w:val="22"/>
                    <w:szCs w:val="22"/>
                  </w:rPr>
                  <w:t>Įvertinti SP nustatytus reikalavimus dėl daugiamečių natūralių pievų išsaugojimo ir (ar) plėtros, pateikti išvadas ir siūlymus dėl pievų išlaikymo ir didinimo paviršinių vandens telkinių apsaugos zonose ir (ar) pakrančių apsaugos juostose</w:t>
                </w:r>
              </w:p>
            </w:tc>
            <w:tc>
              <w:tcPr>
                <w:tcW w:w="1559"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2024–2025</w:t>
                </w:r>
              </w:p>
            </w:tc>
            <w:tc>
              <w:tcPr>
                <w:tcW w:w="2835"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ŽŪM</w:t>
                </w:r>
              </w:p>
            </w:tc>
            <w:tc>
              <w:tcPr>
                <w:tcW w:w="3260" w:type="dxa"/>
                <w:tcBorders>
                  <w:top w:val="single" w:sz="6" w:space="0" w:color="auto"/>
                  <w:left w:val="single" w:sz="6"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1.1.3.</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Priemonė. Siekti tvaraus augalų apsaugos produktų naudojimo</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w:t>
                </w:r>
              </w:p>
            </w:tc>
            <w:tc>
              <w:tcPr>
                <w:tcW w:w="32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1.1.3.1.</w:t>
                </w:r>
              </w:p>
            </w:tc>
            <w:tc>
              <w:tcPr>
                <w:tcW w:w="4154" w:type="dxa"/>
                <w:tcBorders>
                  <w:top w:val="single" w:sz="4"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Tobulinti elektroninę augalų apsaugos produktų panaudojimo žemės ūkyje duomenų surinkimo sistemą</w:t>
                </w:r>
              </w:p>
            </w:tc>
            <w:tc>
              <w:tcPr>
                <w:tcW w:w="1559"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2025–2027</w:t>
                </w:r>
              </w:p>
            </w:tc>
            <w:tc>
              <w:tcPr>
                <w:tcW w:w="2835"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w:t>
                </w:r>
              </w:p>
            </w:tc>
            <w:tc>
              <w:tcPr>
                <w:tcW w:w="3260" w:type="dxa"/>
                <w:tcBorders>
                  <w:top w:val="single" w:sz="4"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Nustatyti pareigą augalų apsaugos produktų profesionaliesiems naudotojams teikti informaciją apie panaudotus augalų apsaugos produktus elektronine forma</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1116"/>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b/>
                    <w:sz w:val="22"/>
                    <w:szCs w:val="22"/>
                    <w:highlight w:val="yellow"/>
                  </w:rPr>
                </w:pPr>
                <w:r>
                  <w:rPr>
                    <w:b/>
                    <w:sz w:val="22"/>
                    <w:szCs w:val="22"/>
                  </w:rPr>
                  <w:t>Priemonė. Skatinti žemės ūkio taršos pernašų prevenciją į vandens telkinius ir stiprinti jos valdymą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rPr>
                  <w:t xml:space="preserve">Europos ekonomikos gaivinimo ir atsparumo didinimo fondas ir (arba) </w:t>
                </w:r>
                <w:r>
                  <w:rPr>
                    <w:color w:val="000000"/>
                    <w:sz w:val="22"/>
                    <w:szCs w:val="22"/>
                    <w:lang w:eastAsia="lt-LT"/>
                  </w:rPr>
                  <w:t>valstybės</w:t>
                </w:r>
                <w:r>
                  <w:rPr>
                    <w:color w:val="000000"/>
                    <w:sz w:val="22"/>
                    <w:szCs w:val="22"/>
                  </w:rPr>
                  <w:t xml:space="preserve">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lang w:val="en-US"/>
                  </w:rPr>
                  <w:t>1.1.4.1</w:t>
                </w:r>
                <w:r>
                  <w:rPr>
                    <w:sz w:val="22"/>
                    <w:szCs w:val="22"/>
                    <w:lang w:val="en-US" w:eastAsia="lt-LT"/>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Sukurti paramos priemones, leisiančias ūkininkams įrengti žemės ūkio naudmenose šlapynes, atkurti ir palaikyti pelkes , įrengti reguliuojamo drenažo sistemas, kalkių filtravimo griovius, nuosėdų gaudykles, dviejų lygių griovius ir kt. (prioritetai nurodyti 3 priede)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 xml:space="preserve">Europos ekonomikos gaivinimo ir atsparumo didinimo fondas ir (arba) Europos žemės ūkio fondas kaimo plėtrai ir (arba) valstybės biudžetas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b/>
                    <w:sz w:val="22"/>
                    <w:szCs w:val="22"/>
                  </w:rPr>
                  <w:t>Priemonė.</w:t>
                </w:r>
                <w:r>
                  <w:rPr>
                    <w:sz w:val="22"/>
                    <w:szCs w:val="22"/>
                  </w:rPr>
                  <w:t xml:space="preserve"> </w:t>
                </w:r>
                <w:r>
                  <w:rPr>
                    <w:b/>
                    <w:color w:val="000000"/>
                    <w:sz w:val="22"/>
                    <w:szCs w:val="22"/>
                    <w:shd w:val="clear" w:color="auto" w:fill="FFFFFF"/>
                  </w:rPr>
                  <w:t>Parengti priemones žemės ūkio paskirties dirvožemiui apsaugoti ir valdyti</w:t>
                </w:r>
                <w:r>
                  <w:rPr>
                    <w:color w:val="000000"/>
                    <w:sz w:val="22"/>
                    <w:szCs w:val="22"/>
                    <w:shd w:val="clear" w:color="auto" w:fill="FFFFFF"/>
                  </w:rPr>
                  <w:t xml:space="preserv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1.1.5.1.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rPr>
                </w:pPr>
                <w:r>
                  <w:rPr>
                    <w:sz w:val="22"/>
                    <w:szCs w:val="22"/>
                  </w:rPr>
                  <w:t>Vykdyti žemės ūkio paskirties dirvožemio tyrimus, atnaujinti ir pildyti dirvožemio rodiklių duomenų bazę</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mišrus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1.1.5.2.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 xml:space="preserve">Sukurti žemės ūkio paskirties dirvožemio apsaugos ir valdymo teisinį reglamentavimą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1.1.5.3.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shd w:val="clear" w:color="auto" w:fill="FFFFFF"/>
                  </w:rPr>
                  <w:t>Skelbti informaciją visuomenei apie šalies regionų dirvožemio rodiklių kokybės pokyčius </w:t>
                </w:r>
                <w:r>
                  <w:rPr>
                    <w:sz w:val="22"/>
                    <w:szCs w:val="22"/>
                  </w:rPr>
                  <w:t xml:space="preserv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mišrus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1.1.6.</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b/>
                    <w:sz w:val="22"/>
                    <w:szCs w:val="22"/>
                  </w:rPr>
                </w:pPr>
                <w:r>
                  <w:rPr>
                    <w:b/>
                    <w:sz w:val="22"/>
                    <w:szCs w:val="22"/>
                  </w:rPr>
                  <w:t>Priemonė.</w:t>
                </w:r>
                <w:r>
                  <w:rPr>
                    <w:sz w:val="22"/>
                    <w:szCs w:val="22"/>
                  </w:rPr>
                  <w:t xml:space="preserve"> </w:t>
                </w:r>
                <w:r>
                  <w:rPr>
                    <w:b/>
                    <w:sz w:val="22"/>
                    <w:szCs w:val="22"/>
                  </w:rPr>
                  <w:t>Vykdyti švietimo priemones žemės ūkio subjektams vandenų apsaugos klausimais žemės ūkio veikloje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Valstybės biudžetas ir (arba) Europos žemės ūkio fondas kaimo plėtrai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rPr>
                  <w:t>1.1.6.</w:t>
                </w:r>
                <w:r>
                  <w:rPr>
                    <w:sz w:val="22"/>
                    <w:szCs w:val="22"/>
                    <w:lang w:val="en-US"/>
                  </w:rPr>
                  <w:t>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Koordinuoti mokymo ir konsultavimo paslaugų teikimą žemės ūkio veiklos subjektams aplinkosaugos klausimais, įskaitant ir vandenų apsaugos klausimus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Europos žemės ūkio fondas kaimo plėtrai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1.1.6.</w:t>
                </w:r>
                <w:r>
                  <w:rPr>
                    <w:sz w:val="22"/>
                    <w:szCs w:val="22"/>
                    <w:lang w:val="en-US"/>
                  </w:rPr>
                  <w:t xml:space="preserve">2. </w:t>
                </w:r>
              </w:p>
            </w:tc>
            <w:tc>
              <w:tcPr>
                <w:tcW w:w="4154" w:type="dxa"/>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Organizuoti mokymus, seminarus apie tręšimo planavimą</w:t>
                </w:r>
              </w:p>
            </w:tc>
            <w:tc>
              <w:tcPr>
                <w:tcW w:w="1559"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Lietuvos agrarinių ir miškų mokslų centras</w:t>
                </w:r>
              </w:p>
            </w:tc>
            <w:tc>
              <w:tcPr>
                <w:tcW w:w="3260" w:type="dxa"/>
                <w:tcBorders>
                  <w:top w:val="single" w:sz="6" w:space="0" w:color="auto"/>
                  <w:left w:val="single" w:sz="6"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1.1.6.3.</w:t>
                </w:r>
              </w:p>
            </w:tc>
            <w:tc>
              <w:tcPr>
                <w:tcW w:w="4154" w:type="dxa"/>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Skatinti gerąją praktiką ir keitimąsi informacija tarp žemės ūkio subjektų apie taikomas pažangias, aplinkai palankias technologijas  </w:t>
                </w:r>
              </w:p>
            </w:tc>
            <w:tc>
              <w:tcPr>
                <w:tcW w:w="1559"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bdr w:val="none" w:sz="0" w:space="0" w:color="auto" w:frame="1"/>
                  </w:rPr>
                  <w:t>2023–2027</w:t>
                </w:r>
              </w:p>
            </w:tc>
            <w:tc>
              <w:tcPr>
                <w:tcW w:w="2835"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bdr w:val="none" w:sz="0" w:space="0" w:color="auto" w:frame="1"/>
                  </w:rPr>
                  <w:t>ŽŪM</w:t>
                </w:r>
              </w:p>
            </w:tc>
            <w:tc>
              <w:tcPr>
                <w:tcW w:w="3260" w:type="dxa"/>
                <w:tcBorders>
                  <w:top w:val="single" w:sz="6" w:space="0" w:color="auto"/>
                  <w:left w:val="single" w:sz="6"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lang w:eastAsia="lt-LT"/>
                  </w:rPr>
                </w:pPr>
                <w:r>
                  <w:rPr>
                    <w:sz w:val="22"/>
                    <w:szCs w:val="22"/>
                    <w:bdr w:val="none" w:sz="0" w:space="0" w:color="auto" w:frame="1"/>
                  </w:rPr>
                  <w:t>Europos žemės ūkio fondas kaimo plėtrai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komunikacinis</w:t>
                </w:r>
              </w:p>
            </w:tc>
          </w:tr>
          <w:tr>
            <w:trPr>
              <w:trHeight w:val="398"/>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1.2.</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b/>
                    <w:sz w:val="22"/>
                    <w:szCs w:val="22"/>
                  </w:rPr>
                </w:pPr>
                <w:r>
                  <w:rPr>
                    <w:b/>
                    <w:sz w:val="22"/>
                    <w:szCs w:val="22"/>
                  </w:rPr>
                  <w:t>Uždavinys. Sumažinti neigiamą hidromorfologinių pokyčių poveikį paviršiniams vandens telkiniams</w:t>
                </w:r>
              </w:p>
              <w:p>
                <w:pPr>
                  <w:rPr>
                    <w:sz w:val="18"/>
                    <w:szCs w:val="18"/>
                  </w:rPr>
                </w:pPr>
              </w:p>
              <w:p>
                <w:pPr>
                  <w:textAlignment w:val="baseline"/>
                  <w:rPr>
                    <w:sz w:val="22"/>
                    <w:szCs w:val="22"/>
                  </w:rPr>
                </w:pPr>
              </w:p>
            </w:tc>
          </w:tr>
          <w:tr>
            <w:trPr>
              <w:trHeight w:val="87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b/>
                    <w:sz w:val="22"/>
                    <w:szCs w:val="22"/>
                  </w:rPr>
                  <w:t>Priemonė. Sumažinti hidroelektrinių ir kitų hidrotechnikos statinių ar įrenginių neigiamą poveikį vandens telkiniams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w:t>
                </w:r>
                <w:r>
                  <w:rPr>
                    <w:sz w:val="22"/>
                    <w:szCs w:val="22"/>
                    <w:lang w:val="en-US"/>
                  </w:rPr>
                  <w:t>2–</w:t>
                </w:r>
                <w:r>
                  <w:rPr>
                    <w:sz w:val="22"/>
                    <w:szCs w:val="22"/>
                  </w:rPr>
                  <w:t>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savivaldybės, Lietuvos Respublikos energetikos ministerija (toliau – EM), Valstybinė energetikos reguliavimo taryba (toliau – VERT)</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savivaldybių biudžetai ir (arba) Europos regioninės plėtros fondo ar Sanglaudos fondo lėšos (toliau –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rPr>
              <w:trHeight w:val="87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lang w:val="en-US"/>
                  </w:rPr>
                </w:pPr>
                <w:r>
                  <w:rPr>
                    <w:sz w:val="22"/>
                    <w:szCs w:val="22"/>
                  </w:rPr>
                  <w:t>1.2.1.</w:t>
                </w:r>
                <w:r>
                  <w:rPr>
                    <w:sz w:val="22"/>
                    <w:szCs w:val="22"/>
                    <w:lang w:val="en-US"/>
                  </w:rPr>
                  <w:t>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Pakeisti Tvenkinių naudojimo ir priežiūros tipines taisykles (LAND 2-95), patvirtintas Lietuvos Respublikos aplinkos ministro 1995 m. kovo 7 d. įsakymu Nr. 33 „Dėl Tvenkinių naudojimo ir priežiūros tipinių taisyklių (LAND 2-95) patvirtinimo“, patikslinti tvenkinių ir patvenktų ežerų  darbo režimo ir žuvų apsaugos ir migracijos sąlygų užtikrinimo nuostatas (</w:t>
                </w:r>
                <w:r>
                  <w:rPr>
                    <w:color w:val="000000"/>
                    <w:sz w:val="22"/>
                    <w:szCs w:val="22"/>
                  </w:rPr>
                  <w:t>hidroelektrinių darbas nekeistų natūralaus upės nuotėkio režimo, užtvankose ar greta jų būtų įrengtos žuvų pralaidos)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87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1.2.1.2.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Pakeisti Lietuvos Respublikos aplinkos ministro 2005 m. rugsėjo 22 d. įsakymą Nr. D1-458 „Dėl statybos techninio reglamento STR 2.0519:2005 „Inžinerinė hidrologija. Pagrindiniai skaičiavimų reikalavimai“ patvirtinimo“ nustatant reikalavimus vandens debito kreivių sudarymui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87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1.2.1.3.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Įgyvendinti priemones, patvirtintas Lietuvos Respublikos aplinkos ministro 2021 m. lapkričio 12 d. įsakyme Nr. D1-664 „Dėl Veiksmų plano upių vientisumui atkurti ir hidroelektrinių neigiamam poveikiui mažinti“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mišrus</w:t>
                </w:r>
              </w:p>
            </w:tc>
          </w:tr>
          <w:tr>
            <w:trPr>
              <w:trHeight w:val="87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1.2.1.4.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Parengti hidroenergetikos veiklos nutraukimo tvarką, kurioje būtų numatyta atsakomybė dėl hidroelektrinės veiklos nutraukimo lėšų planavimo užtvankai išmontuoti ar pertvarkyti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EM, VERT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659"/>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1.2.1.5.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Pakeisti Lietuvos Respublikos aplinkos ministro 2002 m. liepos 10 d. įsakymą Nr. 362 „Dėl vandens telkinių suskirstymo“ atnaujinant upių, priskiriamų lašišiniams vandens telkiniams ir upių, galimų priskirti lašišiniams vandens telkiniams, sąrašus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analitinis / reguliacinis </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1.2.2.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yellow"/>
                  </w:rPr>
                </w:pPr>
                <w:r>
                  <w:rPr>
                    <w:b/>
                    <w:sz w:val="22"/>
                    <w:szCs w:val="22"/>
                  </w:rPr>
                  <w:t>Priemonė. Vykdyti upių vagų renatūralizaciją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w:t>
                </w:r>
                <w:r>
                  <w:rPr>
                    <w:sz w:val="22"/>
                    <w:szCs w:val="22"/>
                    <w:lang w:val="en-US"/>
                  </w:rPr>
                  <w:t>–</w:t>
                </w:r>
                <w:r>
                  <w:rPr>
                    <w:sz w:val="22"/>
                    <w:szCs w:val="22"/>
                  </w:rPr>
                  <w:t>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savivaldybių biudžetai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rPr>
              <w:trHeight w:val="413"/>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Atlikti tyrimus vandens telkinių hidromorfologinėms sąlygoms patikslinti (1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AAA,  Žuvininkystės tarnyba prie </w:t>
                </w:r>
                <w:r>
                  <w:rPr>
                    <w:sz w:val="22"/>
                    <w:szCs w:val="22"/>
                    <w:lang w:eastAsia="lt-LT"/>
                  </w:rPr>
                  <w:t>Lietuvos Respublikos</w:t>
                </w:r>
                <w:r>
                  <w:rPr>
                    <w:sz w:val="22"/>
                    <w:szCs w:val="22"/>
                  </w:rPr>
                  <w:t xml:space="preserve"> Žemės ūkio ministerijos (toliau – ŽT), Valstybinė saugomų teritorijų tarnyba (toliau –VSTT), Aplinkos projektų valdymo agentūra (toliau –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r>
                  <w:rPr>
                    <w:sz w:val="22"/>
                    <w:szCs w:val="22"/>
                    <w:lang w:eastAsia="lt-LT"/>
                  </w:rPr>
                  <w:t xml:space="preserve">ir (arba) </w:t>
                </w: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rPr>
              <w:trHeight w:val="88"/>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highlight w:val="green"/>
                  </w:rPr>
                </w:pPr>
                <w:r>
                  <w:rPr>
                    <w:sz w:val="22"/>
                    <w:szCs w:val="22"/>
                  </w:rPr>
                  <w:t>1.2.2.2.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Įvertinti 2021–2023 m. renatūralizuotų upių ruožų pokyčius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highlight w:val="green"/>
                  </w:rPr>
                </w:pPr>
                <w:r>
                  <w:rPr>
                    <w:sz w:val="22"/>
                    <w:szCs w:val="22"/>
                  </w:rPr>
                  <w:t>1.2.2.3.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Vykdyti renatūralizuotų upių ruožuose pasodintų želdinių priežiūrą ir sunykusių atsodinimą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Savivaldybių biudžetai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1.2.2.4.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Sureguliuotuose vandens telkiniuose taikyti upių vagų renatūralizavimo priemones (1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APVA, savivaldybės, AAA, VSTT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2021–2027 m. ES lėšos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1.2.2.5.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Peržiūrėti teisės aktus ir įvertinti galimybes sudaryti sąlygas patekti per privačios nuosavybės žemę prie valstybinių vandens telkinių, kai juose reikia atlikti vandens telkinio būklės tyrimus ir įgyvendinti būklės gerinimo priemones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highlight w:val="yellow"/>
                  </w:rPr>
                </w:pPr>
                <w:r>
                  <w:rPr>
                    <w:b/>
                    <w:sz w:val="22"/>
                    <w:szCs w:val="22"/>
                  </w:rPr>
                  <w:t>Priemonė. Pagerinti žuvų migracijos sąlygas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ŽŪM, Lietuvos Respublikos susisiekimo ministerija (toliau – SM)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savivaldybių biudžetai ir (arba) 2021–2027 m. ES lėšos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Atkurti upių vagų vientisumą (2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APVA, hidrotechninių statinių savininkai, valdytojai ar naudotojai, savivaldybės, AAA, Žemaitijos saugomų teritorijų direkcija, Aukštaitijos saugomų teritorijų direkcija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2021–2027 m. ES lėšos ir (arba) valstybės biudžetas ir (arba) savivaldybių biudžetas ir (arba) </w:t>
                </w:r>
                <w:r>
                  <w:rPr>
                    <w:sz w:val="22"/>
                    <w:szCs w:val="22"/>
                    <w:lang w:eastAsia="lt-LT"/>
                  </w:rPr>
                  <w:t>hidrotechninių statinių savininkų, valdytojų ar naudotojų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Įrengti efektyvias žuvų apsaugos nuo sužalojimo priemones (mechanines, akustines, šviesos, elektrines ir kt.) (2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ŽT, hidrotechninių statinių savininkai, valdytojai ar naudotojai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Savivaldybių</w:t>
                </w:r>
                <w:r>
                  <w:rPr>
                    <w:sz w:val="22"/>
                    <w:szCs w:val="22"/>
                  </w:rPr>
                  <w:t xml:space="preserve"> biudžetai ir (arba) </w:t>
                </w:r>
                <w:r>
                  <w:rPr>
                    <w:sz w:val="22"/>
                    <w:szCs w:val="22"/>
                    <w:lang w:eastAsia="lt-LT"/>
                  </w:rPr>
                  <w:t xml:space="preserve">hidrotechninių statinių savininkų, valdytojų ar naudotojų lėšos ir (arba) </w:t>
                </w: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1.2.3.3.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Įvertinti žuvų pralaidų efektyvumą; prireikus įvertinti galimybes ir neefektyvias žuvų perlaidas pertvarkyti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yellow"/>
                  </w:rPr>
                </w:pPr>
                <w:r>
                  <w:rPr>
                    <w:sz w:val="22"/>
                    <w:szCs w:val="22"/>
                  </w:rPr>
                  <w:t>ŽT, hidrotechninių statinių savininkai, valdytojai ar naudotojai, AM,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hidrotechninių statinių savininkų, valdytojų ar naudotojų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1.2.3.4.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rPr>
                </w:pPr>
                <w:r>
                  <w:rPr>
                    <w:sz w:val="22"/>
                    <w:szCs w:val="22"/>
                  </w:rPr>
                  <w:t>Įrengti įrenginius matuoti tranzitinį debitą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Lietuvos hidrometeorologijos tarnyba prie Aplinkos ministerijos (toliau – LHMT)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LIFE SIP lėšos ir (arba) valstybės biudžetas ir (arba) savivaldybių biudžetai ir (arba) 2021–2027 m. ES lėšos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rPr>
              <w:trHeight w:val="659"/>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1.2.3.</w:t>
                </w:r>
                <w:r>
                  <w:rPr>
                    <w:sz w:val="22"/>
                    <w:szCs w:val="22"/>
                    <w:lang w:eastAsia="lt-LT"/>
                  </w:rPr>
                  <w:t>5</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 xml:space="preserve">Pakeisti teisės aktus, reglamentuojančius kelių įrengimą, siekiant užtikrinti upių vientisumą ir sudaryti galimybes įrengti žuvų pralaidas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reguliacinis </w:t>
                </w:r>
              </w:p>
            </w:tc>
          </w:tr>
          <w:tr>
            <w:trPr>
              <w:trHeight w:val="260"/>
            </w:trPr>
            <w:tc>
              <w:tcPr>
                <w:tcW w:w="0" w:type="auto"/>
                <w:tcBorders>
                  <w:top w:val="single" w:sz="4"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1.3.</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b/>
                    <w:sz w:val="22"/>
                    <w:szCs w:val="22"/>
                  </w:rPr>
                  <w:t>Uždavinys</w:t>
                </w:r>
                <w:r>
                  <w:rPr>
                    <w:sz w:val="22"/>
                    <w:szCs w:val="22"/>
                  </w:rPr>
                  <w:t>.</w:t>
                </w:r>
                <w:r>
                  <w:rPr>
                    <w:b/>
                    <w:sz w:val="22"/>
                    <w:szCs w:val="22"/>
                  </w:rPr>
                  <w:t xml:space="preserve"> Pagerinti ežerų, tvenkinių, upių, tarpinių ir priekrantės vandens telkinių būklę</w:t>
                </w:r>
              </w:p>
            </w:tc>
          </w:tr>
          <w:tr>
            <w:trPr>
              <w:trHeight w:val="382"/>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 xml:space="preserve">Priemonė. Vykdyti paviršinių vandens telkinių vandens kokybės gerinimo priemones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lang w:eastAsia="lt-LT"/>
                  </w:rPr>
                  <w:t xml:space="preserve">AM, </w:t>
                </w: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p>
            </w:tc>
          </w:tr>
          <w:tr>
            <w:trPr>
              <w:trHeight w:val="1414"/>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Atkurti ežerų hidrologines sąlygas pertvarkant jų ištakų slenksčius (Biržulio ir Stervo ežerai)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Telšių r. sav., </w:t>
                </w:r>
                <w:r>
                  <w:rPr>
                    <w:sz w:val="22"/>
                    <w:szCs w:val="22"/>
                    <w:lang w:eastAsia="lt-LT"/>
                  </w:rPr>
                  <w:t>Žemaitijos saugomų teritorijų</w:t>
                </w:r>
                <w:r>
                  <w:rPr>
                    <w:sz w:val="22"/>
                    <w:szCs w:val="22"/>
                  </w:rPr>
                  <w:t xml:space="preserve"> direkcija</w:t>
                </w:r>
                <w:r>
                  <w:rPr>
                    <w:sz w:val="22"/>
                    <w:szCs w:val="22"/>
                    <w:lang w:eastAsia="lt-LT"/>
                  </w:rPr>
                  <w:t xml:space="preserve"> (Varnių regioninis parkas), APVA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2021–2027 m. ES lėšos ir (arba) valstybės biudžetas ir (arba) savivaldybės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672"/>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1.3.1.2.</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Atkurti nusausintą Obelių ežero apypelkį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Rokiškio r. sav., APVA,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2021–2027 m. ES lėšos ir (arba) valstybės biudžetas ir (arba) savivaldybės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1.3.1.3.</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rPr>
                </w:pPr>
                <w:r>
                  <w:rPr>
                    <w:sz w:val="22"/>
                    <w:szCs w:val="22"/>
                  </w:rPr>
                  <w:t>Geriau valyti nuotekas šiuose išleistuvuose: AB Vilniaus degtinė (Obelių spirito varykla), Dusetų aglomeracija, Nacionalinės teismų administracijos mokymo centras, Plinkšių aglomeracija, Salos gatvės bendruomenė, Simno aglomeracija, UAB „Lausna“, Veisiejų aglomeracija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 ūkio subjektai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Ūkio subjektų lėšos ir (arba) savivaldybių biudžetai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 reguliacinis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1.3.1.4.</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Gamybines nuotekas ne vėliau kaip iki 2025 m. išleisti ne arčiau kaip 500 m nuo ežero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2023–2025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Ūkio subjektai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Ūkio subjekto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reguliacinis / investicinis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1.3.1.5.</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rPr>
                </w:pPr>
                <w:r>
                  <w:rPr>
                    <w:sz w:val="22"/>
                    <w:szCs w:val="22"/>
                  </w:rPr>
                  <w:t>Įdiegti lietaus nuotekų valymo įrenginius išleistuvuose, netiesiogiai išleidžiančiuose nuotekas į ežerą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Ūkio </w:t>
                </w:r>
                <w:r>
                  <w:rPr>
                    <w:sz w:val="22"/>
                    <w:szCs w:val="22"/>
                    <w:lang w:eastAsia="lt-LT"/>
                  </w:rPr>
                  <w:t>subjektai,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ir (arba) </w:t>
                </w:r>
                <w:r>
                  <w:rPr>
                    <w:sz w:val="22"/>
                    <w:szCs w:val="22"/>
                    <w:lang w:eastAsia="lt-LT"/>
                  </w:rPr>
                  <w:t xml:space="preserve">savivaldybių biudžetai ir (arba) </w:t>
                </w:r>
                <w:r>
                  <w:rPr>
                    <w:sz w:val="22"/>
                    <w:szCs w:val="22"/>
                  </w:rPr>
                  <w:t>ūkio subjekto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1.3.1.6.</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Įdiegti bandomąsias natūralias paviršinių nuotekų valymo priemones Vievyje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lang w:eastAsia="lt-LT"/>
                  </w:rPr>
                </w:pPr>
                <w:r>
                  <w:rPr>
                    <w:sz w:val="22"/>
                    <w:szCs w:val="22"/>
                    <w:lang w:eastAsia="lt-LT"/>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Elektrėnų r. sav.,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LIFE SIP lėšos</w:t>
                </w:r>
                <w:r>
                  <w:rPr>
                    <w:sz w:val="22"/>
                    <w:szCs w:val="22"/>
                  </w:rPr>
                  <w:t xml:space="preserve"> </w:t>
                </w:r>
                <w:r>
                  <w:rPr>
                    <w:sz w:val="22"/>
                    <w:szCs w:val="22"/>
                    <w:lang w:eastAsia="lt-LT"/>
                  </w:rPr>
                  <w:t>ir (arba) savivaldybių biudžetai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779"/>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1.3.1.7.</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Inventorizuoti nuotekų išleistuvus į vandens telkinį ir į jį įtekančius intakus netoli telkinio, neįrašytus į taršos integruotos prevencijos ir kontrolės leidimus (toliau – TIPK) ar taršos leidimus arba į kuriuos neteisėtai pajungtos nuotekos, ir užtikrinti, kad nuotekos į ežerą nebūtų išleidžiamos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rPr>
                  <w:t>2023–</w:t>
                </w:r>
                <w:r>
                  <w:rPr>
                    <w:sz w:val="22"/>
                    <w:szCs w:val="22"/>
                    <w:lang w:eastAsia="lt-LT"/>
                  </w:rPr>
                  <w:t>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Aplinkos apsaugos departamentas (toliau – AAD), savivaldybės, Lietuvos geologijos tarnyba (toliau – LGT)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r>
                  <w:rPr>
                    <w:sz w:val="22"/>
                    <w:szCs w:val="22"/>
                    <w:lang w:eastAsia="lt-LT"/>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analitinis / reguliacinis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1.3.1.8.</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rPr>
                </w:pPr>
                <w:r>
                  <w:rPr>
                    <w:sz w:val="22"/>
                    <w:szCs w:val="22"/>
                  </w:rPr>
                  <w:t>Nustatyti teisinį reguliavimą (įskaitant melioracijos sistemų funkcijų atstatymą) tiesioginių ežero intakų baseine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2023–2024</w:t>
                </w:r>
              </w:p>
              <w:p>
                <w:pPr>
                  <w:rPr>
                    <w:sz w:val="18"/>
                    <w:szCs w:val="18"/>
                  </w:rPr>
                </w:pPr>
              </w:p>
              <w:p>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reguliacinis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1.3.1.9.</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rPr>
                </w:pPr>
                <w:r>
                  <w:rPr>
                    <w:sz w:val="22"/>
                    <w:szCs w:val="22"/>
                  </w:rPr>
                  <w:t>Įvertinus vandens telkinio apžėlimo laipsnį ir priemonės tikslingumą, išpjauti makrofitus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2023–2026</w:t>
                </w:r>
              </w:p>
              <w:p>
                <w:pPr>
                  <w:rPr>
                    <w:sz w:val="18"/>
                    <w:szCs w:val="18"/>
                  </w:rPr>
                </w:pPr>
              </w:p>
              <w:p>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 AAA, VSTT,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Savivaldybių biudžetas ir (arba) 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b/>
                    <w:bCs/>
                    <w:sz w:val="22"/>
                    <w:szCs w:val="22"/>
                  </w:rPr>
                </w:pPr>
                <w:r>
                  <w:rPr>
                    <w:sz w:val="22"/>
                    <w:szCs w:val="22"/>
                  </w:rPr>
                  <w:t>investicinis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1.3.1.10.</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Pagerinti buitinių nuotekų išvalymą (1, 3 priedai)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2023–2026</w:t>
                </w:r>
              </w:p>
              <w:p>
                <w:pPr>
                  <w:rPr>
                    <w:sz w:val="18"/>
                    <w:szCs w:val="18"/>
                  </w:rPr>
                </w:pPr>
              </w:p>
              <w:p>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Savivaldybių biudžetas ir (arba) 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254"/>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rPr>
                </w:pPr>
                <w:r>
                  <w:rPr>
                    <w:sz w:val="22"/>
                    <w:szCs w:val="22"/>
                  </w:rPr>
                  <w:t>Pagerinti nuotekų, išleidžiamų toliau kaip 500 m nuo ežero, išvalymą, arba perkelti išleistuvus toliau nuo ežero / tvenkinio (Arnionių aglomeracija, Aukštelkės aglomeracija, Baltosios Vokės aglomeracija, Gedrimų aglomeracija, Glitiškių ir Paberžės aglomeracijos, Inturkės aglomeracija, Kriaunų aglomeracija, Luksnėnų aglomeracija, Padvarių aglomeracija, Palevenėlės aglomeracija, Pašaminės aglomeracija, Pikeliškių aglomeracija, Varnių ir Pavandenės aglomeracijos)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2023–2027</w:t>
                </w:r>
              </w:p>
              <w:p>
                <w:pPr>
                  <w:rPr>
                    <w:sz w:val="18"/>
                    <w:szCs w:val="18"/>
                  </w:rPr>
                </w:pPr>
              </w:p>
              <w:p>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Savivaldybių biudžetas ir (arba) 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1.3.1.12.</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Vandens telkiniuose taikyti laikinus apribojimus plėšriųjų žuvų žvejybai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2023–2026</w:t>
                </w:r>
              </w:p>
              <w:p>
                <w:pPr>
                  <w:rPr>
                    <w:sz w:val="18"/>
                    <w:szCs w:val="18"/>
                  </w:rPr>
                </w:pPr>
              </w:p>
              <w:p>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reguliacinis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1.3.1.13.</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Atlikus ichtiologinius tyrimus priemonės tikslingumui ir įgyvendinimo detalėms nustatyti, prireikus vykdyti ekosistemų biomanipuliaciją suleidžiant plėšriųjų ar augalėdžių žuvų rūšių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sz w:val="22"/>
                    <w:szCs w:val="22"/>
                    <w:lang w:eastAsia="lt-LT"/>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ŽT,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Valstybės biudžetas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1.3.1.14.</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Parengti ir vykdyti tyrimų programą, skirtą įvertinti įžuvinimo priemonių veiksmingumą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2024</w:t>
                </w:r>
                <w:r>
                  <w:rPr>
                    <w:bCs/>
                    <w:color w:val="000000"/>
                    <w:sz w:val="22"/>
                    <w:szCs w:val="22"/>
                  </w:rPr>
                  <w:t>–</w:t>
                </w:r>
                <w:r>
                  <w:rPr>
                    <w:color w:val="000000"/>
                    <w:sz w:val="22"/>
                    <w:szCs w:val="22"/>
                  </w:rPr>
                  <w:t>2027</w:t>
                </w:r>
              </w:p>
              <w:p>
                <w:pPr>
                  <w:rPr>
                    <w:sz w:val="18"/>
                    <w:szCs w:val="18"/>
                  </w:rPr>
                </w:pPr>
              </w:p>
              <w:p>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ŽT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Valstybės biudžetas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analitinis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color w:val="FF0000"/>
                    <w:sz w:val="22"/>
                    <w:szCs w:val="22"/>
                  </w:rPr>
                </w:pPr>
                <w:r>
                  <w:rPr>
                    <w:sz w:val="22"/>
                    <w:szCs w:val="22"/>
                  </w:rPr>
                  <w:t>1.3.1.15.</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 xml:space="preserve">Pakeisti </w:t>
                </w:r>
                <w:r>
                  <w:rPr>
                    <w:color w:val="000000"/>
                    <w:sz w:val="22"/>
                    <w:szCs w:val="22"/>
                  </w:rPr>
                  <w:t xml:space="preserve">Žuvų ir vėžių įveisimo į valstybinius vandens telkinius </w:t>
                </w:r>
                <w:r>
                  <w:rPr>
                    <w:sz w:val="22"/>
                    <w:szCs w:val="22"/>
                  </w:rPr>
                  <w:t>planus įtraukiant 3 priede išvardytus ežerus ir tvenkinius, į kuriuos neišduoti leidimai naudoti žvejybos plotą ir kuriuose žuvis įveisti leidžiama laikantis teisės aktų reikalavimų</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2023–2025</w:t>
                </w:r>
              </w:p>
              <w:p>
                <w:pPr>
                  <w:rPr>
                    <w:sz w:val="18"/>
                    <w:szCs w:val="18"/>
                  </w:rPr>
                </w:pPr>
              </w:p>
              <w:p>
                <w:pPr>
                  <w:textAlignment w:val="baseline"/>
                  <w:rPr>
                    <w:sz w:val="22"/>
                    <w:szCs w:val="22"/>
                    <w:highlight w:val="red"/>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AM, ŽT, 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highlight w:val="red"/>
                  </w:rPr>
                </w:pPr>
                <w:r>
                  <w:rPr>
                    <w:sz w:val="22"/>
                    <w:szCs w:val="22"/>
                  </w:rPr>
                  <w:t>reguliacinis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1.3.1.16.</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Peržiūrėti teisės aktus ir planuoti palaipsniui uždrausti įžuvinti ežerus svetimų kraštų rūšimis, išskyrus išimtinius atvejus, kai vandens telkiniuose organizuojama limituota karpių žvejyba ir įžuvinimas karpiais, atitinkantis žuvų išteklių mokslinių tyrimų rekomendacijas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2023–2025</w:t>
                </w:r>
              </w:p>
              <w:p>
                <w:pPr>
                  <w:rPr>
                    <w:sz w:val="18"/>
                    <w:szCs w:val="18"/>
                  </w:rPr>
                </w:pPr>
              </w:p>
              <w:p>
                <w:pPr>
                  <w:textAlignment w:val="baseline"/>
                  <w:rPr>
                    <w:sz w:val="22"/>
                    <w:szCs w:val="22"/>
                    <w:highlight w:val="red"/>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AM, 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highlight w:val="red"/>
                  </w:rPr>
                </w:pPr>
                <w:r>
                  <w:rPr>
                    <w:sz w:val="22"/>
                    <w:szCs w:val="22"/>
                  </w:rPr>
                  <w:t>reguliacinis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1.3.1.17.</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Įvertinti Lietuvos Respublikos administracinių nusižengimų kodekse ir Lietuvos Respublikos aplinkos apsaugos įstatyme nustatytas sankcijas už paviršinių vandens telkinių apsaugos zonose ir pakrančių apsaugos juostose nustatytų reikalavimų nesilaikymą ir prireikus pateikti Lietuvos Respublikos Vyriausybei pasiūlymus dėl teisinio reguliavimo tobulinimo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2023–2027</w:t>
                </w:r>
              </w:p>
              <w:p>
                <w:pPr>
                  <w:rPr>
                    <w:sz w:val="18"/>
                    <w:szCs w:val="18"/>
                  </w:rPr>
                </w:pPr>
              </w:p>
              <w:p>
                <w:pPr>
                  <w:textAlignment w:val="baseline"/>
                  <w:rPr>
                    <w:sz w:val="22"/>
                    <w:szCs w:val="22"/>
                    <w:highlight w:val="red"/>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highlight w:val="red"/>
                  </w:rPr>
                </w:pPr>
                <w:r>
                  <w:rPr>
                    <w:sz w:val="22"/>
                    <w:szCs w:val="22"/>
                  </w:rPr>
                  <w:t>reguliacinis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1.3.1.18.</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color w:val="FF0000"/>
                    <w:sz w:val="22"/>
                    <w:szCs w:val="22"/>
                  </w:rPr>
                </w:pPr>
                <w:r>
                  <w:rPr>
                    <w:sz w:val="22"/>
                    <w:szCs w:val="22"/>
                  </w:rPr>
                  <w:t xml:space="preserve">Tarpvalstybiniuose vandens telkiniuose, kuriuose kaimyninės šalys aptiko pavojingų medžiagų, atlikti šių medžiagų tyrimus Lietuvos teritorijoje (1 ir 3 priedai)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2023–2026</w:t>
                </w:r>
              </w:p>
              <w:p>
                <w:pPr>
                  <w:rPr>
                    <w:sz w:val="18"/>
                    <w:szCs w:val="18"/>
                  </w:rPr>
                </w:pPr>
              </w:p>
              <w:p>
                <w:pPr>
                  <w:textAlignment w:val="baseline"/>
                  <w:rPr>
                    <w:sz w:val="22"/>
                    <w:szCs w:val="22"/>
                    <w:highlight w:val="red"/>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analitinis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1.3.1.19.</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color w:val="242424"/>
                    <w:sz w:val="22"/>
                    <w:szCs w:val="22"/>
                    <w:shd w:val="clear" w:color="auto" w:fill="FFFFFF"/>
                  </w:rPr>
                  <w:t>Įgyvendinti vandens telkinių kokybės gerinimo bandomąjį projektą, kurio metu bus atliekami tyrimai geros būklės neatitikties priežastims nustatyti, įgyvendinamos vandens telkinių būklės gerinimo priemonės, pasiūlytos papildomos efektyvios neigiamo poveikio mažinimo priemonės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AAA, ŽT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LIFE SIP lėšos ir (arba) 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mišrus</w:t>
                </w:r>
              </w:p>
            </w:tc>
          </w:tr>
          <w:tr>
            <w:trPr>
              <w:trHeight w:val="373"/>
            </w:trPr>
            <w:tc>
              <w:tcPr>
                <w:tcW w:w="0" w:type="auto"/>
                <w:tcBorders>
                  <w:top w:val="single" w:sz="4"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1.4.</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b/>
                    <w:sz w:val="22"/>
                    <w:szCs w:val="22"/>
                  </w:rPr>
                </w:pPr>
                <w:r>
                  <w:rPr>
                    <w:b/>
                    <w:sz w:val="22"/>
                    <w:szCs w:val="22"/>
                  </w:rPr>
                  <w:t>Uždavinys. Gerinti požeminių vandens telkinių būklę</w:t>
                </w:r>
              </w:p>
            </w:tc>
          </w:tr>
          <w:tr>
            <w:trPr>
              <w:trHeight w:val="60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1.4.1.</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sz w:val="22"/>
                    <w:szCs w:val="22"/>
                  </w:rPr>
                </w:pPr>
                <w:r>
                  <w:rPr>
                    <w:b/>
                    <w:sz w:val="22"/>
                    <w:szCs w:val="22"/>
                  </w:rPr>
                  <w:t>Priemonė. Įvertinti, kokį poveikį karstinio proceso intensyvumui daro požeminio vandens gręžinių įrengimas ir jų naudojimas</w:t>
                </w:r>
              </w:p>
            </w:tc>
            <w:tc>
              <w:tcPr>
                <w:tcW w:w="1559"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p>
            </w:tc>
          </w:tr>
          <w:tr>
            <w:trPr>
              <w:trHeight w:val="60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1.4.1.1.</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Atlikti viršutinio devono Įstros–Tatulos vandeningajame sluoksnyje vykstančių procesų stebėseną ir tyrimus siekiant įvertinti, kokį poveikį vandeningajam sluoksniui daro požeminio vandens gręžinių įrengimas ir šio sluoksnio požeminio vandens naudojimas</w:t>
                </w:r>
              </w:p>
            </w:tc>
            <w:tc>
              <w:tcPr>
                <w:tcW w:w="1559"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LGT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mišrus</w:t>
                </w:r>
              </w:p>
            </w:tc>
          </w:tr>
          <w:tr>
            <w:trPr>
              <w:trHeight w:val="60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1.4.2.</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sz w:val="22"/>
                    <w:szCs w:val="22"/>
                  </w:rPr>
                </w:pPr>
                <w:r>
                  <w:rPr>
                    <w:b/>
                    <w:sz w:val="22"/>
                    <w:szCs w:val="22"/>
                  </w:rPr>
                  <w:t>Priemonė. Užtikrinti racionalų požeminio vandens išteklių naudojimą ir aktualiais duomenimis pagrįstą išteklių naudojimo prognozavimą</w:t>
                </w:r>
              </w:p>
            </w:tc>
            <w:tc>
              <w:tcPr>
                <w:tcW w:w="1559"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2023–2024 </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p>
            </w:tc>
          </w:tr>
          <w:tr>
            <w:trPr>
              <w:trHeight w:val="60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1.4.2.1.</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Pakartotinai įvertinti Lielupės upių baseinų rajono (toliau – UBR) Joniškio ir Permo-viršutinio devono požeminio vandens baseino išteklių kiekį atsižvelgiant į realiai naudojamo požeminio vandens kiekį ir kokybę</w:t>
                </w:r>
              </w:p>
            </w:tc>
            <w:tc>
              <w:tcPr>
                <w:tcW w:w="1559"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2023–2024</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LGT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mišrus</w:t>
                </w:r>
              </w:p>
            </w:tc>
          </w:tr>
          <w:tr>
            <w:trPr>
              <w:trHeight w:val="291"/>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1.5.</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 xml:space="preserve">Uždavinys. Sumažinti vandens telkinių taršą iš sutelktosios taršos šaltinių </w:t>
                </w:r>
              </w:p>
              <w:p>
                <w:pPr>
                  <w:textAlignment w:val="baseline"/>
                  <w:rPr>
                    <w:sz w:val="22"/>
                    <w:szCs w:val="22"/>
                  </w:rPr>
                </w:pPr>
              </w:p>
            </w:tc>
          </w:tr>
          <w:tr>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1.5.1.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b/>
                    <w:sz w:val="22"/>
                    <w:szCs w:val="22"/>
                  </w:rPr>
                  <w:t>Priemonė. Stiprinti nuotekų taršos prevenciją ir kontrolę ir (ar) valdymą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p>
            </w:tc>
          </w:tr>
          <w:tr>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1.5.1.1.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 xml:space="preserve">Peržiūrėti išduotus Taršos integruotos prevencijos ir kontrolės </w:t>
                </w:r>
                <w:r>
                  <w:rPr>
                    <w:color w:val="000000"/>
                    <w:sz w:val="22"/>
                    <w:szCs w:val="22"/>
                  </w:rPr>
                  <w:t xml:space="preserve">leidimus </w:t>
                </w:r>
                <w:r>
                  <w:rPr>
                    <w:sz w:val="22"/>
                    <w:szCs w:val="22"/>
                  </w:rPr>
                  <w:t>(toliau – TIPK) ir Taršos leidimus ūkio subjektams, kai išleidžiamų nuotekų priimtuvui nustatomas poreikis mažinti taršą, patikslinti išleidžiamų nuotekų koncentraciją ir kiekius atsižvelgiant į vandens telkiniui nustatytus vandensaugos tikslus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reguliacinis / analitinis</w:t>
                </w:r>
              </w:p>
            </w:tc>
          </w:tr>
          <w:tr>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rPr>
                  <w:t>1.5.</w:t>
                </w:r>
                <w:r>
                  <w:rPr>
                    <w:sz w:val="22"/>
                    <w:szCs w:val="22"/>
                    <w:lang w:val="en-US"/>
                  </w:rPr>
                  <w:t>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poveikio nuotekų priimtuvui vertinimo metodiką, prireikus, ja vadovaujantis patikslinti Nuotekų tvarkymo reglamente, patvirtintame Lietuvos Respublikos aplinkos ministro 2006 m. gegužės 17 d. įsakymu Nr. D1-236 „Dėl Nuotekų tvarkymo reglamento patvirtinimo“, į gamtinę aplinką išleidžiamų buitinių, komunalinių ir gamybinių nuotekų užterštumo normas, kurios leistų pasiekti vandens telkiniams nustatytus vandensaugos tikslus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reguliacinis / analitinis</w:t>
                </w:r>
              </w:p>
            </w:tc>
          </w:tr>
          <w:tr>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1.5.1.3.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pavojingų medžiagų mažinimo rekomendacijas, nustatant veiklos sąlygas stacionariems sutelktosios taršos šaltiniams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2026–2028</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reguliacinis / analitinis</w:t>
                </w:r>
              </w:p>
            </w:tc>
          </w:tr>
          <w:tr>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1.5.2.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b/>
                    <w:sz w:val="22"/>
                    <w:szCs w:val="22"/>
                  </w:rPr>
                  <w:t>Priemonė.</w:t>
                </w:r>
                <w:r>
                  <w:rPr>
                    <w:sz w:val="22"/>
                    <w:szCs w:val="22"/>
                  </w:rPr>
                  <w:t xml:space="preserve"> </w:t>
                </w:r>
                <w:r>
                  <w:rPr>
                    <w:b/>
                    <w:sz w:val="22"/>
                    <w:szCs w:val="22"/>
                  </w:rPr>
                  <w:t>Stiprinti ūkio subjektų, kurie įgyvendino nuotekų valyklų rekonstrukciją ir plėtrą, taršos prevenciją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p>
            </w:tc>
          </w:tr>
          <w:tr>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1.5.</w:t>
                </w:r>
                <w:r>
                  <w:rPr>
                    <w:sz w:val="22"/>
                    <w:szCs w:val="22"/>
                    <w:lang w:val="en-US"/>
                  </w:rPr>
                  <w:t>2</w:t>
                </w:r>
                <w:r>
                  <w:rPr>
                    <w:sz w:val="22"/>
                    <w:szCs w:val="22"/>
                  </w:rPr>
                  <w:t>.1</w:t>
                </w:r>
                <w:r>
                  <w:rPr>
                    <w:sz w:val="22"/>
                    <w:szCs w:val="22"/>
                    <w:lang w:eastAsia="lt-LT"/>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Peržiūrėti išduotus TIPK ir taršos leidimus, po nuotekų valyklų rekonstrukcijų ir (arba) nuotekų tinklų plėtros ir leidimuose patikslinti išleidžiamų nuotekų koncentraciją ir kiekius atsižvelgiant į vandens telkiniams nustatytus vandensaugos tikslus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reguliacinis</w:t>
                </w:r>
              </w:p>
            </w:tc>
          </w:tr>
          <w:tr>
            <w:tc>
              <w:tcPr>
                <w:tcW w:w="0" w:type="auto"/>
                <w:tcBorders>
                  <w:top w:val="single" w:sz="6"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2.</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b/>
                    <w:sz w:val="22"/>
                    <w:szCs w:val="22"/>
                  </w:rPr>
                </w:pPr>
                <w:r>
                  <w:rPr>
                    <w:b/>
                    <w:sz w:val="22"/>
                    <w:szCs w:val="22"/>
                  </w:rPr>
                  <w:t>Tikslas. Pasiekti ir (ar) išlaikyti gerą Baltijos jūros aplinkos būklę</w:t>
                </w:r>
              </w:p>
            </w:tc>
          </w:tr>
          <w:tr>
            <w:tc>
              <w:tcPr>
                <w:tcW w:w="0" w:type="auto"/>
                <w:tcBorders>
                  <w:top w:val="single" w:sz="6"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 xml:space="preserve">2.1. </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b/>
                    <w:sz w:val="22"/>
                    <w:szCs w:val="22"/>
                  </w:rPr>
                </w:pPr>
                <w:r>
                  <w:rPr>
                    <w:b/>
                    <w:sz w:val="22"/>
                    <w:szCs w:val="22"/>
                  </w:rPr>
                  <w:t>Uždavinys. Mažinti Baltijos jūros taršą</w:t>
                </w:r>
              </w:p>
            </w:tc>
          </w:tr>
          <w:tr>
            <w:trPr>
              <w:trHeight w:val="326"/>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2.1.</w:t>
                </w:r>
                <w:r>
                  <w:rPr>
                    <w:sz w:val="22"/>
                    <w:szCs w:val="22"/>
                    <w:lang w:val="en-US"/>
                  </w:rPr>
                  <w:t>1.</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w:t>
                </w:r>
                <w:r>
                  <w:rPr>
                    <w:sz w:val="22"/>
                    <w:szCs w:val="22"/>
                  </w:rPr>
                  <w:t xml:space="preserve"> </w:t>
                </w:r>
                <w:r>
                  <w:rPr>
                    <w:b/>
                    <w:sz w:val="22"/>
                    <w:szCs w:val="22"/>
                  </w:rPr>
                  <w:t>Mažinti eutrofikaciją skatinančių maistinių medžiagų patekimą į Kuršių marių ir Baltijos jūros aplinką</w:t>
                </w:r>
              </w:p>
            </w:tc>
            <w:tc>
              <w:tcPr>
                <w:tcW w:w="1559"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ir (ar) savivaldybių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rPr>
              <w:trHeight w:val="326"/>
            </w:trPr>
            <w:tc>
              <w:tcPr>
                <w:tcW w:w="0" w:type="auto"/>
                <w:tcBorders>
                  <w:top w:val="nil"/>
                  <w:left w:val="single" w:sz="4" w:space="0" w:color="auto"/>
                  <w:bottom w:val="single" w:sz="4" w:space="0" w:color="auto"/>
                  <w:right w:val="nil"/>
                </w:tcBorders>
                <w:shd w:val="clear" w:color="auto" w:fill="auto"/>
                <w:tcMar>
                  <w:top w:w="15" w:type="dxa"/>
                  <w:left w:w="15" w:type="dxa"/>
                  <w:bottom w:w="15" w:type="dxa"/>
                  <w:right w:w="15" w:type="dxa"/>
                </w:tcMar>
                <w:hideMark/>
              </w:tcPr>
              <w:p>
                <w:pPr>
                  <w:rPr>
                    <w:sz w:val="22"/>
                    <w:szCs w:val="22"/>
                    <w:highlight w:val="green"/>
                  </w:rPr>
                </w:pPr>
                <w:r>
                  <w:rPr>
                    <w:sz w:val="22"/>
                    <w:szCs w:val="22"/>
                  </w:rPr>
                  <w:t>2.1.1.1.</w:t>
                </w:r>
              </w:p>
            </w:tc>
            <w:tc>
              <w:tcPr>
                <w:tcW w:w="4154"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Įvertinti taršos iš Nemuno baseino ir vidinės taršos Kuršių mariose </w:t>
                </w:r>
                <w:r>
                  <w:rPr>
                    <w:sz w:val="22"/>
                    <w:szCs w:val="22"/>
                    <w:lang w:eastAsia="lt-LT"/>
                  </w:rPr>
                  <w:t>mastą</w:t>
                </w:r>
                <w:r>
                  <w:rPr>
                    <w:sz w:val="22"/>
                    <w:szCs w:val="22"/>
                  </w:rPr>
                  <w:t xml:space="preserve"> ir poveikį Baltijos jūros priekrantei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rPr>
              <w:trHeight w:val="326"/>
            </w:trPr>
            <w:tc>
              <w:tcPr>
                <w:tcW w:w="0" w:type="auto"/>
                <w:tcBorders>
                  <w:top w:val="nil"/>
                  <w:left w:val="single" w:sz="4" w:space="0" w:color="auto"/>
                  <w:bottom w:val="single" w:sz="4" w:space="0" w:color="auto"/>
                  <w:right w:val="nil"/>
                </w:tcBorders>
                <w:shd w:val="clear" w:color="auto" w:fill="auto"/>
                <w:tcMar>
                  <w:top w:w="15" w:type="dxa"/>
                  <w:left w:w="15" w:type="dxa"/>
                  <w:bottom w:w="15" w:type="dxa"/>
                  <w:right w:w="15" w:type="dxa"/>
                </w:tcMar>
              </w:tcPr>
              <w:p>
                <w:pPr>
                  <w:rPr>
                    <w:sz w:val="22"/>
                    <w:szCs w:val="22"/>
                    <w:highlight w:val="green"/>
                  </w:rPr>
                </w:pPr>
                <w:r>
                  <w:rPr>
                    <w:sz w:val="22"/>
                    <w:szCs w:val="22"/>
                  </w:rPr>
                  <w:t>2.1.1.2.</w:t>
                </w:r>
              </w:p>
            </w:tc>
            <w:tc>
              <w:tcPr>
                <w:tcW w:w="4154"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Atlikti Kuršių marių litoralės makrozoobentoso bendrijos tyrimus ir parengti ekologinės būklės vertinimo sistemą pagal makrozoobentoso kokybės elementą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ir (arba) 2021–2027 m. ES lėšos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2.1.1.3</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 xml:space="preserve">Prireikus šienauti </w:t>
                </w:r>
                <w:r>
                  <w:rPr>
                    <w:sz w:val="22"/>
                    <w:szCs w:val="22"/>
                  </w:rPr>
                  <w:t xml:space="preserve">nendres Kuršių marių pakrantėje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 VSTT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savivaldybių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w:t>
                </w:r>
                <w:r>
                  <w:rPr>
                    <w:sz w:val="22"/>
                    <w:szCs w:val="22"/>
                    <w:lang w:val="en-US"/>
                  </w:rPr>
                  <w:t>2.</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yellow"/>
                  </w:rPr>
                </w:pPr>
                <w:r>
                  <w:rPr>
                    <w:b/>
                    <w:sz w:val="22"/>
                    <w:szCs w:val="22"/>
                  </w:rPr>
                  <w:t>Priemonė. Mažinti pavojingų cheminių medžiagų poveikį ir patekimą į jūros aplinką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Lietuvos Respublikos </w:t>
                </w:r>
                <w:r>
                  <w:rPr>
                    <w:sz w:val="22"/>
                    <w:szCs w:val="22"/>
                    <w:lang w:eastAsia="lt-LT"/>
                  </w:rPr>
                  <w:t>krašto</w:t>
                </w:r>
                <w:r>
                  <w:rPr>
                    <w:sz w:val="22"/>
                    <w:szCs w:val="22"/>
                  </w:rPr>
                  <w:t xml:space="preserve"> apsaugos ministerija (toliau – KAM), Lietuvos Respublikos </w:t>
                </w:r>
                <w:r>
                  <w:rPr>
                    <w:sz w:val="22"/>
                    <w:szCs w:val="22"/>
                    <w:lang w:eastAsia="lt-LT"/>
                  </w:rPr>
                  <w:t>vidaus</w:t>
                </w:r>
                <w:r>
                  <w:rPr>
                    <w:sz w:val="22"/>
                    <w:szCs w:val="22"/>
                  </w:rPr>
                  <w:t xml:space="preserve"> reikalų ministerija (toliau – VRM), Lietuvos jūrų muziejus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2.1.2.1.</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bCs/>
                    <w:sz w:val="22"/>
                    <w:szCs w:val="22"/>
                  </w:rPr>
                  <w:t>Peržiūrėti taršos incidentų valdymo sistemos reglamentavimą</w:t>
                </w:r>
                <w:r>
                  <w:rPr>
                    <w:sz w:val="22"/>
                    <w:szCs w:val="22"/>
                  </w:rPr>
                  <w:t>, prireikus</w:t>
                </w:r>
                <w:r>
                  <w:rPr>
                    <w:bCs/>
                    <w:sz w:val="22"/>
                    <w:szCs w:val="22"/>
                  </w:rPr>
                  <w:t xml:space="preserve"> jį tobulinti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KAM, VRM, BĮ Lietuvos jūrų muziejus, AB Klaipėdos valstybinio jūrų uosto direkcija,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2.1.2.2.</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Atnaujinti Teršimo incidentų likvidavimo jūros rajone darbų planą ir rizikų vertinimą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KAM, VRM,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2.1.2.3.</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Atitinkamoms institucijoms priskirti nafta užterštų paukščių gelbėjimo funkcijas ir užtikrinti reikalingą infrastruktūrą gelbėjimo darbams atlikti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2023–2024</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KAM, VRM, BĮ Lietuvos jūrų muziejus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2.1.2.4.</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 xml:space="preserve">Dalyvauti vykdant Baltijos jūroje palaidoto cheminio ginklo galimo poveikio jūrinei aplinkai ir žmogui stebėjimus, tarptautinių organizacijų veikloje siekiant dalytis patirtimi ir informacija, vertinti galimo cheminio ginklo poveikio stebėjimų duomenis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2.1.2.5.</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Įvertinti teršalų paplitimą  Klaipėdos uosto įmonių išleidžiamose nuotekose  į Klaipėdos sąsiaurį, numatyti priemones ir technologijas su nuotekomis patenkančių teršalų sumažinimui ar pašalinimui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AB Klaipėdos valstybinio jūrų uosto direkcija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w:t>
                </w:r>
                <w:r>
                  <w:rPr>
                    <w:sz w:val="22"/>
                    <w:szCs w:val="22"/>
                    <w:lang w:val="en-US"/>
                  </w:rPr>
                  <w:t>3.</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Priemonė. Mažinti jūros šiukšlių poveikį priekrantės ir jūros aplinkai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sz w:val="22"/>
                    <w:szCs w:val="22"/>
                  </w:rPr>
                  <w:t>AM, savivaldybės</w:t>
                </w:r>
              </w:p>
              <w:p>
                <w:pPr>
                  <w:rPr>
                    <w:sz w:val="18"/>
                    <w:szCs w:val="18"/>
                  </w:rPr>
                </w:pP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mišrus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2.1.3.1.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Atlikti tyrimus ir nustatyti mikrošiukšlių kiekius nuotekų tvarkymo infrastruktūroje (komunalinių, pramoninių, paviršinių) ir identifikuoti tikslines nuotekų tvarkymo infrastruktūros vietas, kuriose būtų efektyviausia taikyti taršos prevencijos priemones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ind w:left="-46"/>
                  <w:rPr>
                    <w:sz w:val="22"/>
                    <w:szCs w:val="22"/>
                  </w:rPr>
                </w:pPr>
                <w:r>
                  <w:rPr>
                    <w:sz w:val="22"/>
                    <w:szCs w:val="22"/>
                  </w:rPr>
                  <w:t>2021–2027 m. ES lėšos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2.1.3.2.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Informuoti visuomenę apie jūrinę aplinką teršiančias šiukšles ir jų keliamą grėsmę, taršos prevencijos ir mažinimo priemones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 AAA, APVA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ind w:left="-46"/>
                  <w:rPr>
                    <w:sz w:val="22"/>
                    <w:szCs w:val="22"/>
                  </w:rPr>
                </w:pPr>
                <w:r>
                  <w:rPr>
                    <w:sz w:val="22"/>
                    <w:szCs w:val="22"/>
                  </w:rPr>
                  <w:t xml:space="preserve">Savivaldybių biudžetas, </w:t>
                </w:r>
                <w:r>
                  <w:rPr>
                    <w:sz w:val="22"/>
                    <w:szCs w:val="22"/>
                    <w:lang w:eastAsia="lt-LT"/>
                  </w:rPr>
                  <w:t>valstybės</w:t>
                </w:r>
                <w:r>
                  <w:rPr>
                    <w:sz w:val="22"/>
                    <w:szCs w:val="22"/>
                  </w:rPr>
                  <w:t xml:space="preserve">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2.1.3.3.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Peržiūrėti ir optimizuoti šiukšlių (neperdirbamų ir antrinių žaliavų) surinkimo galimybes Baltijos jūros pakrantėje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ind w:left="-46"/>
                  <w:rPr>
                    <w:sz w:val="22"/>
                    <w:szCs w:val="22"/>
                  </w:rPr>
                </w:pPr>
                <w:r>
                  <w:rPr>
                    <w:sz w:val="22"/>
                    <w:szCs w:val="22"/>
                  </w:rPr>
                  <w:t xml:space="preserve">Savivaldybių biudžetas ir (arba) 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 xml:space="preserve">2.1.4. </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Priemonė. Siūlyti ratifikuoti tarptautinius protokolus, susijusius su jūrine aplinka, peržiūrėti ir atnaujinti nacionalinius teisės aktus ir monitoringo procedūras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2.1.4.1.</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Įvertinti poreikį ratifikuoti 2000 m. Protokolą dėl parengties, veiksmų ir bendradarbiavimo įvykus taršos pavojingomis ir kenksmingomis medžiagomis incidentams (OPRC/HNS 2000)</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2.1.4.2.</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Įvertinti Tarptautinės konvencijos dėl atsakomybės ir kompensacijos už žalą, susijusią su pavojingų ir kenksmingų medžiagų vežimu jūra (HNS konvencija), 2010 m. protokolo ratifikavimo poreikį ir poveikį suinteresuotoms šalims, prireikus inicijuoti šio protokolo ratifikavimą (dėl šio protokolo 1996 m. HNS konvencija neįsigalios)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2.1.4.3.</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Prireikus pateikti Seimui Baltijos jūros baseino jūrinės aplinkos apsaugos konvencijos pakeitimo III priedo „Taršos iš sausumos taršos šaltinių prevencijai taikomi kriterijai ir priemonės“ II dalį „Taršos iš žemės ūkio šaltinių prevencija“ siekiant ją ratifikuoti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2025–2026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2.1.4.4.</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 xml:space="preserve">Pakeisti Lietuvos Respublikos aplinkos ministro 2002 m. vasario 26 d. įsakymą Nr. 77 „Dėl aplinkos apsaugos normatyvinio dokumento LAND 46A-2002 „Grunto kasimo jūrų ir jūrų uostų akvatorijose ir iškasto grunto šalinimo taisyklės“ patvirtinimo“ siekiant sumažinti šalinamo grunto poveikį jūros aplinkai, atnaujinti  grunto tvarkymo ir klasifikavimo procedūras numatant grunto tikslingo panaudojimo galimybes (atkuriant paplūdimius, žemės ūkyje, statybos darbuose), numatyti papildomas alternatyvas IV užterštumo klasės grunto tvarkymui, atnaujinti reikalavimus grunto savybių privalomiesiems cheminiams tyrimams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2.1.4.5.</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Sukurti ir patvirtinti mėginių teršiančių medžiagų tyrimams</w:t>
                </w:r>
                <w:r>
                  <w:rPr>
                    <w:color w:val="242424"/>
                    <w:sz w:val="22"/>
                    <w:szCs w:val="22"/>
                    <w:shd w:val="clear" w:color="auto" w:fill="FFFFFF"/>
                  </w:rPr>
                  <w:t xml:space="preserve"> </w:t>
                </w:r>
                <w:r>
                  <w:rPr>
                    <w:sz w:val="22"/>
                    <w:szCs w:val="22"/>
                  </w:rPr>
                  <w:t xml:space="preserve">paėmimo sraigstasparniu jūroje procedūras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AAD, AM, KAM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2.1.4.6.</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Peržiūrėti </w:t>
                </w:r>
                <w:r>
                  <w:rPr>
                    <w:color w:val="000000"/>
                    <w:sz w:val="22"/>
                    <w:szCs w:val="22"/>
                  </w:rPr>
                  <w:t xml:space="preserve">Baltijos jūros rajono geros aplinkos būklės savybių nustatymo reikalavimus, patvirtintus </w:t>
                </w:r>
                <w:r>
                  <w:rPr>
                    <w:sz w:val="22"/>
                    <w:szCs w:val="22"/>
                  </w:rPr>
                  <w:t>Lietuvos Respublikos aplinkos ministro 2015 m. kovo 4 d. įsakymu Nr. D1-194 „Dėl B</w:t>
                </w:r>
                <w:r>
                  <w:rPr>
                    <w:color w:val="000000"/>
                    <w:sz w:val="22"/>
                    <w:szCs w:val="22"/>
                  </w:rPr>
                  <w:t>altijos jūros rajono geros aplinkos būklės savybių nustatymo reikalavimų“,</w:t>
                </w:r>
                <w:r>
                  <w:rPr>
                    <w:sz w:val="22"/>
                    <w:szCs w:val="22"/>
                  </w:rPr>
                  <w:t xml:space="preserve"> ir prireikus atnaujinti ribines vertes dugno nuosėdų užterštumui vertinti atsižvelgiant į regionui suderintas ribines vertes nuosėdoms, natūralų geocheminį taršos foną, smulkios dugno nuosėdų frakcijos ir organikos kiekio dugno nuosėdose pasiskirstymą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00"/>
            </w:trPr>
            <w:tc>
              <w:tcPr>
                <w:tcW w:w="0" w:type="auto"/>
                <w:tcBorders>
                  <w:top w:val="single" w:sz="6"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2.2.</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Uždavinys. Sustabdyti Baltijos jūros biologinės įvairovės nykimą ir ekosistemų ir jų paslaugų kokybės blogėjimą, kur įmanoma, jas atkurti</w:t>
                </w:r>
              </w:p>
            </w:tc>
          </w:tr>
          <w:tr>
            <w:trPr>
              <w:trHeight w:val="300"/>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2.2.</w:t>
                </w:r>
                <w:r>
                  <w:rPr>
                    <w:sz w:val="22"/>
                    <w:szCs w:val="22"/>
                    <w:lang w:val="en-US"/>
                  </w:rPr>
                  <w:t>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Priemonė. Užtikrinti, kad komerciniams tikslams naudojamų žuvų eksploatavimo intensyvumas neviršytų saugių biologinių ribų ir išsaugoti Baltijos jūros mitybinio tinklo struktūrą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 AM</w:t>
                </w:r>
                <w:r>
                  <w:rPr>
                    <w:sz w:val="22"/>
                    <w:szCs w:val="22"/>
                    <w:lang w:eastAsia="lt-LT"/>
                  </w:rPr>
                  <w:t xml:space="preserve">, </w:t>
                </w:r>
                <w:r>
                  <w:rPr>
                    <w:color w:val="000000"/>
                    <w:sz w:val="22"/>
                    <w:szCs w:val="22"/>
                  </w:rPr>
                  <w:t>Lietuvos jūrų muziejus</w:t>
                </w:r>
              </w:p>
            </w:tc>
            <w:tc>
              <w:tcPr>
                <w:tcW w:w="3260" w:type="dxa"/>
                <w:tcBorders>
                  <w:top w:val="single" w:sz="6" w:space="0" w:color="auto"/>
                  <w:left w:val="single" w:sz="6"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rPr>
              <w:trHeight w:val="300"/>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hideMark/>
              </w:tcPr>
              <w:p>
                <w:pPr>
                  <w:textAlignment w:val="baseline"/>
                  <w:rPr>
                    <w:sz w:val="22"/>
                    <w:szCs w:val="22"/>
                    <w:lang w:val="en-US"/>
                  </w:rPr>
                </w:pPr>
                <w:r>
                  <w:rPr>
                    <w:sz w:val="22"/>
                    <w:szCs w:val="22"/>
                  </w:rPr>
                  <w:t>2.2.1.</w:t>
                </w:r>
                <w:r>
                  <w:rPr>
                    <w:sz w:val="22"/>
                    <w:szCs w:val="22"/>
                    <w:lang w:val="en-US"/>
                  </w:rPr>
                  <w:t>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yellow"/>
                  </w:rPr>
                </w:pPr>
                <w:r>
                  <w:rPr>
                    <w:sz w:val="22"/>
                    <w:szCs w:val="22"/>
                  </w:rPr>
                  <w:t>Atlikti tyrimą ir pateikti rekomendacijas dėl verslinės ir mėgėjų žvejybos apribojimų Baltijos jūros priekrantėje ir Kuršių mariose siekiant geros aplinkos būklės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 AM</w:t>
                </w:r>
              </w:p>
            </w:tc>
            <w:tc>
              <w:tcPr>
                <w:tcW w:w="3260" w:type="dxa"/>
                <w:tcBorders>
                  <w:top w:val="single" w:sz="6" w:space="0" w:color="auto"/>
                  <w:left w:val="single" w:sz="6"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2.2.1.2.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Surinkti mokslinę informaciją apie perpelių ir sykų paplitimą, pasiskirstymą, migraciją, biologiją ir žvejybą Baltijos jūros priekrantėje ir Kuršių mariose, reikalingą šių rūšių apsaugos planams parengti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ŽŪM, VSTT </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ind w:left="-46"/>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bdr w:val="none" w:sz="0" w:space="0" w:color="auto" w:frame="1"/>
                    <w:shd w:val="clear" w:color="auto" w:fill="FFFFFF"/>
                  </w:rPr>
                  <w:t>Lietuvos jūrų muziejaus Baltijos jūros gyvūnų reabilitacijos centre vykdyti jūros žinduolių (ruonių) populiacijos tyrimus siekiant įvertinti reprodukcinę ir įmitimo būklę pagal HELCOM rekomendacijas 27–28/2 1 ir vykdyti jų populiacijos monitoringo programą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BĮ Lietuvos jūrų muziejus</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ind w:left="-46"/>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Paruošti nacionalinius priemonių planus, reikalingus pagerinti lašišų ir šlakių populiacijų būklę įgyvendinant HELCOM Baltijos jūros veiksmų planą, teikti rekomendacijas dėl jų įgyvendinimo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 ŽT, AM, VSTT</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ind w:left="-46"/>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2.2.1.5.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shd w:val="clear" w:color="auto" w:fill="FFFFFF"/>
                  </w:rPr>
                  <w:t>Efektyviau kontroliuoti žvejybos laivus, įmones ir žvejus mėgėjus Baltijos jūroje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ŽŪM, ŽT, AAD</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reguliacinis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 xml:space="preserve">2.2.1.6. </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Parengti žuvų migracijos per Klaipėdos sąsiaurį stebėsenos akustiniais metodais galimybių studiją, parengti rekomendacijas tyrimų metodų ir instrumentinės bazės parengimui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AM, AB Klaipėdos valstybinio jūrų uosto direkcija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eastAsia="lt-LT"/>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analitinis / 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rPr>
                  <w:t>2.2.2.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highlight w:val="yellow"/>
                  </w:rPr>
                </w:pPr>
                <w:r>
                  <w:rPr>
                    <w:b/>
                    <w:sz w:val="22"/>
                    <w:szCs w:val="22"/>
                  </w:rPr>
                  <w:t>Priemonė. Išsaugoti palankias sąlygas žiemojantiems jūros paukščiams jų žiemojimo vietose, mažinti jų mirtingumą susitepus naftos produktais ir (ar) patekus į verslinės žvejybos įrankius.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ŽŪM </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val="en-US"/>
                  </w:rPr>
                  <w:t>2.2.2.1.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saugomų teritorijų apsaugos tikslus paukščių apsaugai svarbiose teritorijose ir suderinti su apsaugos priemonėmis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VSTT, AM</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val="en-US"/>
                  </w:rPr>
                  <w:t>2.2.2.2.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Patvirtinti metodinius reikalavimus (duomenų rinkimo, apimties ir kokybės, analizės ir vertinimo metodų ir kt.) vertinti galimą planuojamos ūkinės veiklos poveikį jūros paukščiams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AAA </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val="en-US"/>
                  </w:rPr>
                  <w:t>2.2.2.3.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Atsižvelgiant į žvejybos poveikio jūros paukščiams ir žinduoliams masto vertinimą, nustatyti žvejybos reguliavimo priemones, leidžiančias šio poveikio išvengti ar jį sumažinti mažiausiai 50 proc.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yellow"/>
                  </w:rPr>
                </w:pPr>
                <w:r>
                  <w:rPr>
                    <w:sz w:val="22"/>
                    <w:szCs w:val="22"/>
                  </w:rPr>
                  <w:t>ŽŪM, ŽT</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w:t>
                </w:r>
                <w:r>
                  <w:rPr>
                    <w:sz w:val="22"/>
                    <w:szCs w:val="22"/>
                    <w:lang w:eastAsia="lt-LT"/>
                  </w:rPr>
                  <w:t xml:space="preserve"> ir (arba)</w:t>
                </w:r>
                <w:r>
                  <w:rPr>
                    <w:b/>
                    <w:bCs/>
                    <w:sz w:val="22"/>
                    <w:szCs w:val="22"/>
                    <w:lang w:eastAsia="lt-LT"/>
                  </w:rPr>
                  <w:t xml:space="preserve"> </w:t>
                </w:r>
                <w:r>
                  <w:rPr>
                    <w:sz w:val="22"/>
                    <w:szCs w:val="22"/>
                    <w:lang w:eastAsia="lt-LT"/>
                  </w:rPr>
                  <w:t>Europos jūrų reikalų ir žuvininkystės fondas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r>
                  <w:rPr>
                    <w:sz w:val="22"/>
                    <w:szCs w:val="22"/>
                    <w:lang w:eastAsia="lt-LT"/>
                  </w:rPr>
                  <w:t xml:space="preserve"> / 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lang w:val="en-US"/>
                  </w:rPr>
                  <w:t>2.2.2.4.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Užtikrinti, kad būtų naudojamos paukščius atbaidančios priemonės ar žvejybos reguliavimo priemonės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AAD, ŽT </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val="en-US"/>
                  </w:rPr>
                  <w:t>2.2.2.5.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Vykdyti žiemojančių jūros paukščių ir nafta suteptų jūros paukščių stebėseną Lietuvos jūriniuose vandenyse (ir Lietuvos išskirtinėje ekonominėje zonoje), dalyvauti regioniniu lygmeniu koordinuotoje žiemojančių jūros paukščių apskaitoje, siekiant įvertinti jūros paukščių gausumą ir pasiskirstymą Baltijos jūros mastu</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VSTT, AAA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b/>
                    <w:sz w:val="22"/>
                    <w:szCs w:val="22"/>
                  </w:rPr>
                </w:pPr>
                <w:r>
                  <w:rPr>
                    <w:sz w:val="22"/>
                    <w:szCs w:val="22"/>
                    <w:lang w:val="en-US"/>
                  </w:rPr>
                  <w:t>2.2.2.6.</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Atlikti tyrimus ir įvertinti paukščių žiemojimo buveinių kokybę ir maisto resursų prieinamumą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VSTT, AAA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val="en-US"/>
                  </w:rPr>
                  <w:t>2.2.3.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 Sumažinti Baltijos jūrai naujų nevietinių gyvūnų rūšių atsiradimo riziką Lietuvos Respublikos jūros rajone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Įvertinti nevietinių rūšių paplitimą ir pasiskirstymą, įtraukiant apaugų tyrimus ant stacionarių objektų ir laivų korpusų, nevietinių rūšių keliamą riziką ir galimą poveikį</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ankstyvojo perspėjimo sistemos naudojimo tvarką, kuri padėtų rinkti duomenis apie nevietinių rūšių aptikimą ir invazinių rūšių plitimą ir poveikį (aplinkai, ekonomikai ir žmogaus sveikatai)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AAA </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 / 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2.2.3.3.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Prireikus teisės aktuose nustatyti reikalavimus pagal Tarptautinės jūrų organizacijos gaires dėl laivų korpusų biologinių apaugų kontrolės ir valdymo siekiant sumažinti invazinių vandens rūšių perkėlimą (pagal rezoliuciją MEPC.207 (62)) ir nevietinių / invazinių organizmų plitimą per biologines apaugas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w:t>
                </w:r>
                <w:r>
                  <w:rPr>
                    <w:sz w:val="22"/>
                    <w:szCs w:val="22"/>
                    <w:lang w:eastAsia="lt-LT"/>
                  </w:rPr>
                  <w:t xml:space="preserve">SM, </w:t>
                </w:r>
                <w:r>
                  <w:rPr>
                    <w:sz w:val="22"/>
                    <w:szCs w:val="22"/>
                  </w:rPr>
                  <w:t>AAA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 / 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2.2.3.4.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Vykdyti informacines kampanijas visuomenei apie jūrines nevietines rūšis, jų plitimo būdus, poveikį aplinkai ir žmogui, prevencines priemones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AAA, AM, </w:t>
                </w:r>
                <w:r>
                  <w:rPr>
                    <w:sz w:val="22"/>
                    <w:szCs w:val="22"/>
                    <w:lang w:eastAsia="lt-LT"/>
                  </w:rPr>
                  <w:t>SM, APVA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komunikacinis</w:t>
                </w:r>
              </w:p>
            </w:tc>
          </w:tr>
          <w:tr>
            <w:trPr>
              <w:trHeight w:val="36"/>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yellow"/>
                  </w:rPr>
                </w:pPr>
                <w:r>
                  <w:rPr>
                    <w:b/>
                    <w:sz w:val="22"/>
                    <w:szCs w:val="22"/>
                  </w:rPr>
                  <w:t>Priemonė.</w:t>
                </w:r>
                <w:r>
                  <w:rPr>
                    <w:sz w:val="22"/>
                    <w:szCs w:val="22"/>
                  </w:rPr>
                  <w:t xml:space="preserve"> </w:t>
                </w:r>
                <w:r>
                  <w:rPr>
                    <w:b/>
                    <w:sz w:val="22"/>
                    <w:szCs w:val="22"/>
                  </w:rPr>
                  <w:t>Užtikrinti, kad ūkinė veikla jūroje nedarytų didelio neigiamo poveikio jūros dugno buveinėms, būtų išvengta jų nykimo ir būklės blogėjimo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ŽŪM </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2.2.4.1.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saugomų teritorijų apsaugos tikslus buveinių apsaugai svarbioms teritorijoms ir suderinti su apsaugos priemonėmis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VSTT </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 / 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2.2.4.2.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Atsižvelgiant į vyraujančių dugno buveinių tipų pasiskirstymą Lietuvos jūros rajone, papildyti planuojamus makrozoobentoso tyrimus Valstybinėje aplinkos monitoringo programoje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AM, AAA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2.2.4.3.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Vykdyti „Natura 2000“ tinklui priklausančių rifų (1170) buveinių monitoringą Baltijos jūroje pagal Valstybinės aplinkos monitoringo programos reikalavimus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VSTT</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2.2.4.4.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color w:val="FF0000"/>
                    <w:sz w:val="22"/>
                    <w:szCs w:val="22"/>
                  </w:rPr>
                </w:pPr>
                <w:r>
                  <w:rPr>
                    <w:sz w:val="22"/>
                    <w:szCs w:val="22"/>
                  </w:rPr>
                  <w:t xml:space="preserve">Įdiegti ilgalaikio povandeninio triukšmo stebėjimo sistemą, vertinti  povandeninio triukšmo lygį ir poveikį bioįvairovei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APVA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4"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lang w:val="en-US"/>
                  </w:rPr>
                </w:pPr>
                <w:r>
                  <w:rPr>
                    <w:sz w:val="22"/>
                    <w:szCs w:val="22"/>
                    <w:lang w:val="en-US"/>
                  </w:rPr>
                  <w:t>3.</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 xml:space="preserve">Tikslas. </w:t>
                </w:r>
                <w:r>
                  <w:rPr>
                    <w:b/>
                    <w:color w:val="000000"/>
                    <w:sz w:val="22"/>
                    <w:szCs w:val="22"/>
                  </w:rPr>
                  <w:t>Mažinti potvynių riziką ir jų padarinius šalies teritorijoje</w:t>
                </w:r>
              </w:p>
            </w:tc>
          </w:tr>
          <w:tr>
            <w:tc>
              <w:tcPr>
                <w:tcW w:w="0" w:type="auto"/>
                <w:tcBorders>
                  <w:top w:val="single" w:sz="4"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3.1.</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 xml:space="preserve">Uždavinys. Įgyvendinti veiksmingą potvynių valdymą, rizikos vertinimą ir mažinimą </w:t>
                </w:r>
              </w:p>
            </w:tc>
          </w:tr>
          <w:tr>
            <w:trPr>
              <w:trHeight w:val="1152"/>
            </w:trPr>
            <w:tc>
              <w:tcPr>
                <w:tcW w:w="0" w:type="auto"/>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3.1.1.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Priemonė.</w:t>
                </w:r>
                <w:r>
                  <w:rPr>
                    <w:sz w:val="22"/>
                    <w:szCs w:val="22"/>
                  </w:rPr>
                  <w:t xml:space="preserve"> </w:t>
                </w:r>
                <w:r>
                  <w:rPr>
                    <w:b/>
                    <w:sz w:val="22"/>
                    <w:szCs w:val="22"/>
                  </w:rPr>
                  <w:t xml:space="preserve">Stiprinti potvynių prevenciją potvynių grėsmės teritorijose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color w:val="000000"/>
                    <w:sz w:val="22"/>
                    <w:szCs w:val="22"/>
                  </w:rPr>
                  <w:t xml:space="preserve">AM, </w:t>
                </w:r>
                <w:r>
                  <w:rPr>
                    <w:sz w:val="22"/>
                    <w:szCs w:val="22"/>
                    <w:lang w:eastAsia="lt-LT"/>
                  </w:rPr>
                  <w:t>VRM</w:t>
                </w:r>
                <w:r>
                  <w:rPr>
                    <w:sz w:val="22"/>
                    <w:szCs w:val="22"/>
                  </w:rPr>
                  <w:t xml:space="preserve">, </w:t>
                </w:r>
                <w:r>
                  <w:rPr>
                    <w:color w:val="000000"/>
                    <w:sz w:val="22"/>
                    <w:szCs w:val="22"/>
                  </w:rPr>
                  <w:t>s</w:t>
                </w:r>
                <w:r>
                  <w:rPr>
                    <w:sz w:val="22"/>
                    <w:szCs w:val="22"/>
                  </w:rPr>
                  <w:t xml:space="preserve">avivaldybės, </w:t>
                </w:r>
                <w:r>
                  <w:rPr>
                    <w:color w:val="000000"/>
                    <w:sz w:val="22"/>
                    <w:szCs w:val="22"/>
                  </w:rPr>
                  <w:t>valstybės įmonė (toliau – VĮ) Valstybinių miškų urėdija, Lietuvos Respublikos k</w:t>
                </w:r>
                <w:r>
                  <w:rPr>
                    <w:sz w:val="22"/>
                    <w:szCs w:val="22"/>
                  </w:rPr>
                  <w:t>ultūros ministerija,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b/>
                    <w:color w:val="000000"/>
                    <w:sz w:val="22"/>
                    <w:szCs w:val="22"/>
                  </w:rPr>
                </w:pPr>
                <w:r>
                  <w:rPr>
                    <w:color w:val="000000"/>
                    <w:sz w:val="22"/>
                    <w:szCs w:val="22"/>
                  </w:rPr>
                  <w:t>VĮ Valstybinių miškų urėdijos ir valstybės biudžeto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3.1.1.1.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VĮ Valstybinių miškų urėdijos iniciatyva laisvos valstybinės žemės fondo žemėje suformuoti sklypus naujiems miškams įveisti Bartuvos upės baseine, Lielupės mažųjų intakų, Nevėžio ir Šešupės pabaseiniuose, parengti Lietuvos Respublikos Vyriausybės nutarimo projektą dėl šių sklypų perdavimo patikėjimo teise VĮ Valstybinių miškų urėdijai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color w:val="000000"/>
                    <w:sz w:val="22"/>
                    <w:szCs w:val="22"/>
                  </w:rPr>
                  <w:t>VĮ Valstybinių miškų urėdija,</w:t>
                </w:r>
              </w:p>
              <w:p>
                <w:pPr>
                  <w:rPr>
                    <w:color w:val="000000"/>
                    <w:sz w:val="22"/>
                    <w:szCs w:val="22"/>
                  </w:rPr>
                </w:pPr>
                <w:r>
                  <w:rPr>
                    <w:color w:val="000000"/>
                    <w:sz w:val="22"/>
                    <w:szCs w:val="22"/>
                  </w:rPr>
                  <w:t>AM, Nacionalinė žemės tarnyba prie Aplinkos ministerijos</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rPr>
                  <w:t>VĮ Valstybinių miškų urėdijos biudžeto lėšos ir valstybės biudžeto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3.1.1.2.</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Įveisti naujus miškus VĮ Valstybinių miškų urėdijai patikėjimo teise perduotuose laisvos valstybinės žemės fondo žemės sklypuose Lielupės mažųjų intakų, Nevėžio ir Šešupės pabaseiniuose ir jų takoskyrose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color w:val="000000"/>
                    <w:sz w:val="22"/>
                    <w:szCs w:val="22"/>
                  </w:rPr>
                  <w:t>VĮ Valstybinių miškų urėdija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VĮ Valstybinių miškų urėdijos biudžeto lėšos ir valstybės biudžeto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3.1.1.3.</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Sureguliuotuose vandens telkiniuose (Šyšos ir Zuniškės upėse) potvynių užliejamose teritorijose taikyti upių vagų renatūralizavimo priemones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color w:val="000000"/>
                    <w:sz w:val="22"/>
                    <w:szCs w:val="22"/>
                  </w:rPr>
                  <w:t xml:space="preserve">APVA, Šilutės r. sav., AAA, Mažosios Lietuvos saugomų teritorijų direkcija (Nemuno deltos regioninis parkas)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hideMark/>
              </w:tcPr>
              <w:p>
                <w:pPr>
                  <w:rPr>
                    <w:sz w:val="22"/>
                    <w:szCs w:val="22"/>
                  </w:rPr>
                </w:pPr>
                <w:r>
                  <w:rPr>
                    <w:sz w:val="22"/>
                    <w:szCs w:val="22"/>
                  </w:rPr>
                  <w:t>3.1.1.4.</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Pagal Lietuvos hidrometeorologijos tarnybos parengtą tvarką kiekvienais metais teikti duomenis apie ledo sangrūdas ir užliejimus Lietuvos hidrometeorologijos tarnybai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Savivaldybių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analitinis</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hideMark/>
              </w:tcPr>
              <w:p>
                <w:pPr>
                  <w:rPr>
                    <w:sz w:val="22"/>
                    <w:szCs w:val="22"/>
                  </w:rPr>
                </w:pPr>
                <w:r>
                  <w:rPr>
                    <w:sz w:val="22"/>
                    <w:szCs w:val="22"/>
                  </w:rPr>
                  <w:t>3.1.1.5.</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Informuoti visuomenę, ypač vietines bendruomenes. Periodiškai rengti ir publikuoti užsakomuosius straipsnius, informacinius pranešimus internete ir spaudoje apie potvynių grėsmes, viešinti potvynių grėsmės ir rizikos žemėlapius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Savivaldybių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komunikacinis</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3.1.1.6.</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Potvynių grėsmės teritorijose įvertinti potvynių keliamą pavojų </w:t>
                </w:r>
                <w:r>
                  <w:rPr>
                    <w:color w:val="000000"/>
                    <w:sz w:val="22"/>
                    <w:szCs w:val="22"/>
                  </w:rPr>
                  <w:t>nekilnojamosioms ir</w:t>
                </w:r>
                <w:r>
                  <w:rPr>
                    <w:b/>
                    <w:color w:val="000000"/>
                    <w:sz w:val="22"/>
                    <w:szCs w:val="22"/>
                  </w:rPr>
                  <w:t xml:space="preserve"> </w:t>
                </w:r>
                <w:r>
                  <w:rPr>
                    <w:sz w:val="22"/>
                    <w:szCs w:val="22"/>
                  </w:rPr>
                  <w:t>kilnojamosioms kultūros vertybėms, įtrauktoms į valstybinę kilnojamųjų kultūros vertybių apskaitą, prireikus parengti jų evakuacijos planus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color w:val="000000"/>
                    <w:sz w:val="22"/>
                    <w:szCs w:val="22"/>
                  </w:rPr>
                  <w:t>Kilnojamųjų kultūros vertybių valdytojai, Kultūros paveldo departamentas prie Kultūros ministerijos, savivaldybės</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highlight w:val="yellow"/>
                  </w:rPr>
                </w:pPr>
                <w:r>
                  <w:rPr>
                    <w:color w:val="000000"/>
                    <w:sz w:val="22"/>
                    <w:szCs w:val="22"/>
                  </w:rPr>
                  <w:t>Kilnojamųjų kultūros vertybių valdytojų lėšos ir (arba) s</w:t>
                </w:r>
                <w:r>
                  <w:rPr>
                    <w:sz w:val="22"/>
                    <w:szCs w:val="22"/>
                  </w:rPr>
                  <w:t xml:space="preserve">avivaldybių biudžetas </w:t>
                </w:r>
                <w:r>
                  <w:rPr>
                    <w:color w:val="000000"/>
                    <w:sz w:val="22"/>
                    <w:szCs w:val="22"/>
                  </w:rPr>
                  <w:t>ir (arba) v</w:t>
                </w:r>
                <w:r>
                  <w:rPr>
                    <w:sz w:val="22"/>
                    <w:szCs w:val="22"/>
                  </w:rPr>
                  <w:t>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3.1.1.7.</w:t>
                </w:r>
              </w:p>
            </w:tc>
            <w:tc>
              <w:tcPr>
                <w:tcW w:w="13651" w:type="dxa"/>
                <w:gridSpan w:val="5"/>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i/>
                    <w:sz w:val="22"/>
                    <w:szCs w:val="22"/>
                  </w:rPr>
                </w:pPr>
                <w:r>
                  <w:rPr>
                    <w:i/>
                    <w:sz w:val="22"/>
                    <w:szCs w:val="22"/>
                  </w:rPr>
                  <w:t>Neteko galios nuo 2024-09-25</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3.1.2.</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w:t>
                </w:r>
                <w:r>
                  <w:rPr>
                    <w:sz w:val="22"/>
                    <w:szCs w:val="22"/>
                  </w:rPr>
                  <w:t xml:space="preserve"> </w:t>
                </w:r>
                <w:r>
                  <w:rPr>
                    <w:b/>
                    <w:sz w:val="22"/>
                    <w:szCs w:val="22"/>
                  </w:rPr>
                  <w:t>Mažinti potvynių metu užliejamų apgyvendintų teritorijų plotus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sz w:val="22"/>
                    <w:szCs w:val="22"/>
                  </w:rPr>
                  <w:t>Savivaldybės,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3.1.2.1.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4"/>
                    <w:lang w:eastAsia="lt-LT"/>
                  </w:rPr>
                </w:pPr>
                <w:r>
                  <w:rPr>
                    <w:sz w:val="22"/>
                    <w:szCs w:val="24"/>
                    <w:lang w:eastAsia="lt-LT"/>
                  </w:rPr>
                  <w:t xml:space="preserve">Potvynių užliejamose teritorijose įgyvendinti potvynių rizikos mažinimo priemones, nurodytas 4 priede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4"/>
                    <w:lang w:eastAsia="lt-LT"/>
                  </w:rPr>
                </w:pPr>
                <w:r>
                  <w:rPr>
                    <w:sz w:val="22"/>
                    <w:szCs w:val="24"/>
                    <w:lang w:eastAsia="lt-LT"/>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4"/>
                    <w:lang w:eastAsia="lt-LT"/>
                  </w:rPr>
                </w:pPr>
                <w:r>
                  <w:rPr>
                    <w:sz w:val="22"/>
                    <w:szCs w:val="24"/>
                    <w:lang w:eastAsia="lt-LT"/>
                  </w:rPr>
                  <w:t xml:space="preserve">Savivaldybės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4"/>
                    <w:lang w:eastAsia="lt-LT"/>
                  </w:rPr>
                </w:pPr>
                <w:r>
                  <w:rPr>
                    <w:sz w:val="22"/>
                    <w:szCs w:val="24"/>
                    <w:lang w:eastAsia="lt-LT"/>
                  </w:rPr>
                  <w:t>2021–2027 m. ES lėšos,</w:t>
                </w:r>
              </w:p>
              <w:p>
                <w:pPr>
                  <w:textAlignment w:val="baseline"/>
                  <w:rPr>
                    <w:b/>
                    <w:bCs/>
                    <w:sz w:val="22"/>
                    <w:szCs w:val="24"/>
                    <w:lang w:eastAsia="lt-LT"/>
                  </w:rPr>
                </w:pPr>
                <w:r>
                  <w:rPr>
                    <w:sz w:val="22"/>
                    <w:szCs w:val="24"/>
                    <w:lang w:eastAsia="lt-LT"/>
                  </w:rPr>
                  <w:t xml:space="preserve">valstybės biudžetas, </w:t>
                </w:r>
                <w:r>
                  <w:rPr>
                    <w:color w:val="000000"/>
                    <w:sz w:val="22"/>
                  </w:rPr>
                  <w:t>savivaldybių biudžetai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4"/>
                    <w:lang w:eastAsia="lt-LT"/>
                  </w:rPr>
                </w:pPr>
                <w:r>
                  <w:rPr>
                    <w:sz w:val="22"/>
                    <w:szCs w:val="24"/>
                    <w:lang w:eastAsia="lt-LT"/>
                  </w:rPr>
                  <w:t>investicinis</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3.1.2.</w:t>
                </w:r>
                <w:r>
                  <w:rPr>
                    <w:sz w:val="22"/>
                    <w:szCs w:val="22"/>
                    <w:lang w:eastAsia="lt-LT"/>
                  </w:rPr>
                  <w:t>2</w:t>
                </w:r>
                <w:r>
                  <w:rPr>
                    <w:sz w:val="22"/>
                    <w:szCs w:val="22"/>
                  </w:rPr>
                  <w:t>.</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Atsižvelgiant į naujausias apsaugos nuo potvynių struktūrines priemones ir statinio ypatumus potvynių grėsmės teritorijoje, peržiūrėti statybos techninius reglamentus ir nustatyti reikalavimus statinių projektavimui ir (ar) statybai šiose teritorijose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color w:val="000000"/>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3.1.2.3.</w:t>
                </w:r>
              </w:p>
            </w:tc>
            <w:tc>
              <w:tcPr>
                <w:tcW w:w="13651" w:type="dxa"/>
                <w:gridSpan w:val="5"/>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i/>
                    <w:sz w:val="22"/>
                    <w:szCs w:val="22"/>
                  </w:rPr>
                  <w:t>Neteko galios nuo 2024-09-25</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3.1.2.4.</w:t>
                </w:r>
              </w:p>
            </w:tc>
            <w:tc>
              <w:tcPr>
                <w:tcW w:w="13651" w:type="dxa"/>
                <w:gridSpan w:val="5"/>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i/>
                    <w:sz w:val="22"/>
                    <w:szCs w:val="22"/>
                  </w:rPr>
                  <w:t>Neteko galios nuo 2024-09-25</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3.1.3.</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w:t>
                </w:r>
                <w:r>
                  <w:rPr>
                    <w:sz w:val="22"/>
                    <w:szCs w:val="22"/>
                  </w:rPr>
                  <w:t xml:space="preserve"> </w:t>
                </w:r>
                <w:r>
                  <w:rPr>
                    <w:b/>
                    <w:sz w:val="22"/>
                    <w:szCs w:val="22"/>
                  </w:rPr>
                  <w:t>Įgyvendinant Direktyvos 2007/60/EB reikalavimus, parengti naujo periodo strateginius dokumentus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w:t>
                </w:r>
              </w:p>
              <w:p>
                <w:pPr>
                  <w:rPr>
                    <w:color w:val="000000"/>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3.1.3.1.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Atsižvelgiant į 2007 m. spalio 23 d. Europos Parlamento ir Tarybos direktyvos 2007/60/EB dėl potvynių rizikos įvertinimo ir valdymo reikalavimus, peržiūrėti ir prireikus atnaujinti preliminaraus potvynių vertinimo ataskaitą, potvynių rizikos ir potvynių grėsmės žemėlapius, potvynių rizikos mažinimo planą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ir (arba) 2021–2027 m. ES lėšos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rPr>
              <w:trHeight w:val="300"/>
            </w:trPr>
            <w:tc>
              <w:tcPr>
                <w:tcW w:w="0" w:type="auto"/>
                <w:tcBorders>
                  <w:top w:val="single" w:sz="6"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4.</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b/>
                    <w:sz w:val="22"/>
                    <w:szCs w:val="22"/>
                  </w:rPr>
                </w:pPr>
                <w:r>
                  <w:rPr>
                    <w:b/>
                    <w:sz w:val="22"/>
                    <w:szCs w:val="22"/>
                  </w:rPr>
                  <w:t>Tikslas. Stiprinti vandens telkinių valdymo sistemą, kontroliuoti Lietuvos tarptautinių ir ES vandenų srities įpareigojimų vykdymą</w:t>
                </w:r>
              </w:p>
              <w:p>
                <w:pPr>
                  <w:ind w:right="45"/>
                  <w:textAlignment w:val="baseline"/>
                  <w:rPr>
                    <w:b/>
                    <w:sz w:val="22"/>
                    <w:szCs w:val="22"/>
                  </w:rPr>
                </w:pPr>
              </w:p>
            </w:tc>
          </w:tr>
          <w:tr>
            <w:trPr>
              <w:trHeight w:val="30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4.1.</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b/>
                    <w:sz w:val="22"/>
                    <w:szCs w:val="22"/>
                  </w:rPr>
                </w:pPr>
                <w:r>
                  <w:rPr>
                    <w:b/>
                    <w:sz w:val="22"/>
                    <w:szCs w:val="22"/>
                  </w:rPr>
                  <w:t>Uždavinys. Efektyviau įgyvendinti vandensaugos ir vandens naudojimo reikalavimus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4.1.1.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b/>
                    <w:sz w:val="22"/>
                    <w:szCs w:val="22"/>
                  </w:rPr>
                  <w:t>Priemonė. Skatinti tarpvalstybinį bendradarbiavimą vandens telkinių būklei gerinti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w:t>
                </w:r>
                <w:r>
                  <w:rPr>
                    <w:color w:val="000000"/>
                    <w:sz w:val="22"/>
                    <w:szCs w:val="22"/>
                  </w:rPr>
                  <w:t>Lietuvos Respublikos u</w:t>
                </w:r>
                <w:r>
                  <w:rPr>
                    <w:sz w:val="22"/>
                    <w:szCs w:val="22"/>
                  </w:rPr>
                  <w:t>žsienio reikalų ministerija (toliau – URM)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4.1.1.1.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Tęsti Lietuvos ir Lenkijos bendradarbiavimą tarptautinio Nemuno upių baseinų rajono valdymo srityje Lietuvos ir Lenkijos tarpvalstybinių vandenų komisijos darbo grupėse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AAA, LGT, LHMT, </w:t>
                </w:r>
                <w:r>
                  <w:rPr>
                    <w:sz w:val="22"/>
                    <w:szCs w:val="22"/>
                    <w:lang w:eastAsia="lt-LT"/>
                  </w:rPr>
                  <w:t>URM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komunikacinis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4.1.1.2.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Tęsti Lietuvos ir Latvijos bendradarbiavimą tarptautinių Ventos, Dauguvos ir Lielupės upių baseinų rajonų valdymo srityje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AAA, LGT, LHMT, URM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Valstybės biudžetas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komunikacinis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w:t>
                </w:r>
                <w:r>
                  <w:rPr>
                    <w:sz w:val="22"/>
                    <w:szCs w:val="22"/>
                  </w:rPr>
                  <w:t xml:space="preserve"> </w:t>
                </w:r>
                <w:r>
                  <w:rPr>
                    <w:b/>
                    <w:sz w:val="22"/>
                    <w:szCs w:val="22"/>
                  </w:rPr>
                  <w:t>Tobulinti vandens telkinių būklės įvertinimą ir monitoringą</w:t>
                </w:r>
                <w:r>
                  <w:rPr>
                    <w:sz w:val="22"/>
                    <w:szCs w:val="22"/>
                  </w:rPr>
                  <w:t xml:space="preserv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sz w:val="22"/>
                    <w:szCs w:val="22"/>
                  </w:rPr>
                  <w:t>AM</w:t>
                </w:r>
                <w:r>
                  <w:rPr>
                    <w:sz w:val="22"/>
                    <w:szCs w:val="22"/>
                    <w:lang w:eastAsia="lt-LT"/>
                  </w:rPr>
                  <w:t>, VERT</w:t>
                </w:r>
              </w:p>
              <w:p>
                <w:pPr>
                  <w:rPr>
                    <w:sz w:val="18"/>
                    <w:szCs w:val="18"/>
                  </w:rPr>
                </w:pP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w:t>
                </w:r>
                <w:r>
                  <w:rPr>
                    <w:sz w:val="22"/>
                    <w:szCs w:val="22"/>
                    <w:lang w:val="en-US"/>
                  </w:rPr>
                  <w:t>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Atlikti tyrimus vandens telkinių būklei patikslinti (1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2023–2024</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w:t>
                </w:r>
                <w:r>
                  <w:rPr>
                    <w:sz w:val="22"/>
                    <w:szCs w:val="22"/>
                    <w:lang w:val="en-US"/>
                  </w:rPr>
                  <w:t>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ir vykdyti tyrimų programas žuvų bendrijų rodiklių, kurie apibūdina paviršinių vandens telkinių ekologinę būklę, įvertinimui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w:t>
                </w:r>
                <w:r>
                  <w:rPr>
                    <w:sz w:val="22"/>
                    <w:szCs w:val="22"/>
                    <w:lang w:val="en-US"/>
                  </w:rPr>
                  <w:t>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ir vykdyti tyrimų programas vandens floros rodiklių, kurie apibūdina paviršinių vandens telkinių ekologinę būklę, įvertinimui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w:t>
                </w:r>
                <w:r>
                  <w:rPr>
                    <w:sz w:val="22"/>
                    <w:szCs w:val="22"/>
                    <w:lang w:val="en-US"/>
                  </w:rPr>
                  <w:t>2.4.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ir vykdyti tyrimų programas pavojingų medžiagų, kurios apibūdina paviršinių vandens telkinių cheminę būklę, paplitimui ir kiekiui įvertinti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w:t>
                </w:r>
                <w:r>
                  <w:rPr>
                    <w:sz w:val="22"/>
                    <w:szCs w:val="22"/>
                    <w:lang w:val="en-US"/>
                  </w:rPr>
                  <w:t>2.5.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ir vykdyti tyrimų programas hidromorfologinių rodiklių, kurie apibūdina paviršinių vandens telkinių ekologinę būklę, įvertinimui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r>
                  <w:rPr>
                    <w:sz w:val="22"/>
                    <w:szCs w:val="22"/>
                    <w:lang w:eastAsia="lt-LT"/>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4.1.2.6.</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Įvertinti sąnaudų teikiant vandens paslaugas susigrąžinimo principo įgyvendinimą peržiūrint nacionalinę mokesčių už vandens paslaugas sistemą, tarifus, prireikus siūlyti teisės aktų projektų pakeitimus tinkamam šio principo įgyvendinimui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VERT</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w:t>
                </w:r>
                <w:r>
                  <w:rPr>
                    <w:sz w:val="22"/>
                    <w:szCs w:val="22"/>
                  </w:rPr>
                  <w:t xml:space="preserve"> </w:t>
                </w:r>
                <w:r>
                  <w:rPr>
                    <w:b/>
                    <w:sz w:val="22"/>
                    <w:szCs w:val="22"/>
                  </w:rPr>
                  <w:t>Atlikti išimčių gerai vandens telkinių būklei pasiekti taikymo sąnaudų ir naudos analizę</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Išanalizuoti galimus praktinius būdus taikyti </w:t>
                </w:r>
                <w:r>
                  <w:rPr>
                    <w:bCs/>
                    <w:sz w:val="22"/>
                    <w:szCs w:val="22"/>
                    <w:lang w:eastAsia="lt-LT"/>
                  </w:rPr>
                  <w:t>Direktyvos</w:t>
                </w:r>
                <w:r>
                  <w:rPr>
                    <w:sz w:val="22"/>
                    <w:szCs w:val="22"/>
                  </w:rPr>
                  <w:t xml:space="preserve"> 2000/60/EB 4 straipsnio 7 punkte nurodytos išimties c) ir d) papunkčiuose </w:t>
                </w:r>
                <w:r>
                  <w:rPr>
                    <w:bCs/>
                    <w:sz w:val="22"/>
                    <w:szCs w:val="22"/>
                    <w:lang w:eastAsia="lt-LT"/>
                  </w:rPr>
                  <w:t>minimas</w:t>
                </w:r>
                <w:r>
                  <w:rPr>
                    <w:sz w:val="22"/>
                    <w:szCs w:val="22"/>
                  </w:rPr>
                  <w:t xml:space="preserve"> sąlygas </w:t>
                </w:r>
                <w:r>
                  <w:rPr>
                    <w:bCs/>
                    <w:sz w:val="22"/>
                    <w:szCs w:val="22"/>
                    <w:lang w:eastAsia="lt-LT"/>
                  </w:rPr>
                  <w:t>ir</w:t>
                </w:r>
                <w:r>
                  <w:rPr>
                    <w:sz w:val="22"/>
                    <w:szCs w:val="22"/>
                  </w:rPr>
                  <w:t xml:space="preserve"> parengti metodiką, kuria remiantis būtų galima pagrįsti </w:t>
                </w:r>
                <w:r>
                  <w:rPr>
                    <w:bCs/>
                    <w:sz w:val="22"/>
                    <w:szCs w:val="22"/>
                    <w:lang w:eastAsia="lt-LT"/>
                  </w:rPr>
                  <w:t>atitiktį</w:t>
                </w:r>
                <w:r>
                  <w:rPr>
                    <w:sz w:val="22"/>
                    <w:szCs w:val="22"/>
                  </w:rPr>
                  <w:t xml:space="preserve"> minėtoms išimties sąlygoms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LIFE SIP lėšos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4.1.3.</w:t>
                </w:r>
                <w:r>
                  <w:rPr>
                    <w:sz w:val="22"/>
                    <w:szCs w:val="22"/>
                    <w:lang w:eastAsia="lt-LT"/>
                  </w:rPr>
                  <w:t>2</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 xml:space="preserve">Atlikti </w:t>
                </w:r>
                <w:r>
                  <w:rPr>
                    <w:bCs/>
                    <w:sz w:val="22"/>
                    <w:szCs w:val="22"/>
                    <w:lang w:eastAsia="lt-LT"/>
                  </w:rPr>
                  <w:t>Direktyvos</w:t>
                </w:r>
                <w:r>
                  <w:rPr>
                    <w:sz w:val="22"/>
                    <w:szCs w:val="22"/>
                  </w:rPr>
                  <w:t xml:space="preserve"> 2000/60/EB 4 straipsnio 7 punkte c) ir d) papunkčiuose nurodytų išimčių taikymo pagrindimo sąnaudų efektyvumo analizę palyginant galimybių sąnaudas. Įvertinti gamtines sąlygas vandensaugos tikslams pasiekti ir išimčių taikymo pagrindimui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AAA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LIFE SIP lėšos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b/>
                    <w:sz w:val="22"/>
                    <w:szCs w:val="22"/>
                  </w:rPr>
                  <w:t>Priemonė.</w:t>
                </w:r>
                <w:r>
                  <w:rPr>
                    <w:sz w:val="22"/>
                    <w:szCs w:val="22"/>
                  </w:rPr>
                  <w:t xml:space="preserve"> </w:t>
                </w:r>
                <w:r>
                  <w:rPr>
                    <w:b/>
                    <w:sz w:val="22"/>
                    <w:szCs w:val="22"/>
                    <w:lang w:val="en-GB"/>
                  </w:rPr>
                  <w:t xml:space="preserve">Įgyvendinant </w:t>
                </w:r>
                <w:r>
                  <w:rPr>
                    <w:b/>
                    <w:sz w:val="22"/>
                    <w:szCs w:val="22"/>
                  </w:rPr>
                  <w:t>Direktyvų 2000/60/EB, 2007/60/EB ir 2008/56/EB reikalavimus, parengti naujo UBR periodo strateginius dokumentus</w:t>
                </w:r>
              </w:p>
              <w:p>
                <w:pPr>
                  <w:rPr>
                    <w:sz w:val="18"/>
                    <w:szCs w:val="18"/>
                  </w:rPr>
                </w:pPr>
              </w:p>
              <w:p>
                <w:pPr>
                  <w:textAlignment w:val="baseline"/>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4.1.4.</w:t>
                </w:r>
                <w:r>
                  <w:rPr>
                    <w:sz w:val="22"/>
                    <w:szCs w:val="22"/>
                    <w:lang w:eastAsia="lt-LT"/>
                  </w:rPr>
                  <w:t>1</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Parengti naujo periodo Nemuno, Ventos, Dauguvos ir Lielupės upių baseinų rajonų planus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2025–2027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LGT,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ir (arba) 2021–2027 m. ES lėšos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4.1.4.</w:t>
                </w:r>
                <w:r>
                  <w:rPr>
                    <w:sz w:val="22"/>
                    <w:szCs w:val="22"/>
                    <w:lang w:eastAsia="lt-LT"/>
                  </w:rPr>
                  <w:t>2</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Parengti naujo periodo priemones ir veiksmus gerai paviršinių ir požeminių vandens telkinių būklei pasiekti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2025–2027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LGT,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4.1.4.3.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Atlikti priemonių gerai vandens telkinių būklei pasiekti sąnaudų efektyvumo analizę palyginant galimybių sąnaudas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LGT,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ir (arba) 2021–2027 m. ES lėšos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4.1.4.</w:t>
                </w:r>
                <w:r>
                  <w:rPr>
                    <w:sz w:val="22"/>
                    <w:szCs w:val="22"/>
                    <w:lang w:eastAsia="lt-LT"/>
                  </w:rPr>
                  <w:t>4</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Atnaujinti jūros aplinkos būklės įvertinimą, geros būklės savybes, jūros aplinkos apsaugos tikslus ir monitoringo programą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4.1.4.5.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Parengti priemones ir veiksmus </w:t>
                </w:r>
                <w:r>
                  <w:rPr>
                    <w:sz w:val="22"/>
                    <w:szCs w:val="22"/>
                    <w:lang w:eastAsia="lt-LT"/>
                  </w:rPr>
                  <w:t xml:space="preserve">pasiekti </w:t>
                </w:r>
                <w:r>
                  <w:rPr>
                    <w:sz w:val="22"/>
                    <w:szCs w:val="22"/>
                  </w:rPr>
                  <w:t>gerai jūros aplinkos būklei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2025–2027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rPr>
                  <w:t>4.1.</w:t>
                </w:r>
                <w:r>
                  <w:rPr>
                    <w:sz w:val="22"/>
                    <w:szCs w:val="22"/>
                    <w:lang w:val="en-US"/>
                  </w:rPr>
                  <w:t>5.</w:t>
                </w:r>
                <w:r>
                  <w:rPr>
                    <w:sz w:val="22"/>
                    <w:szCs w:val="22"/>
                  </w:rPr>
                  <w:t xml:space="preserve"> </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b/>
                    <w:sz w:val="22"/>
                    <w:szCs w:val="22"/>
                  </w:rPr>
                </w:pPr>
                <w:r>
                  <w:rPr>
                    <w:b/>
                    <w:sz w:val="22"/>
                    <w:szCs w:val="22"/>
                  </w:rPr>
                  <w:t>Priemonė. Vykdyti savivaldybių monitoringą vandens telkinių intakuose ir (ar) ištakose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4.1.5.1.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Siekiant nustatyti į 3 priede nurodytus ežerus patenkančių maistinių medžiagų kiekį ir (arba) jų balansą, vykdyti savivaldybių monitoringo programas vandens telkinių intakuose ir (ar) ištakuose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Savivaldybių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w:t>
                </w:r>
                <w:r>
                  <w:rPr>
                    <w:sz w:val="22"/>
                    <w:szCs w:val="22"/>
                    <w:lang w:val="en-US"/>
                  </w:rPr>
                  <w:t>6</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w:t>
                </w:r>
                <w:r>
                  <w:rPr>
                    <w:sz w:val="22"/>
                    <w:szCs w:val="22"/>
                  </w:rPr>
                  <w:t xml:space="preserve"> </w:t>
                </w:r>
                <w:r>
                  <w:rPr>
                    <w:b/>
                    <w:sz w:val="22"/>
                    <w:szCs w:val="22"/>
                  </w:rPr>
                  <w:t>Įsigyti įrangos ir priemonių paviršinių vandens telkinių būklės tyrimams</w:t>
                </w:r>
                <w:r>
                  <w:rPr>
                    <w:sz w:val="22"/>
                    <w:szCs w:val="22"/>
                  </w:rPr>
                  <w:t xml:space="preserv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4.1.6.1.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Įsigyti įrangos ir priemonių paviršinių vandens telkinių būklės stebėsenai stiprinti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 APVA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4.1.6.2.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Įsigyti įrangos ir priemonių požeminio vandens būklės stebėsenai stiprinti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LGT, AM, APVA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4.1.7.</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 Informuoti visuomenę apie vandens telkinių būklę, taršos šaltinius, būdus padėti mažinti taršą</w:t>
                </w:r>
                <w:r>
                  <w:rPr>
                    <w:sz w:val="22"/>
                    <w:szCs w:val="22"/>
                  </w:rPr>
                  <w:t xml:space="preserv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4.1.7.1</w:t>
                </w:r>
                <w:r>
                  <w:rPr>
                    <w:sz w:val="22"/>
                    <w:szCs w:val="22"/>
                    <w:lang w:eastAsia="lt-LT"/>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Informuoti netoliese vandens telkinių, nurodytų 1, 2 ir 3 prieduose, gyvenančius gyventojus apie telkinių būklę, taršą, jos priežastis. Informuoti apie taršos iš namų ūkių mažinimo ir tvaraus žemės ūkio galimybes, ekonominę ir aplinkosauginę naudą, galimybes gauti ES paramą vandensaugos problemoms spręsti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 AAA,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4.1.7.2.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Vykdyti švietimo ir informavimo kampanijas, kuriomis siekiama plačiau skleisti informaciją apie atsakingą elgesį su buitinės chemijos gaminiais ir pavojingomis medžiagomis, kad jos nepatektų į aplinką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 APVA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ir (arba) 2021–2027 m. ES lėšos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komunikacinė</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4.1.7.3.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 xml:space="preserve">Vykdyti švietimo ir informavimo kampanijas siekiant informuoti visuomenę apie farmacinių medžiagų paplitimą aplinkoje, jų patvarumą ir kenksmingą poveikį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 APVA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ir (arba) 2021–2027 m. ES lėšos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komunikacinė</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4.1.7.4.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Vykdyti švietimo ir informavimo kampanijas apie išleidžiamas pavojingas medžiagas šiose ūkio šakose: dažų pramonė, metalo apdirbimo, plastikų, statybinių medžiagų gamyba, automobilių plovyklos, pramoninio ir buitinės paskirties valymo priemonių naudojimas ir gaminimas, pneumatinių prietaisų skysčių naudojimas ir gaminimas, audinių ir odos apdorojimas, metalurgijos, mašinų gamybos, galvanizavimo procesai, akmens anglies deginimas; iškastinio kuro deginimas, naftos perdirbimo įmonės, laivų korpusų dažymas ir apdorojimas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AAA, AM, APVA</w:t>
                </w:r>
              </w:p>
              <w:p>
                <w:pPr>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komunikacinė</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4.2.</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textAlignment w:val="baseline"/>
                  <w:rPr>
                    <w:b/>
                    <w:sz w:val="22"/>
                    <w:szCs w:val="22"/>
                  </w:rPr>
                </w:pPr>
                <w:r>
                  <w:rPr>
                    <w:b/>
                    <w:sz w:val="22"/>
                    <w:szCs w:val="22"/>
                  </w:rPr>
                  <w:t xml:space="preserve">Uždavinys. Stiprinti vandenų srities aplinkos apsaugos valstybinę kontrolę </w:t>
                </w:r>
              </w:p>
              <w:p>
                <w:pPr>
                  <w:rPr>
                    <w:sz w:val="18"/>
                    <w:szCs w:val="18"/>
                  </w:rPr>
                </w:pPr>
              </w:p>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b/>
                    <w:sz w:val="22"/>
                    <w:szCs w:val="22"/>
                  </w:rPr>
                  <w:t>Priemonė. Tobulinti teisės aktus, susijusius su paviršinio vandens telkinių apsaugos zonų ir pakrančių apsaugos juostų reglamentavimu</w:t>
                </w:r>
                <w:r>
                  <w:rPr>
                    <w:sz w:val="22"/>
                    <w:szCs w:val="22"/>
                  </w:rPr>
                  <w:t xml:space="preserve"> </w:t>
                </w:r>
              </w:p>
              <w:p>
                <w:pPr>
                  <w:rPr>
                    <w:sz w:val="18"/>
                    <w:szCs w:val="18"/>
                  </w:rPr>
                </w:pPr>
              </w:p>
              <w:p>
                <w:pPr>
                  <w:textAlignment w:val="baseline"/>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4.2.1.1.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Užtikrinti Lietuvos Respublikos specialiųjų žemės naudojimo sąlygų įstatyme nustatytų reikalavimų laikymąsi; peržiūrėti paviršinio vandens telkinių apsaugos zonas ir pakrančių apsaugos juostas reglamentuojančią teisinę bazę ir atlikti reikiamus pakeitimus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w:t>
                </w:r>
                <w:r>
                  <w:rPr>
                    <w:sz w:val="22"/>
                    <w:szCs w:val="22"/>
                    <w:lang w:val="en-US"/>
                  </w:rPr>
                  <w:t>2</w:t>
                </w:r>
                <w:r>
                  <w:rPr>
                    <w:sz w:val="22"/>
                    <w:szCs w:val="22"/>
                  </w:rPr>
                  <w:t xml:space="preserve">.2. </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b/>
                    <w:sz w:val="22"/>
                    <w:szCs w:val="22"/>
                  </w:rPr>
                  <w:t>Priemonė.</w:t>
                </w:r>
                <w:r>
                  <w:rPr>
                    <w:sz w:val="22"/>
                    <w:szCs w:val="22"/>
                  </w:rPr>
                  <w:t xml:space="preserve"> </w:t>
                </w:r>
                <w:r>
                  <w:rPr>
                    <w:b/>
                    <w:sz w:val="22"/>
                    <w:szCs w:val="22"/>
                  </w:rPr>
                  <w:t>Griežtinti hidrotechnikos statinių savininkų arba valdytojų kontrolę dėl žuvų pralaidų įrengimo ir leistinų vandens lygio tvenkinyje svyravimų užtikrinimo</w:t>
                </w:r>
              </w:p>
              <w:p>
                <w:pPr>
                  <w:rPr>
                    <w:sz w:val="18"/>
                    <w:szCs w:val="18"/>
                  </w:rPr>
                </w:pPr>
              </w:p>
              <w:p>
                <w:pPr>
                  <w:textAlignment w:val="baseline"/>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4.2.2.1.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sz w:val="22"/>
                    <w:szCs w:val="22"/>
                  </w:rPr>
                  <w:t xml:space="preserve">Aplinkosauginių patikrinimų planavimo sistemoje nustatyti efektyvius rizikų vertinimo kriterijus įvertinant hidrotechnikos statinių eksploatavimo atitiktį teisės aktų reikalavimams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AAD</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4.2.3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b/>
                    <w:sz w:val="22"/>
                    <w:szCs w:val="22"/>
                  </w:rPr>
                  <w:t>Priemonė. Tobulinti akvakultūros tvenkinių paimamo ir išleidžiamo vandens kontrolės teisinį reglamentavimą</w:t>
                </w:r>
                <w:r>
                  <w:rPr>
                    <w:sz w:val="22"/>
                    <w:szCs w:val="22"/>
                  </w:rPr>
                  <w:t xml:space="preserve"> </w:t>
                </w:r>
              </w:p>
              <w:p>
                <w:pPr>
                  <w:rPr>
                    <w:sz w:val="18"/>
                    <w:szCs w:val="18"/>
                  </w:rPr>
                </w:pPr>
              </w:p>
              <w:p>
                <w:pPr>
                  <w:textAlignment w:val="baseline"/>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ŽŪM, AAD</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rPr>
                  <w:t>4.</w:t>
                </w:r>
                <w:r>
                  <w:rPr>
                    <w:sz w:val="22"/>
                    <w:szCs w:val="22"/>
                    <w:lang w:val="en-US"/>
                  </w:rPr>
                  <w:t>2.3.1.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 xml:space="preserve">Tobulinti teisinį reglamentavimą dėl akvakultūros tvenkinių savininkų teikiamų duomenų apie registruojamą vandens lygį paėmimo ir išleidimo vietose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w:t>
                </w:r>
                <w:r>
                  <w:rPr>
                    <w:sz w:val="22"/>
                    <w:szCs w:val="22"/>
                    <w:lang w:val="en-US"/>
                  </w:rPr>
                  <w:t>2.3.2.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Vykdyti akvakultūros tvenkinių išleidžiamo vandens kontrolę atsižvelgiant į duomenis apie ežerų ir upių kategorijos vandens telkinius, neatitinkančius geros būklės (1 ir 3 priedai)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AAD,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4.2.4.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 xml:space="preserve">Priemonė. Didinti aplinkos apsaugos valstybinės kontrolės pajėgumus ir gebėjimus vykdyti kontrolę vandenų srityje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4.2.4.1.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8"/>
                    <w:szCs w:val="8"/>
                  </w:rPr>
                </w:pPr>
              </w:p>
              <w:p>
                <w:pPr>
                  <w:rPr>
                    <w:sz w:val="22"/>
                    <w:szCs w:val="22"/>
                    <w:lang w:eastAsia="lt-LT"/>
                  </w:rPr>
                </w:pPr>
                <w:r>
                  <w:rPr>
                    <w:sz w:val="22"/>
                    <w:szCs w:val="22"/>
                    <w:lang w:eastAsia="lt-LT"/>
                  </w:rPr>
                  <w:t>Aplinkos apsaugos valstybinės kontrolės pareigūnus aprūpinti darbui reikalingomis priemonėmis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AAD,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4.2.4.2.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Griežtinti su nuotekomis išleidžiamų prioritetinių ir kitų pavojingų medžiagų kontrolę, parengti valstybinės laboratorinės kontrolės planus, pagal juos 1 priede nurodytiems ūkio subjektams atlikti nuotekų laboratorinę kontrolę pagal vandens telkinyje rastas medžiagas ir pranešti apie rezultatus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AAD, AAA</w:t>
                </w:r>
              </w:p>
              <w:p>
                <w:pPr>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reguliacinis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4.2.4.3.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Vykdyti individualiai tvarkomų nuotekų išleidimo į aplinką kontrolę šalia vandens telkinių, neatitinkančių geros būklės kriterijų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AAD,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Reguliacinis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4.2.4.4.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Užtikrinti MARPOL VI priedo reikalavimų dėl 0,1 proc. sieros jūriniame kure vykdymo kontrolę, įskaitant kuro mėginių ėmimą ir jų tyrimą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lang w:eastAsia="lt-LT"/>
                  </w:rPr>
                </w:pPr>
                <w:r>
                  <w:rPr>
                    <w:sz w:val="22"/>
                    <w:szCs w:val="22"/>
                    <w:lang w:eastAsia="lt-LT"/>
                  </w:rPr>
                  <w:t>Valstybinė vartotojų teisių apsaugos tarnyba, Lietuvos transporto saugos administracija, AAD</w:t>
                </w:r>
              </w:p>
              <w:p>
                <w:pPr>
                  <w:ind w:firstLine="57"/>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eastAsia="lt-LT"/>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reguliacinė</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highlight w:val="magenta"/>
                  </w:rPr>
                </w:pPr>
                <w:r>
                  <w:rPr>
                    <w:sz w:val="22"/>
                    <w:szCs w:val="22"/>
                  </w:rPr>
                  <w:t>5.</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3192"/>
                  <w:rPr>
                    <w:b/>
                    <w:sz w:val="22"/>
                    <w:szCs w:val="22"/>
                  </w:rPr>
                </w:pPr>
                <w:r>
                  <w:rPr>
                    <w:b/>
                    <w:sz w:val="22"/>
                    <w:szCs w:val="22"/>
                  </w:rPr>
                  <w:t>Tikslas. Užtikrinti kokybiškas viešąsias geriamojo vandens tiekimo ir nuotekų tvarkymo paslaugas</w:t>
                </w:r>
              </w:p>
            </w:tc>
          </w:tr>
          <w:tr>
            <w:trPr>
              <w:trHeight w:val="396"/>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b/>
                    <w:sz w:val="22"/>
                    <w:szCs w:val="22"/>
                  </w:rPr>
                  <w:t>Uždavinys. Mažinti į aplinką išleidžiamų nuotekų užterštumą</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b/>
                    <w:sz w:val="22"/>
                    <w:szCs w:val="22"/>
                  </w:rPr>
                  <w:t>Priemonė.</w:t>
                </w:r>
                <w:r>
                  <w:rPr>
                    <w:sz w:val="22"/>
                    <w:szCs w:val="22"/>
                  </w:rPr>
                  <w:t xml:space="preserve"> </w:t>
                </w:r>
                <w:r>
                  <w:rPr>
                    <w:b/>
                    <w:sz w:val="22"/>
                    <w:szCs w:val="22"/>
                  </w:rPr>
                  <w:t>Užtikrinti, kad individualiai tvarkomos nuotekos neterštų aplinkos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5.1.1.1</w:t>
                </w:r>
                <w:r>
                  <w:rPr>
                    <w:sz w:val="22"/>
                    <w:szCs w:val="22"/>
                    <w:lang w:eastAsia="lt-LT"/>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Sukurti informacinę individualių nuotekų tvarkymo įrenginių sistemą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w:t>
                </w:r>
                <w:r>
                  <w:rPr>
                    <w:sz w:val="22"/>
                    <w:szCs w:val="22"/>
                    <w:lang w:eastAsia="lt-LT"/>
                  </w:rPr>
                  <w:t>3</w:t>
                </w:r>
                <w:r>
                  <w:rPr>
                    <w:sz w:val="22"/>
                    <w:szCs w:val="22"/>
                  </w:rPr>
                  <w:t>–2024</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AM,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 xml:space="preserve">2014–2020 m. ES lėšos ir (arba) valstybės biudžetas </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Nustatyti konkrečias pareigas individualių nuotekų tvarkymo įrenginių turėtojams ir įrenginių priežiūros paslaugas teikiantiems asmenims dėl įrenginių priežiūros ir išvalytų nuotekų kokybės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reguliacinis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Vykdyti informacines kampanijas gyventojams apie nuotekų tvarkymą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komunikacinė</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b/>
                    <w:sz w:val="22"/>
                    <w:szCs w:val="22"/>
                  </w:rPr>
                  <w:t>Priemonė.</w:t>
                </w:r>
                <w:r>
                  <w:rPr>
                    <w:sz w:val="22"/>
                    <w:szCs w:val="22"/>
                  </w:rPr>
                  <w:t xml:space="preserve"> </w:t>
                </w:r>
                <w:r>
                  <w:rPr>
                    <w:b/>
                    <w:sz w:val="22"/>
                    <w:szCs w:val="22"/>
                  </w:rPr>
                  <w:t>Mažinti aplinkos teršimą paviršinėmis nuotekomis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Paviršinių nuotekų tvarkytojai,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r>
                  <w:rPr>
                    <w:sz w:val="22"/>
                    <w:szCs w:val="22"/>
                    <w:lang w:eastAsia="lt-LT"/>
                  </w:rPr>
                  <w:t xml:space="preserve"> ir (arba) įmonių</w:t>
                </w:r>
                <w:r>
                  <w:rPr>
                    <w:sz w:val="22"/>
                    <w:szCs w:val="22"/>
                  </w:rPr>
                  <w:t xml:space="preserve">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Diegti paviršinių nuotekų valymo infrastruktūrą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Paviršinių nuotekų tvarkytojai,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eastAsia="lt-LT"/>
                  </w:rPr>
                  <w:t>Įmonių lėšos ir (arba)</w:t>
                </w:r>
                <w:r>
                  <w:rPr>
                    <w:sz w:val="22"/>
                    <w:szCs w:val="22"/>
                  </w:rPr>
                  <w:t xml:space="preserve"> Valstybės</w:t>
                </w:r>
                <w:r>
                  <w:rPr>
                    <w:sz w:val="22"/>
                    <w:szCs w:val="22"/>
                    <w:lang w:eastAsia="lt-LT"/>
                  </w:rPr>
                  <w:t xml:space="preserve">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Vykdyti neteisėtų prisijungimų prie paviršinių nuotekų surinkimo sistemų prevenciją ir kontrolę</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Paviršinių nuotekų tvarkytojai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Įmonių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reguliacinis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b/>
                    <w:sz w:val="22"/>
                    <w:szCs w:val="22"/>
                  </w:rPr>
                </w:pPr>
                <w:r>
                  <w:rPr>
                    <w:b/>
                    <w:sz w:val="22"/>
                    <w:szCs w:val="22"/>
                  </w:rPr>
                  <w:t>Priemonė. Didinti nuotekų tvarkymo paslaugų prieinamumą, ypač aglomeracijose, mažesnėse kaip 2000 gyventojų ekvivalento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Plėsti nuotekų tvarkymo sistemas gyvenvietėse, kuriose susidaro nuo 200 iki 2000 g.</w:t>
                </w:r>
                <w:r>
                  <w:rPr>
                    <w:sz w:val="22"/>
                    <w:szCs w:val="22"/>
                    <w:lang w:eastAsia="lt-LT"/>
                  </w:rPr>
                  <w:t xml:space="preserve"> </w:t>
                </w:r>
                <w:r>
                  <w:rPr>
                    <w:sz w:val="22"/>
                    <w:szCs w:val="22"/>
                  </w:rPr>
                  <w:t>e. atitinkanti apkrova</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Savivaldybės, viešieji geriamojo vandens tiekėjai ir nuotekų tvarkytojai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2021–2027 m. ES lėšos</w:t>
                </w:r>
                <w:r>
                  <w:rPr>
                    <w:sz w:val="22"/>
                    <w:szCs w:val="22"/>
                    <w:lang w:eastAsia="lt-LT"/>
                  </w:rPr>
                  <w:t xml:space="preserve"> ir (arba)</w:t>
                </w:r>
                <w:r>
                  <w:rPr>
                    <w:sz w:val="22"/>
                    <w:szCs w:val="22"/>
                  </w:rPr>
                  <w:t xml:space="preserve"> savivaldybių ir (arba) viešųjų geriamojo vandens tiekėjų ir nuotekų tvarkytojų lėšos ir (arba) valstybės biudžetas </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Plėsti atskirųjų ir grupinių nuotekų tvarkymo sistemas </w:t>
                </w:r>
                <w:r>
                  <w:rPr>
                    <w:sz w:val="22"/>
                    <w:szCs w:val="22"/>
                    <w:lang w:eastAsia="lt-LT"/>
                  </w:rPr>
                  <w:t>siekiant užtikrinti centralizuotos</w:t>
                </w:r>
                <w:r>
                  <w:rPr>
                    <w:sz w:val="22"/>
                    <w:szCs w:val="22"/>
                  </w:rPr>
                  <w:t xml:space="preserve"> nuotekų surinkimo </w:t>
                </w:r>
                <w:r>
                  <w:rPr>
                    <w:sz w:val="22"/>
                    <w:szCs w:val="22"/>
                    <w:lang w:eastAsia="lt-LT"/>
                  </w:rPr>
                  <w:t>sistemos suteikiamą</w:t>
                </w:r>
                <w:r>
                  <w:rPr>
                    <w:sz w:val="22"/>
                    <w:szCs w:val="22"/>
                  </w:rPr>
                  <w:t xml:space="preserve"> aplinkos </w:t>
                </w:r>
                <w:r>
                  <w:rPr>
                    <w:sz w:val="22"/>
                    <w:szCs w:val="22"/>
                    <w:lang w:eastAsia="lt-LT"/>
                  </w:rPr>
                  <w:t>apsaugą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Savivaldybės, viešieji geriamojo vandens tiekėjai ir nuotekų tvarkytojai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2021–2027 m. ES lėšos</w:t>
                </w:r>
                <w:r>
                  <w:rPr>
                    <w:sz w:val="22"/>
                    <w:szCs w:val="22"/>
                    <w:lang w:eastAsia="lt-LT"/>
                  </w:rPr>
                  <w:t xml:space="preserve"> ir (arba)</w:t>
                </w:r>
                <w:r>
                  <w:rPr>
                    <w:sz w:val="22"/>
                    <w:szCs w:val="22"/>
                  </w:rPr>
                  <w:t xml:space="preserve"> savivaldybių ir (arba) viešųjų geriamojo vandens tiekėjų ir nuotekų tvarkytojų lėšos ir (arba) 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5.2.</w:t>
                </w:r>
              </w:p>
            </w:tc>
            <w:tc>
              <w:tcPr>
                <w:tcW w:w="13651" w:type="dxa"/>
                <w:gridSpan w:val="5"/>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b/>
                    <w:sz w:val="22"/>
                    <w:szCs w:val="22"/>
                  </w:rPr>
                  <w:t>Uždavinys. Didinti vandens tiekimo ir nuotekų tvarkymo paslaugų prieinamumą ir efektyvumą</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b/>
                    <w:sz w:val="22"/>
                    <w:szCs w:val="22"/>
                  </w:rPr>
                  <w:t>Priemonė. Skatinti vandentvarkos įmonių veiklos efektyvumą, didinti paslaugų kokybę</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2022–2023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 xml:space="preserve">AM, VERT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5.2.1.1.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b/>
                    <w:sz w:val="22"/>
                    <w:szCs w:val="22"/>
                  </w:rPr>
                </w:pPr>
                <w:r>
                  <w:rPr>
                    <w:sz w:val="22"/>
                    <w:szCs w:val="22"/>
                  </w:rPr>
                  <w:t xml:space="preserve">Kaupti ir analizuoti informaciją, reikalingą atlikti Lietuvos Respublikos </w:t>
                </w:r>
                <w:r>
                  <w:rPr>
                    <w:sz w:val="22"/>
                    <w:szCs w:val="22"/>
                    <w:lang w:eastAsia="lt-LT"/>
                  </w:rPr>
                  <w:t>geriamojo</w:t>
                </w:r>
                <w:r>
                  <w:rPr>
                    <w:sz w:val="22"/>
                    <w:szCs w:val="22"/>
                  </w:rPr>
                  <w:t xml:space="preserve"> vandens tiekimo ir nuotekų tvarkymo įstatymo 41 str</w:t>
                </w:r>
                <w:r>
                  <w:rPr>
                    <w:sz w:val="22"/>
                    <w:szCs w:val="22"/>
                    <w:lang w:eastAsia="lt-LT"/>
                  </w:rPr>
                  <w:t>aipsnyje</w:t>
                </w:r>
                <w:r>
                  <w:rPr>
                    <w:sz w:val="22"/>
                    <w:szCs w:val="22"/>
                  </w:rPr>
                  <w:t xml:space="preserve"> numatytą vertinimą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AM, VERT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reguliacinis </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b/>
                    <w:sz w:val="22"/>
                    <w:szCs w:val="22"/>
                  </w:rPr>
                </w:pPr>
                <w:r>
                  <w:rPr>
                    <w:b/>
                    <w:sz w:val="22"/>
                    <w:szCs w:val="22"/>
                  </w:rPr>
                  <w:t>Priemonė. Didinti prieigą prie geriamojo vandens, gerinti tiekiamo vandens kokybę</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5.2.2.1.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Įrenginių geriamajam vandeniui išgauti, ruošti, laikyti rekonstrukcija (kurie neužtikrina viešojo geriamojo vandens kokybės indikatorinių ir cheminių rodiklių gyvenvietėse, kuriose yra daugiau </w:t>
                </w:r>
                <w:r>
                  <w:rPr>
                    <w:sz w:val="22"/>
                    <w:szCs w:val="22"/>
                    <w:lang w:eastAsia="lt-LT"/>
                  </w:rPr>
                  <w:t>kaip</w:t>
                </w:r>
                <w:r>
                  <w:rPr>
                    <w:sz w:val="22"/>
                    <w:szCs w:val="22"/>
                  </w:rPr>
                  <w:t xml:space="preserve"> 2000 gyventojų)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Viešieji geriamojo vandens tiekėjai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Viešųjų geriamojo vandens tiekėjų ir (arba) savivaldybių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5.2.2.2.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color w:val="000000"/>
                    <w:sz w:val="22"/>
                    <w:szCs w:val="22"/>
                  </w:rPr>
                  <w:t>Sudaryti galimybes miestų ir miestelių viešosiose erdvėse ir viešuosiuose pastatuose gauti geriamojo vandens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Savivaldybių lėšos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5.2.2.3.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color w:val="000000"/>
                    <w:sz w:val="22"/>
                    <w:szCs w:val="22"/>
                  </w:rPr>
                  <w:t>Vandens gerinimo įrenginių įrengimas vietovėse, kuriose geriamuoju vandeniu aprūpinama ne mažiau kaip 50 asmenų, deklaravusių gyvenamąją vietą toje gyvenamojoje vietovėje, ir viešasis geriamojo vandens tiekėjas turi licenciją tiekti geriamojo vandens tiekimo paslaugą toje gyvenamojoje vietovėje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Viešieji geriamojo vandens tiekėjai,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 xml:space="preserve">Viešųjų geriamojo vandens tiekėjų lėšos ir (arba)  savivaldybių lėšos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val="en-US"/>
                  </w:rPr>
                  <w:t>5.2.3.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b/>
                    <w:sz w:val="22"/>
                    <w:szCs w:val="22"/>
                  </w:rPr>
                </w:pPr>
                <w:r>
                  <w:rPr>
                    <w:b/>
                    <w:sz w:val="22"/>
                    <w:szCs w:val="22"/>
                  </w:rPr>
                  <w:t>Priemonė. Gyventojų būstų prijungimas prie centralizuotų nuotekų tvarkymo sistemų</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Viešieji geriamojo vandens tiekėjai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lang w:val="en-US"/>
                  </w:rPr>
                  <w:t>5.2.3.1.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Prijungti gyventojų būstus prie nutiestos ir viešiesiems geriamojo vandens tiekėjams ir nuotekų tvarkytojams priklausančios nuotekų surinkimo infrastruktūros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2023–2024</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Viešieji geriamojo vandens tiekėjai,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bl>
        <w:p>
          <w:pPr>
            <w:jc w:val="center"/>
            <w:rPr>
              <w:color w:val="000000"/>
              <w:szCs w:val="22"/>
            </w:rPr>
          </w:pPr>
        </w:p>
        <w:p>
          <w:pPr>
            <w:jc w:val="center"/>
            <w:rPr>
              <w:sz w:val="20"/>
            </w:rPr>
          </w:pPr>
          <w:r>
            <w:rPr>
              <w:color w:val="000000"/>
              <w:szCs w:val="22"/>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f6b9917a6c11efabdbb4a1fc8b0b63">
            <w:r w:rsidRPr="00532B9F">
              <w:rPr>
                <w:rFonts w:ascii="Times New Roman" w:eastAsia="MS Mincho" w:hAnsi="Times New Roman"/>
                <w:sz w:val="20"/>
                <w:i/>
                <w:iCs/>
                <w:color w:val="0000FF" w:themeColor="hyperlink"/>
                <w:u w:val="single"/>
              </w:rPr>
              <w:t>D1-316/3D-680</w:t>
            </w:r>
          </w:fldSimple>
          <w:r>
            <w:rPr>
              <w:rFonts w:ascii="Times New Roman" w:eastAsia="MS Mincho" w:hAnsi="Times New Roman"/>
              <w:sz w:val="20"/>
              <w:i/>
              <w:iCs/>
            </w:rPr>
            <w:t>,
2024-09-24,
paskelbta TAR 2024-09-24, i. k. 2024-16605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2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ef2243c7f11f0b070ee7f1ceefc75">
            <w:r w:rsidRPr="00532B9F">
              <w:rPr>
                <w:rFonts w:ascii="Times New Roman" w:eastAsia="MS Mincho" w:hAnsi="Times New Roman"/>
                <w:sz w:val="20"/>
                <w:i/>
                <w:iCs/>
                <w:color w:val="0000FF" w:themeColor="hyperlink"/>
                <w:u w:val="single"/>
              </w:rPr>
              <w:t>D1-69/3D-285</w:t>
            </w:r>
          </w:fldSimple>
          <w:r>
            <w:rPr>
              <w:rFonts w:ascii="Times New Roman" w:eastAsia="MS Mincho" w:hAnsi="Times New Roman"/>
              <w:sz w:val="20"/>
              <w:i/>
              <w:iCs/>
            </w:rPr>
            <w:t>,
2025-05-29,
paskelbta TAR 2025-05-29, i. k. 2025-09507        </w:t>
          </w:r>
        </w:p>
        <w:p/>
        <w:p>
          <w:pPr>
            <w:pStyle w:val="PlainText"/>
            <w:rPr>
              <w:rFonts w:ascii="Times New Roman" w:eastAsia="MS Mincho" w:hAnsi="Times New Roman"/>
              <w:sz w:val="20"/>
              <w:iCs/>
            </w:rPr>
          </w:pPr>
          <w:r>
            <w:rPr>
              <w:rFonts w:ascii="Times New Roman" w:eastAsia="MS Mincho" w:hAnsi="Times New Roman"/>
              <w:sz w:val="20"/>
              <w:iCs/>
            </w:rPr>
            <w:t>4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f6b9917a6c11efabdbb4a1fc8b0b63">
            <w:r w:rsidRPr="00532B9F">
              <w:rPr>
                <w:rFonts w:ascii="Times New Roman" w:eastAsia="MS Mincho" w:hAnsi="Times New Roman"/>
                <w:sz w:val="20"/>
                <w:i/>
                <w:iCs/>
                <w:color w:val="0000FF" w:themeColor="hyperlink"/>
                <w:u w:val="single"/>
              </w:rPr>
              <w:t>D1-316/3D-680</w:t>
            </w:r>
          </w:fldSimple>
          <w:r>
            <w:rPr>
              <w:rFonts w:ascii="Times New Roman" w:eastAsia="MS Mincho" w:hAnsi="Times New Roman"/>
              <w:sz w:val="20"/>
              <w:i/>
              <w:iCs/>
            </w:rPr>
            <w:t>,
2024-09-24,
paskelbta TAR 2024-09-24, i. k. 2024-16605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df6b9917a6c11efabdbb4a1fc8b0b63">
            <w:r w:rsidRPr="00532B9F">
              <w:rPr>
                <w:rFonts w:ascii="Times New Roman" w:eastAsia="MS Mincho" w:hAnsi="Times New Roman"/>
                <w:sz w:val="20"/>
                <w:iCs/>
                <w:color w:val="0000FF" w:themeColor="hyperlink"/>
                <w:u w:val="single"/>
              </w:rPr>
              <w:t>D1-316/3D-680</w:t>
            </w:r>
          </w:fldSimple>
          <w:r>
            <w:rPr>
              <w:rFonts w:ascii="Times New Roman" w:eastAsia="MS Mincho" w:hAnsi="Times New Roman"/>
              <w:sz w:val="20"/>
              <w:iCs/>
            </w:rPr>
            <w:t>,
2024-09-24,
paskelbta TAR 2024-09-24, i. k. 2024-16605                </w:t>
          </w:r>
        </w:p>
        <w:p>
          <w:pPr>
            <w:jc w:val="both"/>
            <w:rPr>
              <w:rFonts w:ascii="Times New Roman" w:hAnsi="Times New Roman"/>
            </w:rPr>
          </w:pPr>
          <w:r>
            <w:rPr>
              <w:rFonts w:ascii="Times New Roman" w:hAnsi="Times New Roman"/>
              <w:sz w:val="20"/>
            </w:rPr>
            <w:t>Dėl Lietuvos Respublikos aplinkos ministro ir Lietuvos Respublikos žemės ūkio ministro 2023 m. balandžio 26 d. įsakymo Nr. D1-122/3D-286 „Dėl Nacionalinio vandenų srities 2022–2027 metų plano įgyvendinimo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7ef2243c7f11f0b070ee7f1ceefc75">
            <w:r w:rsidRPr="00532B9F">
              <w:rPr>
                <w:rFonts w:ascii="Times New Roman" w:eastAsia="MS Mincho" w:hAnsi="Times New Roman"/>
                <w:sz w:val="20"/>
                <w:iCs/>
                <w:color w:val="0000FF" w:themeColor="hyperlink"/>
                <w:u w:val="single"/>
              </w:rPr>
              <w:t>D1-69/3D-285</w:t>
            </w:r>
          </w:fldSimple>
          <w:r>
            <w:rPr>
              <w:rFonts w:ascii="Times New Roman" w:eastAsia="MS Mincho" w:hAnsi="Times New Roman"/>
              <w:sz w:val="20"/>
              <w:iCs/>
            </w:rPr>
            <w:t>,
2025-05-29,
paskelbta TAR 2025-05-29, i. k. 2025-09507                </w:t>
          </w:r>
        </w:p>
        <w:p>
          <w:pPr>
            <w:jc w:val="both"/>
            <w:rPr>
              <w:rFonts w:ascii="Times New Roman" w:hAnsi="Times New Roman"/>
            </w:rPr>
          </w:pPr>
          <w:r>
            <w:rPr>
              <w:rFonts w:ascii="Times New Roman" w:hAnsi="Times New Roman"/>
              <w:sz w:val="20"/>
            </w:rPr>
            <w:t>Dėl Lietuvos Respublikos aplinkos ministro ir Lietuvos Respublikos žemės ūkio ministro 2023 m. balandžio 26 d. įsakymo Nr. D1-122/3D-286 „Dėl Nacionalinio vandenų srities 2022–2027 metų plano įgyvendinimo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2"/>
        </w:rPr>
      </w:pPr>
      <w:r>
        <w:rPr>
          <w:szCs w:val="22"/>
        </w:rPr>
        <w:separator/>
      </w:r>
    </w:p>
  </w:endnote>
  <w:endnote w:type="continuationSeparator" w:id="0">
    <w:p>
      <w:pPr>
        <w:rPr>
          <w:szCs w:val="22"/>
        </w:rPr>
      </w:pPr>
      <w:r>
        <w:rPr>
          <w:szCs w:val="22"/>
        </w:rPr>
        <w:continuationSeparator/>
      </w:r>
    </w:p>
  </w:endnote>
  <w:endnote w:type="continuationNotice" w:id="1">
    <w:p>
      <w:pPr>
        <w:rPr>
          <w:szCs w:val="22"/>
        </w:rPr>
      </w:pP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2"/>
        </w:rPr>
      </w:pPr>
      <w:r>
        <w:rPr>
          <w:szCs w:val="22"/>
        </w:rPr>
        <w:separator/>
      </w:r>
    </w:p>
  </w:footnote>
  <w:footnote w:type="continuationSeparator" w:id="0">
    <w:p>
      <w:pPr>
        <w:rPr>
          <w:szCs w:val="22"/>
        </w:rPr>
      </w:pPr>
      <w:r>
        <w:rPr>
          <w:szCs w:val="22"/>
        </w:rPr>
        <w:continuationSeparator/>
      </w:r>
    </w:p>
  </w:footnote>
  <w:footnote w:type="continuationNotice" w:id="1">
    <w:p>
      <w:pPr>
        <w:rPr>
          <w:szCs w:val="22"/>
        </w:rPr>
      </w:pP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rPr>
      <w:instrText>PAGE   \* MERGEFORMAT</w:instrText>
    </w:r>
    <w:r>
      <w:rPr>
        <w:sz w:val="22"/>
        <w:szCs w:val="22"/>
      </w:rPr>
      <w:fldChar w:fldCharType="separate"/>
    </w:r>
    <w:r>
      <w:rPr>
        <w:sz w:val="22"/>
      </w:rPr>
      <w:t>26</w:t>
    </w:r>
    <w:r>
      <w:rPr>
        <w:sz w:val="22"/>
        <w:szCs w:val="22"/>
      </w:rPr>
      <w:fldChar w:fldCharType="end"/>
    </w:r>
  </w:p>
  <w:p>
    <w:pPr>
      <w:tabs>
        <w:tab w:val="center" w:pos="4819"/>
        <w:tab w:val="right" w:pos="9638"/>
      </w:tabs>
      <w:rPr>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rPr>
      <w:instrText>PAGE   \* MERGEFORMAT</w:instrText>
    </w:r>
    <w:r>
      <w:rPr>
        <w:sz w:val="22"/>
        <w:szCs w:val="22"/>
      </w:rPr>
      <w:fldChar w:fldCharType="separate"/>
    </w:r>
    <w:r>
      <w:rPr>
        <w:sz w:val="22"/>
      </w:rPr>
      <w:t>25</w:t>
    </w:r>
    <w:r>
      <w:rPr>
        <w:sz w:val="22"/>
        <w:szCs w:val="22"/>
      </w:rPr>
      <w:fldChar w:fldCharType="end"/>
    </w:r>
  </w:p>
  <w:p>
    <w:pPr>
      <w:tabs>
        <w:tab w:val="center" w:pos="4819"/>
        <w:tab w:val="right" w:pos="9638"/>
      </w:tabs>
      <w:rPr>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rPr>
      <w:instrText>PAGE   \* MERGEFORMAT</w:instrText>
    </w:r>
    <w:r>
      <w:rPr>
        <w:sz w:val="22"/>
        <w:szCs w:val="22"/>
      </w:rPr>
      <w:fldChar w:fldCharType="separate"/>
    </w:r>
    <w:r>
      <w:rPr>
        <w:sz w:val="22"/>
      </w:rPr>
      <w:t>26</w:t>
    </w:r>
    <w:r>
      <w:rPr>
        <w:sz w:val="22"/>
        <w:szCs w:val="22"/>
      </w:rPr>
      <w:fldChar w:fldCharType="end"/>
    </w:r>
  </w:p>
  <w:p>
    <w:pPr>
      <w:tabs>
        <w:tab w:val="center" w:pos="4819"/>
        <w:tab w:val="right" w:pos="9638"/>
      </w:tabs>
      <w:rPr>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rPr>
      <w:instrText>PAGE   \* MERGEFORMAT</w:instrText>
    </w:r>
    <w:r>
      <w:rPr>
        <w:sz w:val="22"/>
        <w:szCs w:val="22"/>
      </w:rPr>
      <w:fldChar w:fldCharType="separate"/>
    </w:r>
    <w:r>
      <w:rPr>
        <w:sz w:val="22"/>
      </w:rPr>
      <w:t>2</w:t>
    </w:r>
    <w:r>
      <w:rPr>
        <w:sz w:val="22"/>
        <w:szCs w:val="22"/>
      </w:rPr>
      <w:fldChar w:fldCharType="end"/>
    </w:r>
  </w:p>
  <w:p>
    <w:pPr>
      <w:tabs>
        <w:tab w:val="center" w:pos="4819"/>
        <w:tab w:val="right" w:pos="9638"/>
      </w:tabs>
      <w:rPr>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rPr>
      <w:instrText>PAGE   \* MERGEFORMAT</w:instrText>
    </w:r>
    <w:r>
      <w:rPr>
        <w:sz w:val="22"/>
        <w:szCs w:val="22"/>
      </w:rPr>
      <w:fldChar w:fldCharType="separate"/>
    </w:r>
    <w:r>
      <w:rPr>
        <w:sz w:val="22"/>
      </w:rPr>
      <w:t>2</w:t>
    </w:r>
    <w:r>
      <w:rPr>
        <w:sz w:val="22"/>
        <w:szCs w:val="22"/>
      </w:rPr>
      <w:fldChar w:fldCharType="end"/>
    </w:r>
  </w:p>
  <w:p>
    <w:pPr>
      <w:tabs>
        <w:tab w:val="center" w:pos="4819"/>
        <w:tab w:val="right" w:pos="9638"/>
      </w:tabs>
      <w:rPr>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65"/>
  <w:hideSpellingErrors/>
  <w:hideGrammaticalErrors/>
  <w:proofState w:spelling="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653D"/>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59E8B4"/>
  <w15:docId w15:val="{F5428398-3198-4C71-A05F-BD7A30DF235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316802">
      <w:bodyDiv w:val="1"/>
      <w:marLeft w:val="0"/>
      <w:marRight w:val="0"/>
      <w:marTop w:val="0"/>
      <w:marBottom w:val="0"/>
      <w:divBdr>
        <w:top w:val="none" w:sz="0" w:space="0" w:color="auto"/>
        <w:left w:val="none" w:sz="0" w:space="0" w:color="auto"/>
        <w:bottom w:val="none" w:sz="0" w:space="0" w:color="auto"/>
        <w:right w:val="none" w:sz="0" w:space="0" w:color="auto"/>
      </w:divBdr>
    </w:div>
    <w:div w:id="79718839">
      <w:bodyDiv w:val="1"/>
      <w:marLeft w:val="0"/>
      <w:marRight w:val="0"/>
      <w:marTop w:val="0"/>
      <w:marBottom w:val="0"/>
      <w:divBdr>
        <w:top w:val="none" w:sz="0" w:space="0" w:color="auto"/>
        <w:left w:val="none" w:sz="0" w:space="0" w:color="auto"/>
        <w:bottom w:val="none" w:sz="0" w:space="0" w:color="auto"/>
        <w:right w:val="none" w:sz="0" w:space="0" w:color="auto"/>
      </w:divBdr>
    </w:div>
    <w:div w:id="252855932">
      <w:bodyDiv w:val="1"/>
      <w:marLeft w:val="0"/>
      <w:marRight w:val="0"/>
      <w:marTop w:val="0"/>
      <w:marBottom w:val="0"/>
      <w:divBdr>
        <w:top w:val="none" w:sz="0" w:space="0" w:color="auto"/>
        <w:left w:val="none" w:sz="0" w:space="0" w:color="auto"/>
        <w:bottom w:val="none" w:sz="0" w:space="0" w:color="auto"/>
        <w:right w:val="none" w:sz="0" w:space="0" w:color="auto"/>
      </w:divBdr>
    </w:div>
    <w:div w:id="324673497">
      <w:bodyDiv w:val="1"/>
      <w:marLeft w:val="0"/>
      <w:marRight w:val="0"/>
      <w:marTop w:val="0"/>
      <w:marBottom w:val="0"/>
      <w:divBdr>
        <w:top w:val="none" w:sz="0" w:space="0" w:color="auto"/>
        <w:left w:val="none" w:sz="0" w:space="0" w:color="auto"/>
        <w:bottom w:val="none" w:sz="0" w:space="0" w:color="auto"/>
        <w:right w:val="none" w:sz="0" w:space="0" w:color="auto"/>
      </w:divBdr>
    </w:div>
    <w:div w:id="453644852">
      <w:bodyDiv w:val="1"/>
      <w:marLeft w:val="0"/>
      <w:marRight w:val="0"/>
      <w:marTop w:val="0"/>
      <w:marBottom w:val="0"/>
      <w:divBdr>
        <w:top w:val="none" w:sz="0" w:space="0" w:color="auto"/>
        <w:left w:val="none" w:sz="0" w:space="0" w:color="auto"/>
        <w:bottom w:val="none" w:sz="0" w:space="0" w:color="auto"/>
        <w:right w:val="none" w:sz="0" w:space="0" w:color="auto"/>
      </w:divBdr>
    </w:div>
    <w:div w:id="686298705">
      <w:bodyDiv w:val="1"/>
      <w:marLeft w:val="0"/>
      <w:marRight w:val="0"/>
      <w:marTop w:val="0"/>
      <w:marBottom w:val="0"/>
      <w:divBdr>
        <w:top w:val="none" w:sz="0" w:space="0" w:color="auto"/>
        <w:left w:val="none" w:sz="0" w:space="0" w:color="auto"/>
        <w:bottom w:val="none" w:sz="0" w:space="0" w:color="auto"/>
        <w:right w:val="none" w:sz="0" w:space="0" w:color="auto"/>
      </w:divBdr>
    </w:div>
    <w:div w:id="714307310">
      <w:bodyDiv w:val="1"/>
      <w:marLeft w:val="0"/>
      <w:marRight w:val="0"/>
      <w:marTop w:val="0"/>
      <w:marBottom w:val="0"/>
      <w:divBdr>
        <w:top w:val="none" w:sz="0" w:space="0" w:color="auto"/>
        <w:left w:val="none" w:sz="0" w:space="0" w:color="auto"/>
        <w:bottom w:val="none" w:sz="0" w:space="0" w:color="auto"/>
        <w:right w:val="none" w:sz="0" w:space="0" w:color="auto"/>
      </w:divBdr>
      <w:divsChild>
        <w:div w:id="1711226865">
          <w:marLeft w:val="0"/>
          <w:marRight w:val="0"/>
          <w:marTop w:val="0"/>
          <w:marBottom w:val="0"/>
          <w:divBdr>
            <w:top w:val="none" w:sz="0" w:space="0" w:color="auto"/>
            <w:left w:val="none" w:sz="0" w:space="0" w:color="auto"/>
            <w:bottom w:val="none" w:sz="0" w:space="0" w:color="auto"/>
            <w:right w:val="none" w:sz="0" w:space="0" w:color="auto"/>
          </w:divBdr>
        </w:div>
      </w:divsChild>
    </w:div>
    <w:div w:id="804814047">
      <w:bodyDiv w:val="1"/>
      <w:marLeft w:val="0"/>
      <w:marRight w:val="0"/>
      <w:marTop w:val="0"/>
      <w:marBottom w:val="0"/>
      <w:divBdr>
        <w:top w:val="none" w:sz="0" w:space="0" w:color="auto"/>
        <w:left w:val="none" w:sz="0" w:space="0" w:color="auto"/>
        <w:bottom w:val="none" w:sz="0" w:space="0" w:color="auto"/>
        <w:right w:val="none" w:sz="0" w:space="0" w:color="auto"/>
      </w:divBdr>
    </w:div>
    <w:div w:id="1060206185">
      <w:bodyDiv w:val="1"/>
      <w:marLeft w:val="0"/>
      <w:marRight w:val="0"/>
      <w:marTop w:val="0"/>
      <w:marBottom w:val="0"/>
      <w:divBdr>
        <w:top w:val="none" w:sz="0" w:space="0" w:color="auto"/>
        <w:left w:val="none" w:sz="0" w:space="0" w:color="auto"/>
        <w:bottom w:val="none" w:sz="0" w:space="0" w:color="auto"/>
        <w:right w:val="none" w:sz="0" w:space="0" w:color="auto"/>
      </w:divBdr>
    </w:div>
    <w:div w:id="1093630730">
      <w:bodyDiv w:val="1"/>
      <w:marLeft w:val="0"/>
      <w:marRight w:val="0"/>
      <w:marTop w:val="0"/>
      <w:marBottom w:val="0"/>
      <w:divBdr>
        <w:top w:val="none" w:sz="0" w:space="0" w:color="auto"/>
        <w:left w:val="none" w:sz="0" w:space="0" w:color="auto"/>
        <w:bottom w:val="none" w:sz="0" w:space="0" w:color="auto"/>
        <w:right w:val="none" w:sz="0" w:space="0" w:color="auto"/>
      </w:divBdr>
    </w:div>
    <w:div w:id="1137378668">
      <w:bodyDiv w:val="1"/>
      <w:marLeft w:val="0"/>
      <w:marRight w:val="0"/>
      <w:marTop w:val="0"/>
      <w:marBottom w:val="0"/>
      <w:divBdr>
        <w:top w:val="none" w:sz="0" w:space="0" w:color="auto"/>
        <w:left w:val="none" w:sz="0" w:space="0" w:color="auto"/>
        <w:bottom w:val="none" w:sz="0" w:space="0" w:color="auto"/>
        <w:right w:val="none" w:sz="0" w:space="0" w:color="auto"/>
      </w:divBdr>
    </w:div>
    <w:div w:id="1543052075">
      <w:bodyDiv w:val="1"/>
      <w:marLeft w:val="0"/>
      <w:marRight w:val="0"/>
      <w:marTop w:val="0"/>
      <w:marBottom w:val="0"/>
      <w:divBdr>
        <w:top w:val="none" w:sz="0" w:space="0" w:color="auto"/>
        <w:left w:val="none" w:sz="0" w:space="0" w:color="auto"/>
        <w:bottom w:val="none" w:sz="0" w:space="0" w:color="auto"/>
        <w:right w:val="none" w:sz="0" w:space="0" w:color="auto"/>
      </w:divBdr>
    </w:div>
    <w:div w:id="1565412198">
      <w:bodyDiv w:val="1"/>
      <w:marLeft w:val="0"/>
      <w:marRight w:val="0"/>
      <w:marTop w:val="0"/>
      <w:marBottom w:val="0"/>
      <w:divBdr>
        <w:top w:val="none" w:sz="0" w:space="0" w:color="auto"/>
        <w:left w:val="none" w:sz="0" w:space="0" w:color="auto"/>
        <w:bottom w:val="none" w:sz="0" w:space="0" w:color="auto"/>
        <w:right w:val="none" w:sz="0" w:space="0" w:color="auto"/>
      </w:divBdr>
    </w:div>
    <w:div w:id="1572425750">
      <w:bodyDiv w:val="1"/>
      <w:marLeft w:val="0"/>
      <w:marRight w:val="0"/>
      <w:marTop w:val="0"/>
      <w:marBottom w:val="0"/>
      <w:divBdr>
        <w:top w:val="none" w:sz="0" w:space="0" w:color="auto"/>
        <w:left w:val="none" w:sz="0" w:space="0" w:color="auto"/>
        <w:bottom w:val="none" w:sz="0" w:space="0" w:color="auto"/>
        <w:right w:val="none" w:sz="0" w:space="0" w:color="auto"/>
      </w:divBdr>
    </w:div>
    <w:div w:id="1601721759">
      <w:bodyDiv w:val="1"/>
      <w:marLeft w:val="0"/>
      <w:marRight w:val="0"/>
      <w:marTop w:val="0"/>
      <w:marBottom w:val="0"/>
      <w:divBdr>
        <w:top w:val="none" w:sz="0" w:space="0" w:color="auto"/>
        <w:left w:val="none" w:sz="0" w:space="0" w:color="auto"/>
        <w:bottom w:val="none" w:sz="0" w:space="0" w:color="auto"/>
        <w:right w:val="none" w:sz="0" w:space="0" w:color="auto"/>
      </w:divBdr>
    </w:div>
    <w:div w:id="1608003733">
      <w:bodyDiv w:val="1"/>
      <w:marLeft w:val="0"/>
      <w:marRight w:val="0"/>
      <w:marTop w:val="0"/>
      <w:marBottom w:val="0"/>
      <w:divBdr>
        <w:top w:val="none" w:sz="0" w:space="0" w:color="auto"/>
        <w:left w:val="none" w:sz="0" w:space="0" w:color="auto"/>
        <w:bottom w:val="none" w:sz="0" w:space="0" w:color="auto"/>
        <w:right w:val="none" w:sz="0" w:space="0" w:color="auto"/>
      </w:divBdr>
    </w:div>
    <w:div w:id="1722753831">
      <w:bodyDiv w:val="1"/>
      <w:marLeft w:val="0"/>
      <w:marRight w:val="0"/>
      <w:marTop w:val="0"/>
      <w:marBottom w:val="0"/>
      <w:divBdr>
        <w:top w:val="none" w:sz="0" w:space="0" w:color="auto"/>
        <w:left w:val="none" w:sz="0" w:space="0" w:color="auto"/>
        <w:bottom w:val="none" w:sz="0" w:space="0" w:color="auto"/>
        <w:right w:val="none" w:sz="0" w:space="0" w:color="auto"/>
      </w:divBdr>
    </w:div>
    <w:div w:id="1760907880">
      <w:bodyDiv w:val="1"/>
      <w:marLeft w:val="0"/>
      <w:marRight w:val="0"/>
      <w:marTop w:val="0"/>
      <w:marBottom w:val="0"/>
      <w:divBdr>
        <w:top w:val="none" w:sz="0" w:space="0" w:color="auto"/>
        <w:left w:val="none" w:sz="0" w:space="0" w:color="auto"/>
        <w:bottom w:val="none" w:sz="0" w:space="0" w:color="auto"/>
        <w:right w:val="none" w:sz="0" w:space="0" w:color="auto"/>
      </w:divBdr>
    </w:div>
    <w:div w:id="1798186115">
      <w:bodyDiv w:val="1"/>
      <w:marLeft w:val="0"/>
      <w:marRight w:val="0"/>
      <w:marTop w:val="0"/>
      <w:marBottom w:val="0"/>
      <w:divBdr>
        <w:top w:val="none" w:sz="0" w:space="0" w:color="auto"/>
        <w:left w:val="none" w:sz="0" w:space="0" w:color="auto"/>
        <w:bottom w:val="none" w:sz="0" w:space="0" w:color="auto"/>
        <w:right w:val="none" w:sz="0" w:space="0" w:color="auto"/>
      </w:divBdr>
    </w:div>
    <w:div w:id="1861310483">
      <w:bodyDiv w:val="1"/>
      <w:marLeft w:val="0"/>
      <w:marRight w:val="0"/>
      <w:marTop w:val="0"/>
      <w:marBottom w:val="0"/>
      <w:divBdr>
        <w:top w:val="none" w:sz="0" w:space="0" w:color="auto"/>
        <w:left w:val="none" w:sz="0" w:space="0" w:color="auto"/>
        <w:bottom w:val="none" w:sz="0" w:space="0" w:color="auto"/>
        <w:right w:val="none" w:sz="0" w:space="0" w:color="auto"/>
      </w:divBdr>
    </w:div>
    <w:div w:id="1867670790">
      <w:bodyDiv w:val="1"/>
      <w:marLeft w:val="0"/>
      <w:marRight w:val="0"/>
      <w:marTop w:val="0"/>
      <w:marBottom w:val="0"/>
      <w:divBdr>
        <w:top w:val="none" w:sz="0" w:space="0" w:color="auto"/>
        <w:left w:val="none" w:sz="0" w:space="0" w:color="auto"/>
        <w:bottom w:val="none" w:sz="0" w:space="0" w:color="auto"/>
        <w:right w:val="none" w:sz="0" w:space="0" w:color="auto"/>
      </w:divBdr>
    </w:div>
    <w:div w:id="1888448374">
      <w:bodyDiv w:val="1"/>
      <w:marLeft w:val="0"/>
      <w:marRight w:val="0"/>
      <w:marTop w:val="0"/>
      <w:marBottom w:val="0"/>
      <w:divBdr>
        <w:top w:val="none" w:sz="0" w:space="0" w:color="auto"/>
        <w:left w:val="none" w:sz="0" w:space="0" w:color="auto"/>
        <w:bottom w:val="none" w:sz="0" w:space="0" w:color="auto"/>
        <w:right w:val="none" w:sz="0" w:space="0" w:color="auto"/>
      </w:divBdr>
    </w:div>
    <w:div w:id="2006126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10.xml"/>
  <Relationship Id="rId2" Type="http://schemas.openxmlformats.org/officeDocument/2006/relationships/customXml" Target="../customXml/item2.xml"/>
  <Relationship Id="rId20" Type="http://schemas.openxmlformats.org/officeDocument/2006/relationships/header" Target="header11.xml"/>
  <Relationship Id="rId21" Type="http://schemas.openxmlformats.org/officeDocument/2006/relationships/footer" Target="footer10.xml"/>
  <Relationship Id="rId22" Type="http://schemas.openxmlformats.org/officeDocument/2006/relationships/footer" Target="footer11.xml"/>
  <Relationship Id="rId23" Type="http://schemas.openxmlformats.org/officeDocument/2006/relationships/header" Target="header12.xml"/>
  <Relationship Id="rId24" Type="http://schemas.openxmlformats.org/officeDocument/2006/relationships/footer" Target="footer12.xml"/>
  <Relationship Id="rId25"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LikesCount xmlns="http://schemas.microsoft.com/sharepoint/v3" xmlns:xsi="http://www.w3.org/2001/XMLSchema-instance" xsi:nil="true"/>
    <Ratings xmlns="http://schemas.microsoft.com/sharepoint/v3" xmlns:xsi="http://www.w3.org/2001/XMLSchema-instance" xsi:nil="true"/>
    <LikedBy xmlns="http://schemas.microsoft.com/sharepoint/v3">
      <UserInfo>
        <DisplayName/>
        <AccountId xmlns:xsi="http://www.w3.org/2001/XMLSchema-instance" xsi:nil="true"/>
        <AccountType/>
      </UserInfo>
    </LikedBy>
    <RatedBy xmlns="http://schemas.microsoft.com/sharepoint/v3">
      <UserInfo>
        <DisplayName/>
        <AccountId xmlns:xsi="http://www.w3.org/2001/XMLSchema-instance" xsi:nil="true"/>
        <AccountType/>
      </UserInfo>
    </RatedBy>
  </documentManagement>
</p:properties>
</file>

<file path=customXml/item4.xml><?xml version="1.0" encoding="utf-8"?>
<Parts xmlns="http://lrs.lt/TAIS/DocParts">
  <Part Type="pagrindine" DocPartId="53b4039705a34ba2aea129ac1fe66bef" PartId="88984fb30dc1424a93ad2c057470706e">
    <Part Type="preambule" DocPartId="c188c2e027774a2fbbcc01883f5c8bb4" PartId="aec4ee9d3dcb47ca8c51ec8057fec87f"/>
    <Part Type="punktas" Nr="1" Abbr="1 p." DocPartId="4cf873d0c37641aea131c5c7f6deb290" PartId="6e5b157db4f9433fb36dc640367b5178"/>
    <Part Type="punktas" Nr="2" Abbr="2 p." DocPartId="9f35b7bf4ad940e99b9336902f853226" PartId="3256d6b051aa47c28d8baddf5a7ac442"/>
    <Part Type="punktas" Nr="3" Abbr="3 p." DocPartId="d2a61af76052490e824266e3689d9174" PartId="f968de3354874b04a6015e21a665c25a"/>
    <Part Type="signatura" DocPartId="98f1f7dc40fb410da3412e330554bca9" PartId="f7a1b0bdecb44474b23ce56a5a12257e"/>
  </Part>
  <Part Type="patvirtinta" Title="NACIONALINIO VANDENŲ SRITIES 2022–2027 METŲ PLANO ĮGYVENDINIMO VEIKSMŲ PLANAS" DocPartId="4b30146a11cd4d0798e2bdc7355b6c8a" PartId="f84988528641497aa671450687659558"/>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9AFDA87-8DC6-4EF5-8BDA-58E3AA4788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F5C7FE9-499A-4192-8ACC-797366E0BC9D}">
  <ds:schemaRefs>
    <ds:schemaRef ds:uri="http://schemas.microsoft.com/sharepoint/v3/contenttype/forms"/>
  </ds:schemaRefs>
</ds:datastoreItem>
</file>

<file path=customXml/itemProps3.xml><?xml version="1.0" encoding="utf-8"?>
<ds:datastoreItem xmlns:ds="http://schemas.openxmlformats.org/officeDocument/2006/customXml" ds:itemID="{C877E949-78C1-4E1A-A4C9-DD657B41263B}">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DEACB22C-1BE1-451A-BDE6-FF34B424FE97}">
  <ds:schemaRefs>
    <ds:schemaRef ds:uri="http://lrs.lt/TAIS/DocParts"/>
  </ds:schemaRefs>
</ds:datastoreItem>
</file>

<file path=customXml/itemProps5.xml><?xml version="1.0" encoding="utf-8"?>
<ds:datastoreItem xmlns:ds="http://schemas.openxmlformats.org/officeDocument/2006/customXml" ds:itemID="{5ECE423D-585B-4D66-AA04-5C91E32FAA92}">
  <ds:schemaRefs>
    <ds:schemaRef ds:uri="http://schemas.openxmlformats.org/officeDocument/2006/bibliography"/>
  </ds:schemaRefs>
</ds:datastoreItem>
</file>

<file path=customXml/itemProps6.xml><?xml version="1.0" encoding="utf-8"?>
<ds:datastoreItem xmlns:ds="http://schemas.openxmlformats.org/officeDocument/2006/customXml" ds:itemID="{4D4064AD-7F59-4000-91A4-ADD121AE8F1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45</Pages>
  <Words>66051</Words>
  <Characters>37650</Characters>
  <Application>Microsoft Office Word</Application>
  <DocSecurity>0</DocSecurity>
  <Lines>313</Lines>
  <Paragraphs>206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103495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2023-04-26T10:38:00Z</dcterms:created>
  <dc:creator>Justina Anglickytė</dc:creator>
  <lastModifiedBy>JUOSPONIENĖ Karolina</lastModifiedBy>
  <lastPrinted>2022-08-09T11:47:00Z</lastPrinted>
  <dcterms:modified xsi:type="dcterms:W3CDTF">2024-09-25T11:16:00Z</dcterms:modified>
  <revision>4</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0x010100AA351E0ECF89C14A900DE8C04996CFDF</vt:lpwstr>
  </property>
  <property fmtid="{D5CDD505-2E9C-101B-9397-08002B2CF9AE}" pid="3" name="MediaServiceImageTags">
    <vt:lpwstr xmlns:vt="http://schemas.openxmlformats.org/officeDocument/2006/docPropsVTypes"/>
  </property>
</Properties>
</file>