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2024-12-05 iki 2024-12-06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fb50697710994249a096444a93643d05"/>
            <w:lock w:val="sdtLocked"/>
            <w:richText/>
          </w:sdtPr>
          <w:sdtContent>
            <w:p>
              <w:pPr>
                <w:tabs>
                  <w:tab w:val="left" w:pos="1134"/>
                  <w:tab w:val="left" w:pos="1560"/>
                </w:tabs>
                <w:jc w:val="center"/>
                <w:rPr>
                  <w:szCs w:val="24"/>
                  <w:lang w:eastAsia="lt-LT"/>
                </w:rPr>
              </w:pPr>
              <w:sdt>
                <w:sdtPr>
                  <w:alias w:val="Numeris"/>
                  <w:tag w:val="nr_fb50697710994249a096444a93643d0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fb50697710994249a096444a93643d05"/>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10753" w:type="dxa"/>
                <w:tblCellMar>
                  <w:left w:w="0" w:type="dxa"/>
                  <w:right w:w="0" w:type="dxa"/>
                </w:tblCellMar>
                <w:tblLook w:val="04A0" w:firstRow="1" w:lastRow="0" w:firstColumn="1" w:lastColumn="0" w:noHBand="0" w:noVBand="1"/>
              </w:tblPr>
              <w:tblGrid>
                <w:gridCol w:w="1023"/>
                <w:gridCol w:w="1249"/>
                <w:gridCol w:w="2030"/>
                <w:gridCol w:w="2078"/>
                <w:gridCol w:w="962"/>
                <w:gridCol w:w="1138"/>
                <w:gridCol w:w="1045"/>
                <w:gridCol w:w="1228"/>
              </w:tblGrid>
              <w:tr>
                <w:tc>
                  <w:tcPr>
                    <w:tcW w:w="1004"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kodas</w:t>
                    </w:r>
                  </w:p>
                </w:tc>
                <w:tc>
                  <w:tcPr>
                    <w:tcW w:w="1225"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tipas (rezultato / produkto)</w:t>
                    </w:r>
                  </w:p>
                </w:tc>
                <w:tc>
                  <w:tcPr>
                    <w:tcW w:w="203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pavadinimas</w:t>
                    </w:r>
                  </w:p>
                </w:tc>
                <w:tc>
                  <w:tcPr>
                    <w:tcW w:w="2147"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Matavimo vienetas</w:t>
                    </w:r>
                  </w:p>
                </w:tc>
                <w:tc>
                  <w:tcPr>
                    <w:tcW w:w="944"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Pradinė rodiklio reikšmė (metai)</w:t>
                    </w:r>
                  </w:p>
                </w:tc>
                <w:tc>
                  <w:tcPr>
                    <w:tcW w:w="1144"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Siektinos rodiklio reikšmės</w:t>
                    </w:r>
                  </w:p>
                </w:tc>
                <w:tc>
                  <w:tcPr>
                    <w:tcW w:w="2250"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Finansavimo šaltinis</w:t>
                    </w:r>
                  </w:p>
                </w:tc>
              </w:tr>
              <w:tr>
                <w:tc>
                  <w:tcPr>
                    <w:tcW w:w="1004" w:type="dxa"/>
                    <w:vMerge/>
                    <w:tcBorders>
                      <w:top w:val="single" w:sz="8" w:space="0" w:color="auto"/>
                      <w:left w:val="single" w:sz="8" w:space="0" w:color="auto"/>
                      <w:bottom w:val="single" w:sz="8" w:space="0" w:color="auto"/>
                      <w:right w:val="single" w:sz="8" w:space="0" w:color="auto"/>
                    </w:tcBorders>
                    <w:vAlign w:val="center"/>
                    <w:hideMark/>
                  </w:tcPr>
                  <w:p>
                    <w:pPr>
                      <w:jc w:val="center"/>
                      <w:rPr>
                        <w:szCs w:val="24"/>
                        <w:lang w:eastAsia="lt-LT"/>
                      </w:rPr>
                    </w:pPr>
                  </w:p>
                </w:tc>
                <w:tc>
                  <w:tcPr>
                    <w:tcW w:w="1225"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203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2147"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944"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144"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Tarpinė reikšmė 2025 m.</w:t>
                    </w:r>
                  </w:p>
                </w:tc>
                <w:tc>
                  <w:tcPr>
                    <w:tcW w:w="1046"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Galutinė reikšmė</w:t>
                    </w:r>
                  </w:p>
                  <w:p>
                    <w:pPr>
                      <w:jc w:val="center"/>
                      <w:rPr>
                        <w:szCs w:val="24"/>
                        <w:lang w:eastAsia="lt-LT"/>
                      </w:rPr>
                    </w:pPr>
                    <w:r>
                      <w:rPr>
                        <w:b/>
                        <w:bCs/>
                        <w:sz w:val="22"/>
                        <w:szCs w:val="22"/>
                        <w:lang w:eastAsia="lt-LT"/>
                      </w:rPr>
                      <w:t>2030 m.</w:t>
                    </w:r>
                  </w:p>
                </w:tc>
                <w:tc>
                  <w:tcPr>
                    <w:tcW w:w="1204" w:type="dxa"/>
                    <w:tcBorders>
                      <w:top w:val="single" w:sz="8" w:space="0" w:color="auto"/>
                      <w:left w:val="nil"/>
                      <w:bottom w:val="single" w:sz="8" w:space="0" w:color="auto"/>
                      <w:right w:val="single" w:sz="8" w:space="0" w:color="auto"/>
                    </w:tcBorders>
                    <w:vAlign w:val="center"/>
                    <w:hideMark/>
                  </w:tcPr>
                  <w:p>
                    <w:pPr>
                      <w:jc w:val="center"/>
                      <w:rPr>
                        <w:szCs w:val="24"/>
                        <w:lang w:eastAsia="lt-LT"/>
                      </w:rPr>
                    </w:pP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Investicijų programa (toliau –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val="en-GB" w:eastAsia="lt-LT"/>
                      </w:rPr>
                      <w:t>56</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Paramą gavusiose mokslinių tyrimų įstaigose dirbantys mokslininkai</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vienų metų etato ekvivalentai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123</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1 220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Bendruose mokslinių tyrimų projektuose dalyvaujančios mokslinių tyrimų organizacijos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organizacijos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Nominalioji mokslinių tyrimų ir inovacijų įrangos vertė</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eurai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3 635 312</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36 353 120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P-12-001-01-02-01-04</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 mokslinių tyrimų organizacijomis bendradarbiaujančios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P-12-001-01-02-01-05</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skaičius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8</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tabs>
                        <w:tab w:val="center" w:pos="725"/>
                      </w:tabs>
                      <w:jc w:val="center"/>
                      <w:rPr>
                        <w:sz w:val="20"/>
                        <w:lang w:eastAsia="lt-LT"/>
                      </w:rPr>
                    </w:pPr>
                    <w:r>
                      <w:rPr>
                        <w:color w:val="000000"/>
                        <w:sz w:val="20"/>
                        <w:lang w:eastAsia="lt-LT"/>
                      </w:rPr>
                      <w:t>2021–2027 m. IP,</w:t>
                    </w:r>
                  </w:p>
                  <w:p>
                    <w:pPr>
                      <w:tabs>
                        <w:tab w:val="center" w:pos="725"/>
                      </w:tabs>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P-12-001-01-02-01-06</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Paramą gavusios įmonės, </w:t>
                    </w:r>
                    <w:r>
                      <w:rPr>
                        <w:color w:val="000000"/>
                        <w:sz w:val="20"/>
                        <w:shd w:val="clear" w:color="auto" w:fill="FFFFFF"/>
                        <w:lang w:eastAsia="lt-LT"/>
                      </w:rPr>
                      <w:t>iš kurių labai mažos, mažos, vidutinės ir didelės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P-12-001-01-02-01-07</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labai mažos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P-12-001-01-02-01-08</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mažos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P-12-001-01-02-01-09</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vidutinės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P-12-001-01-02-01-10</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didelės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Nefinansinę paramą gavusios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(2024)</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Paramą gavusios naujos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Programos „Europos horizontas“ įgyvendinimo spartinimo veiksmų plano rengimas ir priėmimas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P-12-001-01-02-01-14</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Finansuoti projektai ir konsultavimo paslaugos mokslo ir studijų institucijų ir mažų ir vidutinių įmonių potencialiems programos „Europos horizontas“ pareiškėjams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200</w:t>
                    </w:r>
                  </w:p>
                  <w:p>
                    <w:pPr>
                      <w:spacing w:line="276" w:lineRule="auto"/>
                      <w:jc w:val="center"/>
                      <w:rPr>
                        <w:sz w:val="20"/>
                        <w:lang w:eastAsia="lt-LT"/>
                      </w:rPr>
                    </w:pPr>
                    <w:r>
                      <w:rPr>
                        <w:sz w:val="20"/>
                        <w:lang w:eastAsia="lt-LT"/>
                      </w:rPr>
                      <w:t>(2025 I ketv.)</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477</w:t>
                    </w:r>
                  </w:p>
                  <w:p>
                    <w:pPr>
                      <w:spacing w:line="276" w:lineRule="auto"/>
                      <w:jc w:val="center"/>
                      <w:rPr>
                        <w:sz w:val="20"/>
                        <w:lang w:eastAsia="lt-LT"/>
                      </w:rPr>
                    </w:pPr>
                    <w:r>
                      <w:rPr>
                        <w:sz w:val="20"/>
                        <w:lang w:eastAsia="lt-LT"/>
                      </w:rPr>
                      <w:t>(2026 II ketv.)</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P-12-001-01-02-01-15</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Sukurtas mokslo ir inovacijų srities pareigūnų veiklos modelis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P-12-001-01-02-01-16</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Įsteigtos mokslo pareigūnų ir nacionalinių kontaktinių asmenų (NCP) pozicijos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30</w:t>
                    </w:r>
                  </w:p>
                  <w:p>
                    <w:pPr>
                      <w:spacing w:line="276" w:lineRule="auto"/>
                      <w:jc w:val="center"/>
                      <w:rPr>
                        <w:sz w:val="20"/>
                        <w:lang w:eastAsia="lt-LT"/>
                      </w:rPr>
                    </w:pPr>
                    <w:r>
                      <w:rPr>
                        <w:sz w:val="20"/>
                        <w:lang w:eastAsia="lt-LT"/>
                      </w:rPr>
                      <w:t>(2026 II ketv.)</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P-12-001-01-02-01-17</w:t>
                    </w:r>
                  </w:p>
                </w:tc>
                <w:tc>
                  <w:tcPr>
                    <w:tcW w:w="1225"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39"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rPr>
                      <w:t>Asmenys, dalyvavę EURO HPC centro veiklose</w:t>
                    </w:r>
                  </w:p>
                </w:tc>
                <w:tc>
                  <w:tcPr>
                    <w:tcW w:w="2147"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44"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n/a</w:t>
                    </w:r>
                  </w:p>
                </w:tc>
                <w:tc>
                  <w:tcPr>
                    <w:tcW w:w="1046"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160</w:t>
                    </w:r>
                  </w:p>
                  <w:p>
                    <w:pPr>
                      <w:spacing w:line="276" w:lineRule="auto"/>
                      <w:jc w:val="center"/>
                      <w:rPr>
                        <w:sz w:val="20"/>
                        <w:lang w:eastAsia="lt-LT"/>
                      </w:rPr>
                    </w:pPr>
                    <w:r>
                      <w:rPr>
                        <w:color w:val="000000"/>
                        <w:sz w:val="20"/>
                        <w:lang w:eastAsia="lt-LT"/>
                      </w:rPr>
                      <w:t>(2029)</w:t>
                    </w:r>
                  </w:p>
                </w:tc>
                <w:tc>
                  <w:tcPr>
                    <w:tcW w:w="1204"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P-12-001-01-02-01-18</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LINO renginiai / susitikimai apie ES tarptautines programas, iniciatyvas bei galimybes, aktualias Lietuvos mokslo ir inovacijų ekosistemai</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60</w:t>
                    </w:r>
                  </w:p>
                  <w:p>
                    <w:pPr>
                      <w:spacing w:line="276" w:lineRule="auto"/>
                      <w:jc w:val="center"/>
                      <w:rPr>
                        <w:sz w:val="20"/>
                        <w:lang w:eastAsia="lt-LT"/>
                      </w:rPr>
                    </w:pPr>
                    <w:r>
                      <w:rPr>
                        <w:color w:val="000000"/>
                        <w:sz w:val="20"/>
                        <w:lang w:eastAsia="lt-LT"/>
                      </w:rPr>
                      <w:t>(2029)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rPr>
                    </w:pPr>
                    <w:r>
                      <w:rPr>
                        <w:color w:val="000000"/>
                        <w:sz w:val="20"/>
                      </w:rPr>
                      <w:t>P-12-001-01-02-01-19</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Sukurti tarptautiniai kompetencijų centrai</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n/a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3</w:t>
                    </w:r>
                  </w:p>
                  <w:p>
                    <w:pPr>
                      <w:spacing w:line="276" w:lineRule="auto"/>
                      <w:jc w:val="center"/>
                      <w:rPr>
                        <w:color w:val="000000"/>
                        <w:sz w:val="20"/>
                        <w:lang w:eastAsia="lt-LT"/>
                      </w:rPr>
                    </w:pPr>
                    <w:r>
                      <w:rPr>
                        <w:color w:val="000000"/>
                        <w:sz w:val="20"/>
                        <w:lang w:eastAsia="lt-LT"/>
                      </w:rPr>
                      <w:t>(2029)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P-12-001-01-02-01-20</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Įgyvendintos preakceleravimo programos</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val="en-GB"/>
                      </w:rPr>
                    </w:pPr>
                    <w:r>
                      <w:rPr>
                        <w:sz w:val="20"/>
                        <w:lang w:val="en-GB"/>
                      </w:rPr>
                      <w:t>8</w:t>
                    </w:r>
                  </w:p>
                  <w:p>
                    <w:pPr>
                      <w:spacing w:line="276" w:lineRule="auto"/>
                      <w:jc w:val="center"/>
                      <w:rPr>
                        <w:color w:val="000000"/>
                        <w:sz w:val="20"/>
                        <w:lang w:eastAsia="lt-LT"/>
                      </w:rPr>
                    </w:pPr>
                    <w:r>
                      <w:rPr>
                        <w:sz w:val="20"/>
                        <w:lang w:val="en-GB"/>
                      </w:rPr>
                      <w:t>(2029)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P-12-001-01-02-01-21</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Mentorystės programos veikla pasinaudoję dalyviai</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lang w:val="en-GB"/>
                      </w:rPr>
                      <w:t>30 (2029)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P-12-001-01-02-01-22</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Surengtos ekspertinės individualios ir grupinės konsultacijos</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lang w:val="en-GB"/>
                      </w:rPr>
                      <w:t>40 (2029)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bl>
            <w:sdt>
              <w:sdtPr>
                <w:alias w:val="pastraipa"/>
                <w:tag w:val="part_ed75b8c7d551465eaddaed875c657250"/>
                <w:lock w:val="sdtLocked"/>
                <w:richText/>
              </w:sdtPr>
              <w:sdtContent>
                <w:p>
                  <w:pPr>
                    <w:ind w:firstLine="567"/>
                    <w:jc w:val="both"/>
                    <w:rPr>
                      <w:szCs w:val="24"/>
                      <w:lang w:eastAsia="lt-LT"/>
                    </w:rPr>
                  </w:pPr>
                  <w:sdt>
                    <w:sdtPr>
                      <w:alias w:val="Pavadinimas"/>
                      <w:tag w:val="title_ed75b8c7d551465eaddaed875c657250"/>
                      <w:lock w:val="sdtLocked"/>
                      <w:richText/>
                    </w:sdtPr>
                    <w:sdtContent>
                      <w:r>
                        <w:rPr>
                          <w:b/>
                          <w:bCs/>
                          <w:sz w:val="20"/>
                          <w:lang w:eastAsia="lt-LT"/>
                        </w:rPr>
                        <w:t>Pastaba.</w:t>
                      </w:r>
                    </w:sdtContent>
                  </w:sdt>
                </w:p>
                <w:p>
                  <w:pPr>
                    <w:ind w:firstLine="567"/>
                    <w:jc w:val="both"/>
                    <w:rPr>
                      <w:b/>
                      <w:sz w:val="22"/>
                      <w:szCs w:val="22"/>
                    </w:rPr>
                  </w:pPr>
                  <w:r>
                    <w:rPr>
                      <w:sz w:val="20"/>
                      <w:lang w:eastAsia="lt-LT"/>
                    </w:rPr>
                    <w:t>Rodikliai – Paramą gavusiose mokslinių tyrimų įstaigose dirbantys mokslininkai, Paramą gavusios įmonės, iš jų mažos ir labai mažos, vidutinės,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6edc0aab1df4a73a94bf2f07f753560"/>
                    <w:lock w:val="sdtLocked"/>
                    <w:richText/>
                  </w:sdtPr>
                  <w:sdtContent>
                    <w:p>
                      <w:pPr>
                        <w:ind w:firstLine="567"/>
                        <w:jc w:val="both"/>
                        <w:rPr>
                          <w:sz w:val="18"/>
                          <w:szCs w:val="18"/>
                        </w:rPr>
                      </w:pPr>
                      <w:sdt>
                        <w:sdtPr>
                          <w:alias w:val="Numeris"/>
                          <w:tag w:val="nr_a6edc0aab1df4a73a94bf2f07f753560"/>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center" w:pos="4680"/>
                          <w:tab w:val="right" w:pos="9360"/>
                        </w:tabs>
                        <w:rPr>
                          <w:sz w:val="22"/>
                          <w:szCs w:val="22"/>
                          <w:lang w:eastAsia="lt-LT"/>
                        </w:rPr>
                      </w:pPr>
                    </w:p>
                  </w:sdtContent>
                </w:sdt>
              </w:sdtContent>
            </w:sdt>
          </w:sdtContent>
        </w:sdt>
        <w:sdt>
          <w:sdtPr>
            <w:alias w:val="skyrius"/>
            <w:tag w:val="part_e6210b6ba19c4e669b5ca89b4050ab3a"/>
            <w:lock w:val="sdtLocked"/>
            <w:richText/>
          </w:sdtPr>
          <w:sdtContent>
            <w:p>
              <w:pPr>
                <w:jc w:val="center"/>
                <w:rPr>
                  <w:b/>
                  <w:bCs/>
                </w:rPr>
              </w:pPr>
              <w:sdt>
                <w:sdtPr>
                  <w:alias w:val="Numeris"/>
                  <w:tag w:val="nr_e6210b6ba19c4e669b5ca89b4050ab3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e6210b6ba19c4e669b5ca89b4050ab3a"/>
                  <w:lock w:val="sdtLocked"/>
                  <w:richText/>
                </w:sdtPr>
                <w:sdtContent>
                  <w:r>
                    <w:rPr>
                      <w:b/>
                      <w:bCs/>
                    </w:rPr>
                    <w:t>PLĖTROS PROGRAMOS PAŽANGOS PRIEMONĖS VEIKLŲ SUVESTINĖ</w:t>
                  </w:r>
                </w:sdtContent>
              </w:sdt>
            </w:p>
            <w:p>
              <w:pPr>
                <w:rPr>
                  <w:sz w:val="2"/>
                  <w:szCs w:val="2"/>
                </w:rPr>
              </w:pPr>
            </w:p>
            <w:p>
              <w:pPr>
                <w:ind w:firstLine="851"/>
                <w:jc w:val="center"/>
              </w:pPr>
            </w:p>
            <w:p>
              <w:pPr>
                <w:rPr>
                  <w:sz w:val="2"/>
                  <w:szCs w:val="2"/>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709"/>
                <w:gridCol w:w="709"/>
                <w:gridCol w:w="709"/>
                <w:gridCol w:w="850"/>
                <w:gridCol w:w="562"/>
                <w:gridCol w:w="1281"/>
                <w:gridCol w:w="1087"/>
                <w:gridCol w:w="1318"/>
                <w:gridCol w:w="1134"/>
                <w:gridCol w:w="850"/>
                <w:gridCol w:w="709"/>
              </w:tblGrid>
              <w:tr>
                <w:trPr>
                  <w:trHeight w:val="700"/>
                </w:trPr>
                <w:tc>
                  <w:tcPr>
                    <w:tcW w:w="992" w:type="dxa"/>
                    <w:shd w:val="clear" w:color="auto" w:fill="DEEAF6" w:themeFill="accent1" w:themeFillTint="33"/>
                    <w:vAlign w:val="center"/>
                  </w:tcPr>
                  <w:p>
                    <w:pPr>
                      <w:jc w:val="center"/>
                      <w:rPr>
                        <w:b/>
                        <w:sz w:val="20"/>
                      </w:rPr>
                    </w:pPr>
                    <w:r>
                      <w:rPr>
                        <w:b/>
                        <w:sz w:val="20"/>
                      </w:rPr>
                      <w:t>Veikla</w:t>
                    </w:r>
                  </w:p>
                </w:tc>
                <w:tc>
                  <w:tcPr>
                    <w:tcW w:w="709" w:type="dxa"/>
                    <w:shd w:val="clear" w:color="auto" w:fill="DEEAF6" w:themeFill="accent1" w:themeFillTint="33"/>
                    <w:vAlign w:val="center"/>
                  </w:tcPr>
                  <w:p>
                    <w:pPr>
                      <w:jc w:val="center"/>
                      <w:rPr>
                        <w:b/>
                        <w:sz w:val="20"/>
                      </w:rPr>
                    </w:pPr>
                    <w:r>
                      <w:rPr>
                        <w:b/>
                        <w:sz w:val="20"/>
                      </w:rPr>
                      <w:t>Veiklos (poveiklės, projekto) tipas</w:t>
                    </w:r>
                  </w:p>
                </w:tc>
                <w:tc>
                  <w:tcPr>
                    <w:tcW w:w="709" w:type="dxa"/>
                    <w:shd w:val="clear" w:color="auto" w:fill="DEEAF6" w:themeFill="accent1" w:themeFillTint="33"/>
                    <w:vAlign w:val="center"/>
                  </w:tcPr>
                  <w:p>
                    <w:pPr>
                      <w:jc w:val="center"/>
                      <w:rPr>
                        <w:b/>
                        <w:sz w:val="20"/>
                      </w:rPr>
                    </w:pPr>
                    <w:r>
                      <w:rPr>
                        <w:b/>
                        <w:sz w:val="20"/>
                      </w:rPr>
                      <w:t>Galimi pareiškėjai</w:t>
                    </w:r>
                  </w:p>
                </w:tc>
                <w:tc>
                  <w:tcPr>
                    <w:tcW w:w="709" w:type="dxa"/>
                    <w:shd w:val="clear" w:color="auto" w:fill="DEEAF6" w:themeFill="accent1" w:themeFillTint="33"/>
                    <w:vAlign w:val="center"/>
                  </w:tcPr>
                  <w:p>
                    <w:pPr>
                      <w:jc w:val="center"/>
                      <w:rPr>
                        <w:b/>
                        <w:sz w:val="20"/>
                      </w:rPr>
                    </w:pPr>
                    <w:r>
                      <w:rPr>
                        <w:b/>
                        <w:sz w:val="20"/>
                      </w:rPr>
                      <w:t>Projektų atrankos būdas</w:t>
                    </w:r>
                  </w:p>
                </w:tc>
                <w:tc>
                  <w:tcPr>
                    <w:tcW w:w="850" w:type="dxa"/>
                    <w:shd w:val="clear" w:color="auto" w:fill="DEEAF6" w:themeFill="accent1" w:themeFillTint="33"/>
                    <w:vAlign w:val="center"/>
                  </w:tcPr>
                  <w:p>
                    <w:pPr>
                      <w:jc w:val="center"/>
                      <w:rPr>
                        <w:b/>
                        <w:sz w:val="20"/>
                      </w:rPr>
                    </w:pPr>
                    <w:r>
                      <w:rPr>
                        <w:b/>
                        <w:sz w:val="20"/>
                      </w:rPr>
                      <w:t>Tiesiogiai prisidedama prie HP</w:t>
                    </w:r>
                  </w:p>
                  <w:p>
                    <w:pPr>
                      <w:jc w:val="center"/>
                      <w:rPr>
                        <w:b/>
                        <w:sz w:val="20"/>
                      </w:rPr>
                    </w:pPr>
                    <w:r>
                      <w:rPr>
                        <w:b/>
                        <w:sz w:val="20"/>
                      </w:rPr>
                      <w:t>(Taip / Ne)</w:t>
                    </w:r>
                  </w:p>
                </w:tc>
                <w:tc>
                  <w:tcPr>
                    <w:tcW w:w="562" w:type="dxa"/>
                    <w:shd w:val="clear" w:color="auto" w:fill="DEEAF6" w:themeFill="accent1" w:themeFillTint="33"/>
                    <w:vAlign w:val="center"/>
                  </w:tcPr>
                  <w:p>
                    <w:pPr>
                      <w:jc w:val="center"/>
                      <w:rPr>
                        <w:b/>
                        <w:sz w:val="20"/>
                      </w:rPr>
                    </w:pPr>
                    <w:r>
                      <w:rPr>
                        <w:b/>
                        <w:sz w:val="20"/>
                      </w:rPr>
                      <w:t>Finansavimo forma</w:t>
                    </w:r>
                  </w:p>
                </w:tc>
                <w:tc>
                  <w:tcPr>
                    <w:tcW w:w="1281" w:type="dxa"/>
                    <w:shd w:val="clear" w:color="auto" w:fill="DEEAF6" w:themeFill="accent1" w:themeFillTint="33"/>
                    <w:vAlign w:val="center"/>
                  </w:tcPr>
                  <w:p>
                    <w:pPr>
                      <w:jc w:val="center"/>
                      <w:rPr>
                        <w:b/>
                        <w:sz w:val="20"/>
                      </w:rPr>
                    </w:pPr>
                    <w:r>
                      <w:rPr>
                        <w:b/>
                        <w:sz w:val="20"/>
                      </w:rPr>
                      <w:t>Finansavimo suma (tūkst. eurų)</w:t>
                    </w:r>
                  </w:p>
                </w:tc>
                <w:tc>
                  <w:tcPr>
                    <w:tcW w:w="1087" w:type="dxa"/>
                    <w:shd w:val="clear" w:color="auto" w:fill="DEEAF6" w:themeFill="accent1" w:themeFillTint="33"/>
                    <w:vAlign w:val="center"/>
                  </w:tcPr>
                  <w:p>
                    <w:pPr>
                      <w:jc w:val="center"/>
                      <w:rPr>
                        <w:b/>
                        <w:sz w:val="20"/>
                      </w:rPr>
                    </w:pPr>
                    <w:r>
                      <w:rPr>
                        <w:b/>
                        <w:sz w:val="20"/>
                      </w:rPr>
                      <w:t>Finansavimo šaltinis (-iai)</w:t>
                    </w:r>
                  </w:p>
                </w:tc>
                <w:tc>
                  <w:tcPr>
                    <w:tcW w:w="1318" w:type="dxa"/>
                    <w:shd w:val="clear" w:color="auto" w:fill="DEEAF6" w:themeFill="accent1" w:themeFillTint="33"/>
                    <w:vAlign w:val="center"/>
                  </w:tcPr>
                  <w:p>
                    <w:pPr>
                      <w:jc w:val="center"/>
                      <w:rPr>
                        <w:b/>
                        <w:sz w:val="20"/>
                      </w:rPr>
                    </w:pPr>
                    <w:r>
                      <w:rPr>
                        <w:b/>
                        <w:sz w:val="20"/>
                      </w:rPr>
                      <w:t>Rodiklio pavadinimas ir tipas</w:t>
                    </w:r>
                  </w:p>
                </w:tc>
                <w:tc>
                  <w:tcPr>
                    <w:tcW w:w="1134" w:type="dxa"/>
                    <w:shd w:val="clear" w:color="auto" w:fill="DEEAF6" w:themeFill="accent1" w:themeFillTint="33"/>
                    <w:vAlign w:val="center"/>
                  </w:tcPr>
                  <w:p>
                    <w:pPr>
                      <w:jc w:val="center"/>
                      <w:rPr>
                        <w:b/>
                        <w:sz w:val="20"/>
                      </w:rPr>
                    </w:pPr>
                    <w:r>
                      <w:rPr>
                        <w:b/>
                        <w:sz w:val="20"/>
                      </w:rPr>
                      <w:t>Siektina galutinė rodiklio reikšmė (ir metai)</w:t>
                    </w:r>
                  </w:p>
                </w:tc>
                <w:tc>
                  <w:tcPr>
                    <w:tcW w:w="850" w:type="dxa"/>
                    <w:shd w:val="clear" w:color="auto" w:fill="DEEAF6" w:themeFill="accent1" w:themeFillTint="33"/>
                    <w:vAlign w:val="center"/>
                  </w:tcPr>
                  <w:p>
                    <w:pPr>
                      <w:jc w:val="center"/>
                      <w:rPr>
                        <w:b/>
                        <w:strike/>
                        <w:sz w:val="20"/>
                      </w:rPr>
                    </w:pPr>
                    <w:r>
                      <w:rPr>
                        <w:b/>
                        <w:sz w:val="20"/>
                      </w:rPr>
                      <w:t>Administruojančioji institucija</w:t>
                    </w:r>
                  </w:p>
                </w:tc>
                <w:tc>
                  <w:tcPr>
                    <w:tcW w:w="709" w:type="dxa"/>
                    <w:shd w:val="clear" w:color="auto" w:fill="DEEAF6" w:themeFill="accent1" w:themeFillTint="33"/>
                    <w:vAlign w:val="center"/>
                  </w:tcPr>
                  <w:p>
                    <w:pPr>
                      <w:jc w:val="center"/>
                      <w:rPr>
                        <w:b/>
                        <w:sz w:val="20"/>
                      </w:rPr>
                    </w:pPr>
                    <w:r>
                      <w:rPr>
                        <w:b/>
                        <w:sz w:val="20"/>
                      </w:rPr>
                      <w:t>Dalyvaujanti institucija</w:t>
                    </w:r>
                  </w:p>
                </w:tc>
              </w:tr>
              <w:tr>
                <w:trPr>
                  <w:trHeight w:val="288"/>
                </w:trPr>
                <w:tc>
                  <w:tcPr>
                    <w:tcW w:w="992" w:type="dxa"/>
                    <w:shd w:val="clear" w:color="auto" w:fill="DEEAF6" w:themeFill="accent1" w:themeFillTint="33"/>
                    <w:vAlign w:val="center"/>
                  </w:tcPr>
                  <w:p>
                    <w:pPr>
                      <w:jc w:val="center"/>
                      <w:rPr>
                        <w:b/>
                        <w:sz w:val="20"/>
                      </w:rPr>
                    </w:pPr>
                    <w:r>
                      <w:rPr>
                        <w:b/>
                        <w:sz w:val="20"/>
                      </w:rPr>
                      <w:t>1</w:t>
                    </w:r>
                  </w:p>
                </w:tc>
                <w:tc>
                  <w:tcPr>
                    <w:tcW w:w="709" w:type="dxa"/>
                    <w:shd w:val="clear" w:color="auto" w:fill="DEEAF6" w:themeFill="accent1" w:themeFillTint="33"/>
                    <w:vAlign w:val="center"/>
                  </w:tcPr>
                  <w:p>
                    <w:pPr>
                      <w:jc w:val="center"/>
                      <w:rPr>
                        <w:b/>
                        <w:sz w:val="20"/>
                      </w:rPr>
                    </w:pPr>
                    <w:r>
                      <w:rPr>
                        <w:b/>
                        <w:sz w:val="20"/>
                      </w:rPr>
                      <w:t>2</w:t>
                    </w:r>
                  </w:p>
                </w:tc>
                <w:tc>
                  <w:tcPr>
                    <w:tcW w:w="709" w:type="dxa"/>
                    <w:shd w:val="clear" w:color="auto" w:fill="DEEAF6" w:themeFill="accent1" w:themeFillTint="33"/>
                    <w:vAlign w:val="center"/>
                  </w:tcPr>
                  <w:p>
                    <w:pPr>
                      <w:jc w:val="center"/>
                      <w:rPr>
                        <w:b/>
                        <w:sz w:val="20"/>
                      </w:rPr>
                    </w:pPr>
                    <w:r>
                      <w:rPr>
                        <w:b/>
                        <w:sz w:val="20"/>
                      </w:rPr>
                      <w:t>3</w:t>
                    </w:r>
                  </w:p>
                </w:tc>
                <w:tc>
                  <w:tcPr>
                    <w:tcW w:w="709" w:type="dxa"/>
                    <w:shd w:val="clear" w:color="auto" w:fill="DEEAF6" w:themeFill="accent1" w:themeFillTint="33"/>
                    <w:vAlign w:val="center"/>
                  </w:tcPr>
                  <w:p>
                    <w:pPr>
                      <w:jc w:val="center"/>
                      <w:rPr>
                        <w:b/>
                        <w:sz w:val="20"/>
                      </w:rPr>
                    </w:pPr>
                    <w:r>
                      <w:rPr>
                        <w:b/>
                        <w:sz w:val="20"/>
                      </w:rPr>
                      <w:t>4</w:t>
                    </w:r>
                  </w:p>
                </w:tc>
                <w:tc>
                  <w:tcPr>
                    <w:tcW w:w="850" w:type="dxa"/>
                    <w:shd w:val="clear" w:color="auto" w:fill="DEEAF6" w:themeFill="accent1" w:themeFillTint="33"/>
                    <w:vAlign w:val="center"/>
                  </w:tcPr>
                  <w:p>
                    <w:pPr>
                      <w:jc w:val="center"/>
                      <w:rPr>
                        <w:b/>
                        <w:sz w:val="20"/>
                      </w:rPr>
                    </w:pPr>
                    <w:r>
                      <w:rPr>
                        <w:b/>
                        <w:sz w:val="20"/>
                      </w:rPr>
                      <w:t>5</w:t>
                    </w:r>
                  </w:p>
                </w:tc>
                <w:tc>
                  <w:tcPr>
                    <w:tcW w:w="562" w:type="dxa"/>
                    <w:shd w:val="clear" w:color="auto" w:fill="DEEAF6" w:themeFill="accent1" w:themeFillTint="33"/>
                    <w:vAlign w:val="center"/>
                  </w:tcPr>
                  <w:p>
                    <w:pPr>
                      <w:jc w:val="center"/>
                      <w:rPr>
                        <w:b/>
                        <w:sz w:val="20"/>
                      </w:rPr>
                    </w:pPr>
                    <w:r>
                      <w:rPr>
                        <w:b/>
                        <w:sz w:val="20"/>
                      </w:rPr>
                      <w:t>6</w:t>
                    </w:r>
                  </w:p>
                </w:tc>
                <w:tc>
                  <w:tcPr>
                    <w:tcW w:w="1281" w:type="dxa"/>
                    <w:shd w:val="clear" w:color="auto" w:fill="DEEAF6" w:themeFill="accent1" w:themeFillTint="33"/>
                    <w:vAlign w:val="center"/>
                  </w:tcPr>
                  <w:p>
                    <w:pPr>
                      <w:jc w:val="center"/>
                      <w:rPr>
                        <w:b/>
                        <w:sz w:val="20"/>
                      </w:rPr>
                    </w:pPr>
                    <w:r>
                      <w:rPr>
                        <w:b/>
                        <w:sz w:val="20"/>
                      </w:rPr>
                      <w:t>7</w:t>
                    </w:r>
                  </w:p>
                </w:tc>
                <w:tc>
                  <w:tcPr>
                    <w:tcW w:w="1087" w:type="dxa"/>
                    <w:shd w:val="clear" w:color="auto" w:fill="DEEAF6" w:themeFill="accent1" w:themeFillTint="33"/>
                    <w:vAlign w:val="center"/>
                  </w:tcPr>
                  <w:p>
                    <w:pPr>
                      <w:jc w:val="center"/>
                      <w:rPr>
                        <w:b/>
                        <w:sz w:val="20"/>
                      </w:rPr>
                    </w:pPr>
                    <w:r>
                      <w:rPr>
                        <w:b/>
                        <w:sz w:val="20"/>
                      </w:rPr>
                      <w:t>8</w:t>
                    </w:r>
                  </w:p>
                </w:tc>
                <w:tc>
                  <w:tcPr>
                    <w:tcW w:w="1318" w:type="dxa"/>
                    <w:shd w:val="clear" w:color="auto" w:fill="DEEAF6" w:themeFill="accent1" w:themeFillTint="33"/>
                    <w:vAlign w:val="center"/>
                  </w:tcPr>
                  <w:p>
                    <w:pPr>
                      <w:jc w:val="center"/>
                      <w:rPr>
                        <w:b/>
                        <w:sz w:val="20"/>
                      </w:rPr>
                    </w:pPr>
                    <w:r>
                      <w:rPr>
                        <w:b/>
                        <w:sz w:val="20"/>
                      </w:rPr>
                      <w:t>9</w:t>
                    </w:r>
                  </w:p>
                </w:tc>
                <w:tc>
                  <w:tcPr>
                    <w:tcW w:w="1134" w:type="dxa"/>
                    <w:shd w:val="clear" w:color="auto" w:fill="DEEAF6" w:themeFill="accent1" w:themeFillTint="33"/>
                    <w:vAlign w:val="center"/>
                  </w:tcPr>
                  <w:p>
                    <w:pPr>
                      <w:jc w:val="center"/>
                      <w:rPr>
                        <w:b/>
                        <w:sz w:val="20"/>
                      </w:rPr>
                    </w:pPr>
                    <w:r>
                      <w:rPr>
                        <w:b/>
                        <w:sz w:val="20"/>
                      </w:rPr>
                      <w:t>10</w:t>
                    </w:r>
                  </w:p>
                </w:tc>
                <w:tc>
                  <w:tcPr>
                    <w:tcW w:w="850" w:type="dxa"/>
                    <w:shd w:val="clear" w:color="auto" w:fill="DEEAF6" w:themeFill="accent1" w:themeFillTint="33"/>
                    <w:vAlign w:val="center"/>
                  </w:tcPr>
                  <w:p>
                    <w:pPr>
                      <w:jc w:val="center"/>
                      <w:rPr>
                        <w:b/>
                        <w:sz w:val="20"/>
                      </w:rPr>
                    </w:pPr>
                    <w:r>
                      <w:rPr>
                        <w:b/>
                        <w:sz w:val="20"/>
                      </w:rPr>
                      <w:t>11</w:t>
                    </w:r>
                  </w:p>
                </w:tc>
                <w:tc>
                  <w:tcPr>
                    <w:tcW w:w="709" w:type="dxa"/>
                    <w:shd w:val="clear" w:color="auto" w:fill="DEEAF6" w:themeFill="accent1" w:themeFillTint="33"/>
                    <w:vAlign w:val="center"/>
                  </w:tcPr>
                  <w:p>
                    <w:pPr>
                      <w:jc w:val="center"/>
                      <w:rPr>
                        <w:b/>
                        <w:sz w:val="20"/>
                      </w:rPr>
                    </w:pPr>
                    <w:r>
                      <w:rPr>
                        <w:b/>
                        <w:sz w:val="20"/>
                      </w:rPr>
                      <w:t>12</w:t>
                    </w:r>
                  </w:p>
                </w:tc>
              </w:tr>
              <w:tr>
                <w:trPr>
                  <w:trHeight w:val="1266"/>
                </w:trPr>
                <w:tc>
                  <w:tcPr>
                    <w:tcW w:w="992" w:type="dxa"/>
                  </w:tcPr>
                  <w:p>
                    <w:pPr>
                      <w:rPr>
                        <w:i/>
                        <w:sz w:val="20"/>
                      </w:rPr>
                    </w:pPr>
                    <w:r>
                      <w:rPr>
                        <w:sz w:val="20"/>
                      </w:rPr>
                      <w:t>1. MTEP vystymo paketas</w:t>
                    </w:r>
                  </w:p>
                </w:tc>
                <w:tc>
                  <w:tcPr>
                    <w:tcW w:w="709" w:type="dxa"/>
                  </w:tcPr>
                  <w:p>
                    <w:pPr>
                      <w:jc w:val="center"/>
                      <w:rPr>
                        <w:sz w:val="20"/>
                      </w:rPr>
                    </w:pPr>
                    <w:r>
                      <w:rPr>
                        <w:sz w:val="20"/>
                      </w:rPr>
                      <w:t>I</w:t>
                    </w:r>
                  </w:p>
                </w:tc>
                <w:tc>
                  <w:tcPr>
                    <w:tcW w:w="709" w:type="dxa"/>
                  </w:tcPr>
                  <w:p>
                    <w:pPr>
                      <w:jc w:val="center"/>
                      <w:rPr>
                        <w:sz w:val="20"/>
                      </w:rPr>
                    </w:pPr>
                    <w:r>
                      <w:rPr>
                        <w:sz w:val="20"/>
                      </w:rPr>
                      <w:t>MSI, LMT</w:t>
                    </w:r>
                  </w:p>
                </w:tc>
                <w:tc>
                  <w:tcPr>
                    <w:tcW w:w="709" w:type="dxa"/>
                  </w:tcPr>
                  <w:p>
                    <w:pPr>
                      <w:jc w:val="center"/>
                      <w:rPr>
                        <w:sz w:val="20"/>
                      </w:rPr>
                    </w:pPr>
                    <w:r>
                      <w:rPr>
                        <w:sz w:val="20"/>
                      </w:rPr>
                      <w:t>K, 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165 564,193;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val="en-US" w:eastAsia="lt-LT"/>
                      </w:rPr>
                    </w:pPr>
                    <w:r>
                      <w:rPr>
                        <w:sz w:val="20"/>
                        <w:lang w:eastAsia="lt-LT"/>
                      </w:rPr>
                      <w:t>34 768,</w:t>
                    </w:r>
                    <w:r>
                      <w:rPr>
                        <w:sz w:val="20"/>
                        <w:lang w:val="en-US" w:eastAsia="lt-LT"/>
                      </w:rPr>
                      <w:t>481</w:t>
                    </w:r>
                  </w:p>
                </w:tc>
                <w:tc>
                  <w:tcPr>
                    <w:tcW w:w="1087" w:type="dxa"/>
                  </w:tcPr>
                  <w:p>
                    <w:pPr>
                      <w:rPr>
                        <w:sz w:val="20"/>
                      </w:rPr>
                    </w:pPr>
                    <w:r>
                      <w:rPr>
                        <w:sz w:val="20"/>
                      </w:rPr>
                      <w:t xml:space="preserve">2021–2027 </w:t>
                    </w:r>
                    <w:r>
                      <w:rPr>
                        <w:sz w:val="20"/>
                        <w:lang w:eastAsia="lt-LT"/>
                      </w:rPr>
                      <w:t xml:space="preserve">m. </w:t>
                    </w:r>
                    <w:r>
                      <w:rPr>
                        <w:sz w:val="20"/>
                      </w:rPr>
                      <w:t>Europos Sąjungos (toliau –ES) fondų ir bendrojo finansavimo (toliau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R – Mokslo ir studijų institucijų pajamų už ūkio subjektų (įskaitant viešąjį sektorių) mokslinių tyrimų ir eksperimentinės plėtros užsakymus suma, tūkst. Eur</w:t>
                    </w:r>
                  </w:p>
                  <w:p>
                    <w:pPr>
                      <w:rPr>
                        <w:sz w:val="20"/>
                      </w:rPr>
                    </w:pPr>
                  </w:p>
                  <w:p>
                    <w:pPr>
                      <w:rPr>
                        <w:color w:val="000000"/>
                        <w:sz w:val="20"/>
                      </w:rPr>
                    </w:pPr>
                    <w:r>
                      <w:rPr>
                        <w:sz w:val="20"/>
                      </w:rPr>
                      <w:t xml:space="preserve">R – Publikacijų pagal </w:t>
                    </w:r>
                    <w:r>
                      <w:rPr>
                        <w:i/>
                        <w:iCs/>
                        <w:sz w:val="20"/>
                      </w:rPr>
                      <w:t>CA WoS</w:t>
                    </w:r>
                    <w:r>
                      <w:rPr>
                        <w:sz w:val="20"/>
                      </w:rPr>
                      <w:t xml:space="preserve"> duomenų bazę skaičius, vienetai (kaupiamuoju būdu)</w:t>
                    </w:r>
                  </w:p>
                </w:tc>
                <w:tc>
                  <w:tcPr>
                    <w:tcW w:w="1134" w:type="dxa"/>
                  </w:tcPr>
                  <w:p>
                    <w:pPr>
                      <w:rPr>
                        <w:sz w:val="20"/>
                      </w:rPr>
                    </w:pPr>
                    <w:r>
                      <w:rPr>
                        <w:sz w:val="20"/>
                      </w:rPr>
                      <w:t>21 000 (2030)</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31 660 (2030)</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 Mokslo ir inovacijų misijų programos</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EIM</w:t>
                    </w:r>
                  </w:p>
                </w:tc>
              </w:tr>
              <w:tr>
                <w:trPr>
                  <w:trHeight w:val="233"/>
                </w:trPr>
                <w:tc>
                  <w:tcPr>
                    <w:tcW w:w="992" w:type="dxa"/>
                  </w:tcPr>
                  <w:p>
                    <w:pPr>
                      <w:rPr>
                        <w:sz w:val="20"/>
                      </w:rPr>
                    </w:pPr>
                    <w:r>
                      <w:rPr>
                        <w:sz w:val="20"/>
                      </w:rPr>
                      <w:t>1.2. Valstybės MTEP užsakymai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1.3. Mokslininkų inicijuoti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bCs/>
                        <w:sz w:val="20"/>
                      </w:rPr>
                    </w:pPr>
                    <w:r>
                      <w:rPr>
                        <w:bCs/>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1.4. Skatinti vykdyti taikomuosius MTEP (Sostinė)</w:t>
                    </w:r>
                  </w:p>
                </w:tc>
                <w:tc>
                  <w:tcPr>
                    <w:tcW w:w="709" w:type="dxa"/>
                  </w:tcPr>
                  <w:p>
                    <w:pPr>
                      <w:jc w:val="center"/>
                      <w:rPr>
                        <w:sz w:val="20"/>
                      </w:rPr>
                    </w:pPr>
                    <w:r>
                      <w:rPr>
                        <w:sz w:val="20"/>
                      </w:rPr>
                      <w:t>I</w:t>
                    </w:r>
                  </w:p>
                </w:tc>
                <w:tc>
                  <w:tcPr>
                    <w:tcW w:w="709" w:type="dxa"/>
                  </w:tcPr>
                  <w:p>
                    <w:pPr>
                      <w:jc w:val="center"/>
                      <w:rPr>
                        <w:sz w:val="20"/>
                      </w:rPr>
                    </w:pPr>
                    <w:r>
                      <w:rPr>
                        <w:sz w:val="20"/>
                      </w:rPr>
                      <w:t xml:space="preserve">LMT </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,21 333,333:</w:t>
                    </w:r>
                  </w:p>
                  <w:p>
                    <w:pPr>
                      <w:rPr>
                        <w:sz w:val="20"/>
                      </w:rPr>
                    </w:pPr>
                    <w:r>
                      <w:rPr>
                        <w:sz w:val="20"/>
                      </w:rPr>
                      <w:t>10 666,667 – ES fondų lėšos,</w:t>
                    </w:r>
                  </w:p>
                  <w:p>
                    <w:pPr>
                      <w:rPr>
                        <w:sz w:val="20"/>
                      </w:rPr>
                    </w:pPr>
                    <w:r>
                      <w:rPr>
                        <w:sz w:val="20"/>
                      </w:rPr>
                      <w:t>10 666,666 – BF lėšos;</w:t>
                    </w:r>
                  </w:p>
                  <w:p>
                    <w:pPr>
                      <w:rPr>
                        <w:sz w:val="20"/>
                      </w:rPr>
                    </w:pPr>
                  </w:p>
                  <w:p>
                    <w:pPr>
                      <w:rPr>
                        <w:sz w:val="20"/>
                      </w:rPr>
                    </w:pPr>
                    <w:r>
                      <w:rPr>
                        <w:sz w:val="20"/>
                      </w:rPr>
                      <w:t>4 480,000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lang w:eastAsia="lt-LT"/>
                      </w:rPr>
                      <w:t xml:space="preserve">P </w:t>
                    </w:r>
                    <w:r>
                      <w:rPr>
                        <w:sz w:val="20"/>
                      </w:rPr>
                      <w:t>–</w:t>
                    </w:r>
                    <w:r>
                      <w:rPr>
                        <w:sz w:val="20"/>
                        <w:lang w:eastAsia="lt-LT"/>
                      </w:rPr>
                      <w:t xml:space="preserve"> Sukurti tarptautiniai kompetencijų centrai</w:t>
                    </w:r>
                  </w:p>
                  <w:p>
                    <w:pPr>
                      <w:rPr>
                        <w:sz w:val="20"/>
                      </w:rPr>
                    </w:pPr>
                  </w:p>
                  <w:p>
                    <w:pPr>
                      <w:textAlignment w:val="baseline"/>
                      <w:rPr>
                        <w:sz w:val="20"/>
                      </w:rPr>
                    </w:pPr>
                  </w:p>
                </w:tc>
                <w:tc>
                  <w:tcPr>
                    <w:tcW w:w="1134" w:type="dxa"/>
                  </w:tcPr>
                  <w:p>
                    <w:pPr>
                      <w:textAlignment w:val="baseline"/>
                      <w:rPr>
                        <w:sz w:val="20"/>
                        <w:lang w:eastAsia="lt-LT"/>
                      </w:rPr>
                    </w:pPr>
                    <w:r>
                      <w:rPr>
                        <w:sz w:val="20"/>
                        <w:lang w:eastAsia="lt-LT"/>
                      </w:rPr>
                      <w:t>100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5 318 716 </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30 (2029)</w:t>
                    </w:r>
                  </w:p>
                  <w:p>
                    <w:pPr>
                      <w:rPr>
                        <w:sz w:val="20"/>
                      </w:rPr>
                    </w:pPr>
                  </w:p>
                  <w:p>
                    <w:pPr>
                      <w:rPr>
                        <w:sz w:val="20"/>
                      </w:rPr>
                    </w:pPr>
                  </w:p>
                  <w:p>
                    <w:pPr>
                      <w:rPr>
                        <w:sz w:val="20"/>
                      </w:rPr>
                    </w:pPr>
                  </w:p>
                  <w:p>
                    <w:pPr>
                      <w:rPr>
                        <w:sz w:val="20"/>
                      </w:rPr>
                    </w:pPr>
                  </w:p>
                  <w:p>
                    <w:pPr>
                      <w:rPr>
                        <w:sz w:val="20"/>
                      </w:rPr>
                    </w:pPr>
                    <w:r>
                      <w:rPr>
                        <w:sz w:val="20"/>
                      </w:rPr>
                      <w:t>2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1.5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10 666,667;</w:t>
                    </w:r>
                  </w:p>
                  <w:p>
                    <w:pPr>
                      <w:rPr>
                        <w:sz w:val="20"/>
                      </w:rPr>
                    </w:pPr>
                  </w:p>
                  <w:p>
                    <w:pPr>
                      <w:rPr>
                        <w:sz w:val="20"/>
                      </w:rPr>
                    </w:pPr>
                  </w:p>
                  <w:p>
                    <w:pPr>
                      <w:rPr>
                        <w:sz w:val="20"/>
                      </w:rPr>
                    </w:pPr>
                  </w:p>
                  <w:p>
                    <w:pPr>
                      <w:rPr>
                        <w:sz w:val="20"/>
                      </w:rPr>
                    </w:pPr>
                  </w:p>
                  <w:p>
                    <w:pPr>
                      <w:rPr>
                        <w:sz w:val="20"/>
                      </w:rPr>
                    </w:pPr>
                    <w:r>
                      <w:rPr>
                        <w:sz w:val="20"/>
                      </w:rPr>
                      <w:t>2 240,000</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rPr>
                        <w:sz w:val="20"/>
                        <w:lang w:eastAsia="lt-LT"/>
                      </w:rPr>
                    </w:pPr>
                    <w:r>
                      <w:rPr>
                        <w:sz w:val="20"/>
                        <w:lang w:eastAsia="lt-LT"/>
                      </w:rPr>
                      <w:t xml:space="preserve">P </w:t>
                    </w:r>
                    <w:r>
                      <w:rPr>
                        <w:sz w:val="20"/>
                      </w:rPr>
                      <w:t>–</w:t>
                    </w:r>
                    <w:r>
                      <w:rPr>
                        <w:sz w:val="20"/>
                        <w:lang w:eastAsia="lt-LT"/>
                      </w:rPr>
                      <w:t xml:space="preserve"> Sukurti tarptautiniai kompetencijų centrai</w:t>
                    </w:r>
                  </w:p>
                  <w:p>
                    <w:pPr>
                      <w:rPr>
                        <w:sz w:val="20"/>
                        <w:lang w:eastAsia="lt-LT"/>
                      </w:rPr>
                    </w:pPr>
                  </w:p>
                  <w:p>
                    <w:pPr>
                      <w:textAlignment w:val="baseline"/>
                      <w:rPr>
                        <w:sz w:val="20"/>
                      </w:rPr>
                    </w:pPr>
                  </w:p>
                </w:tc>
                <w:tc>
                  <w:tcPr>
                    <w:tcW w:w="1134" w:type="dxa"/>
                  </w:tcPr>
                  <w:p>
                    <w:pPr>
                      <w:textAlignment w:val="baseline"/>
                      <w:rPr>
                        <w:sz w:val="20"/>
                        <w:lang w:eastAsia="lt-LT"/>
                      </w:rPr>
                    </w:pPr>
                    <w:r>
                      <w:rPr>
                        <w:sz w:val="20"/>
                        <w:lang w:eastAsia="lt-LT"/>
                      </w:rPr>
                      <w:t>60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1 081 284</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15 (2029)</w:t>
                    </w:r>
                  </w:p>
                  <w:p>
                    <w:pPr>
                      <w:rPr>
                        <w:sz w:val="20"/>
                      </w:rPr>
                    </w:pPr>
                  </w:p>
                  <w:p>
                    <w:pPr>
                      <w:rPr>
                        <w:sz w:val="20"/>
                      </w:rPr>
                    </w:pPr>
                  </w:p>
                  <w:p>
                    <w:pPr>
                      <w:rPr>
                        <w:sz w:val="20"/>
                      </w:rPr>
                    </w:pPr>
                  </w:p>
                  <w:p>
                    <w:pPr>
                      <w:rPr>
                        <w:sz w:val="20"/>
                      </w:rPr>
                    </w:pPr>
                  </w:p>
                  <w:p>
                    <w:pPr>
                      <w:rPr>
                        <w:sz w:val="20"/>
                      </w:rPr>
                    </w:pPr>
                    <w:r>
                      <w:rPr>
                        <w:sz w:val="20"/>
                      </w:rPr>
                      <w:t>1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1.6. Skatinti vykdyti taikomuosius MTEP (Sostinė)</w:t>
                    </w:r>
                  </w:p>
                </w:tc>
                <w:tc>
                  <w:tcPr>
                    <w:tcW w:w="709" w:type="dxa"/>
                  </w:tcPr>
                  <w:p>
                    <w:pPr>
                      <w:jc w:val="center"/>
                      <w:rPr>
                        <w:sz w:val="20"/>
                      </w:rPr>
                    </w:pPr>
                    <w:r>
                      <w:rPr>
                        <w:sz w:val="20"/>
                      </w:rPr>
                      <w:t>I</w:t>
                    </w:r>
                  </w:p>
                </w:tc>
                <w:tc>
                  <w:tcPr>
                    <w:tcW w:w="709" w:type="dxa"/>
                  </w:tcPr>
                  <w:p>
                    <w:pPr>
                      <w:ind w:firstLine="53"/>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55 334,145:</w:t>
                    </w:r>
                  </w:p>
                  <w:p>
                    <w:pPr>
                      <w:rPr>
                        <w:sz w:val="20"/>
                      </w:rPr>
                    </w:pPr>
                    <w:r>
                      <w:rPr>
                        <w:sz w:val="20"/>
                      </w:rPr>
                      <w:t>27 667,072 – ES fondų lėšos,</w:t>
                    </w:r>
                  </w:p>
                  <w:p>
                    <w:pPr>
                      <w:textAlignment w:val="baseline"/>
                      <w:rPr>
                        <w:sz w:val="20"/>
                      </w:rPr>
                    </w:pPr>
                    <w:r>
                      <w:rPr>
                        <w:sz w:val="20"/>
                      </w:rPr>
                      <w:t>27 667,073 – BF lėšos</w:t>
                    </w:r>
                  </w:p>
                  <w:p>
                    <w:pPr>
                      <w:textAlignment w:val="baseline"/>
                      <w:rPr>
                        <w:sz w:val="20"/>
                      </w:rPr>
                    </w:pPr>
                  </w:p>
                  <w:p>
                    <w:pPr>
                      <w:textAlignment w:val="baseline"/>
                      <w:rPr>
                        <w:sz w:val="20"/>
                        <w:lang w:eastAsia="lt-LT"/>
                      </w:rPr>
                    </w:pPr>
                    <w:r>
                      <w:rPr>
                        <w:sz w:val="20"/>
                      </w:rPr>
                      <w:t>11 620,170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808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13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11 066 829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190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92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800 (2029)</w:t>
                    </w:r>
                  </w:p>
                  <w:p>
                    <w:pPr>
                      <w:rPr>
                        <w:sz w:val="20"/>
                      </w:rPr>
                    </w:pPr>
                  </w:p>
                  <w:p>
                    <w:pPr>
                      <w:rPr>
                        <w:sz w:val="20"/>
                      </w:rPr>
                    </w:pPr>
                  </w:p>
                  <w:p>
                    <w:pPr>
                      <w:rPr>
                        <w:sz w:val="20"/>
                      </w:rPr>
                    </w:pPr>
                  </w:p>
                  <w:p>
                    <w:pPr>
                      <w:rPr>
                        <w:sz w:val="20"/>
                      </w:rPr>
                    </w:pPr>
                  </w:p>
                  <w:p>
                    <w:pPr>
                      <w:textAlignment w:val="baseline"/>
                      <w:rPr>
                        <w:sz w:val="20"/>
                        <w:lang w:eastAsia="lt-LT"/>
                      </w:rPr>
                    </w:pPr>
                    <w:r>
                      <w:rPr>
                        <w:sz w:val="20"/>
                      </w:rPr>
                      <w:t>15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1.7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4 919,673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1 033,131</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 </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72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983 935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101 (2029)</w:t>
                    </w:r>
                  </w:p>
                  <w:p>
                    <w:pPr>
                      <w:rPr>
                        <w:sz w:val="20"/>
                      </w:rPr>
                    </w:pPr>
                  </w:p>
                  <w:p>
                    <w:pPr>
                      <w:rPr>
                        <w:sz w:val="20"/>
                      </w:rPr>
                    </w:pPr>
                  </w:p>
                  <w:p>
                    <w:pPr>
                      <w:rPr>
                        <w:sz w:val="20"/>
                      </w:rPr>
                    </w:pPr>
                  </w:p>
                  <w:p>
                    <w:pPr>
                      <w:rPr>
                        <w:sz w:val="20"/>
                      </w:rPr>
                    </w:pPr>
                  </w:p>
                  <w:p>
                    <w:pPr>
                      <w:textAlignment w:val="baseline"/>
                      <w:rPr>
                        <w:sz w:val="20"/>
                        <w:lang w:eastAsia="lt-LT"/>
                      </w:rPr>
                    </w:pPr>
                    <w:r>
                      <w:rPr>
                        <w:sz w:val="20"/>
                      </w:rPr>
                      <w:t>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1.8. Technologinės plėtros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1.9. Žinių perdavimo ir komercinimo sistemos stiprinimas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19 889.219:</w:t>
                    </w:r>
                  </w:p>
                  <w:p>
                    <w:pPr>
                      <w:rPr>
                        <w:sz w:val="20"/>
                      </w:rPr>
                    </w:pPr>
                    <w:r>
                      <w:rPr>
                        <w:sz w:val="20"/>
                      </w:rPr>
                      <w:t>14 777,047</w:t>
                    </w:r>
                    <w:r>
                      <w:rPr>
                        <w:sz w:val="20"/>
                        <w:lang w:eastAsia="lt-LT"/>
                      </w:rPr>
                      <w:t xml:space="preserve"> – ES fondų lėšos,</w:t>
                    </w:r>
                  </w:p>
                  <w:p>
                    <w:pPr>
                      <w:rPr>
                        <w:sz w:val="20"/>
                      </w:rPr>
                    </w:pPr>
                    <w:r>
                      <w:rPr>
                        <w:sz w:val="20"/>
                      </w:rPr>
                      <w:t>5 112,172</w:t>
                    </w:r>
                    <w:r>
                      <w:rPr>
                        <w:sz w:val="20"/>
                        <w:lang w:eastAsia="lt-LT"/>
                      </w:rPr>
                      <w:t xml:space="preserve"> – BF lėšos;</w:t>
                    </w:r>
                  </w:p>
                  <w:p>
                    <w:pPr>
                      <w:rPr>
                        <w:sz w:val="20"/>
                      </w:rPr>
                    </w:pPr>
                  </w:p>
                  <w:p>
                    <w:pPr>
                      <w:rPr>
                        <w:sz w:val="20"/>
                      </w:rPr>
                    </w:pPr>
                    <w:r>
                      <w:rPr>
                        <w:sz w:val="20"/>
                      </w:rPr>
                      <w:t>4 176,736</w:t>
                    </w:r>
                  </w:p>
                </w:tc>
                <w:tc>
                  <w:tcPr>
                    <w:tcW w:w="1087" w:type="dxa"/>
                  </w:tcPr>
                  <w:p>
                    <w:pPr>
                      <w:rPr>
                        <w:sz w:val="20"/>
                      </w:rPr>
                    </w:pPr>
                    <w:r>
                      <w:rPr>
                        <w:sz w:val="20"/>
                        <w:lang w:eastAsia="lt-LT"/>
                      </w:rPr>
                      <w:t xml:space="preserve">2021–2027 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3 977 840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140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1.10. Žinių perdavimo ir komercinimo sistemos stiprinimas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2 386 710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6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1.11. Mokslo vadybos ir žinių komercinimo gebėjimų mokslo ir studijų institucijose stiprinimas (</w:t>
                    </w:r>
                    <w:r>
                      <w:rPr>
                        <w:i/>
                        <w:sz w:val="20"/>
                      </w:rPr>
                      <w:t>spin-off</w:t>
                    </w:r>
                    <w:r>
                      <w:rPr>
                        <w:sz w:val="20"/>
                      </w:rPr>
                      <w:t>)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29 554,094:</w:t>
                    </w:r>
                  </w:p>
                  <w:p>
                    <w:pPr>
                      <w:rPr>
                        <w:sz w:val="20"/>
                      </w:rPr>
                    </w:pPr>
                    <w:r>
                      <w:rPr>
                        <w:sz w:val="20"/>
                      </w:rPr>
                      <w:t>14 777,047</w:t>
                    </w:r>
                    <w:r>
                      <w:rPr>
                        <w:sz w:val="20"/>
                        <w:lang w:eastAsia="lt-LT"/>
                      </w:rPr>
                      <w:t xml:space="preserve"> – ES fondų lėšos,</w:t>
                    </w:r>
                  </w:p>
                  <w:p>
                    <w:pPr>
                      <w:rPr>
                        <w:sz w:val="20"/>
                      </w:rPr>
                    </w:pPr>
                    <w:r>
                      <w:rPr>
                        <w:sz w:val="20"/>
                      </w:rPr>
                      <w:t>14 777,047</w:t>
                    </w:r>
                    <w:r>
                      <w:rPr>
                        <w:sz w:val="20"/>
                        <w:lang w:eastAsia="lt-LT"/>
                      </w:rPr>
                      <w:t xml:space="preserve"> – BF lėšos;</w:t>
                    </w:r>
                  </w:p>
                  <w:p>
                    <w:pPr>
                      <w:rPr>
                        <w:sz w:val="20"/>
                      </w:rPr>
                    </w:pPr>
                  </w:p>
                  <w:p>
                    <w:pPr>
                      <w:rPr>
                        <w:sz w:val="20"/>
                      </w:rPr>
                    </w:pPr>
                    <w:r>
                      <w:rPr>
                        <w:sz w:val="20"/>
                      </w:rPr>
                      <w:t>6 206,360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 </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47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 (2029)</w:t>
                    </w:r>
                  </w:p>
                  <w:p>
                    <w:pPr>
                      <w:rPr>
                        <w:sz w:val="20"/>
                      </w:rPr>
                    </w:pPr>
                  </w:p>
                  <w:p>
                    <w:pPr>
                      <w:rPr>
                        <w:sz w:val="20"/>
                      </w:rPr>
                    </w:pPr>
                  </w:p>
                  <w:p>
                    <w:pPr>
                      <w:rPr>
                        <w:sz w:val="20"/>
                      </w:rPr>
                    </w:pPr>
                  </w:p>
                  <w:p>
                    <w:pPr>
                      <w:rPr>
                        <w:sz w:val="20"/>
                      </w:rPr>
                    </w:pPr>
                    <w:r>
                      <w:rPr>
                        <w:sz w:val="20"/>
                      </w:rPr>
                      <w:t>6</w:t>
                    </w:r>
                  </w:p>
                  <w:p>
                    <w:pPr>
                      <w:rPr>
                        <w:sz w:val="20"/>
                      </w:rPr>
                    </w:pPr>
                  </w:p>
                  <w:p>
                    <w:pPr>
                      <w:rPr>
                        <w:sz w:val="20"/>
                      </w:rPr>
                    </w:pPr>
                  </w:p>
                  <w:p>
                    <w:pPr>
                      <w:rPr>
                        <w:sz w:val="20"/>
                      </w:rPr>
                    </w:pPr>
                  </w:p>
                  <w:p>
                    <w:pPr>
                      <w:rPr>
                        <w:sz w:val="20"/>
                      </w:rPr>
                    </w:pPr>
                  </w:p>
                  <w:p>
                    <w:pPr>
                      <w:rPr>
                        <w:sz w:val="20"/>
                      </w:rPr>
                    </w:pPr>
                  </w:p>
                  <w:p>
                    <w:pPr>
                      <w:rPr>
                        <w:sz w:val="20"/>
                      </w:rPr>
                    </w:pPr>
                    <w:r>
                      <w:rPr>
                        <w:sz w:val="20"/>
                      </w:rPr>
                      <w:t>21</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28</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1.12. Mokslo vadybos ir žinių komercinimo gebėjimų mokslo ir studijų institucijose stiprinimas (</w:t>
                    </w:r>
                    <w:r>
                      <w:rPr>
                        <w:i/>
                        <w:sz w:val="20"/>
                      </w:rPr>
                      <w:t>spin-off</w:t>
                    </w:r>
                    <w:r>
                      <w:rPr>
                        <w:sz w:val="20"/>
                      </w:rPr>
                      <w:t>)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p>
                  <w:p>
                    <w:pPr>
                      <w:rPr>
                        <w:sz w:val="20"/>
                      </w:rPr>
                    </w:pPr>
                  </w:p>
                  <w:p>
                    <w:pPr>
                      <w:rPr>
                        <w:sz w:val="20"/>
                      </w:rPr>
                    </w:pPr>
                    <w:r>
                      <w:rPr>
                        <w:sz w:val="20"/>
                      </w:rPr>
                      <w:t>3 (2029)</w:t>
                    </w:r>
                  </w:p>
                  <w:p>
                    <w:pPr>
                      <w:rPr>
                        <w:sz w:val="20"/>
                      </w:rPr>
                    </w:pPr>
                  </w:p>
                  <w:p>
                    <w:pPr>
                      <w:rPr>
                        <w:sz w:val="20"/>
                      </w:rPr>
                    </w:pPr>
                  </w:p>
                  <w:p>
                    <w:pPr>
                      <w:rPr>
                        <w:sz w:val="20"/>
                      </w:rPr>
                    </w:pPr>
                  </w:p>
                  <w:p>
                    <w:pPr>
                      <w:rPr>
                        <w:sz w:val="20"/>
                      </w:rPr>
                    </w:pPr>
                    <w:r>
                      <w:rPr>
                        <w:sz w:val="20"/>
                      </w:rPr>
                      <w:t>2</w:t>
                    </w:r>
                  </w:p>
                  <w:p>
                    <w:pPr>
                      <w:rPr>
                        <w:sz w:val="20"/>
                      </w:rPr>
                    </w:pPr>
                  </w:p>
                  <w:p>
                    <w:pPr>
                      <w:rPr>
                        <w:sz w:val="20"/>
                      </w:rPr>
                    </w:pPr>
                  </w:p>
                  <w:p>
                    <w:pPr>
                      <w:rPr>
                        <w:sz w:val="20"/>
                      </w:rPr>
                    </w:pPr>
                  </w:p>
                  <w:p>
                    <w:pPr>
                      <w:rPr>
                        <w:sz w:val="20"/>
                      </w:rPr>
                    </w:pPr>
                  </w:p>
                  <w:p>
                    <w:pPr>
                      <w:rPr>
                        <w:sz w:val="20"/>
                      </w:rPr>
                    </w:pPr>
                  </w:p>
                  <w:p>
                    <w:pPr>
                      <w:rPr>
                        <w:sz w:val="20"/>
                      </w:rPr>
                    </w:pPr>
                    <w:r>
                      <w:rPr>
                        <w:sz w:val="20"/>
                      </w:rPr>
                      <w:t>9</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12</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1.13. Atžalinių įmonių mentorystė</w:t>
                    </w:r>
                  </w:p>
                </w:tc>
                <w:tc>
                  <w:tcPr>
                    <w:tcW w:w="709" w:type="dxa"/>
                  </w:tcPr>
                  <w:p>
                    <w:pPr>
                      <w:jc w:val="center"/>
                      <w:rPr>
                        <w:sz w:val="20"/>
                      </w:rPr>
                    </w:pPr>
                    <w:r>
                      <w:rPr>
                        <w:sz w:val="20"/>
                      </w:rPr>
                      <w:t>I</w:t>
                    </w:r>
                  </w:p>
                </w:tc>
                <w:tc>
                  <w:tcPr>
                    <w:tcW w:w="709" w:type="dxa"/>
                  </w:tcPr>
                  <w:p>
                    <w:pPr>
                      <w:jc w:val="center"/>
                      <w:rPr>
                        <w:sz w:val="20"/>
                      </w:rPr>
                    </w:pPr>
                    <w:r>
                      <w:rPr>
                        <w:sz w:val="20"/>
                      </w:rPr>
                      <w:t>LMT, MSI, atžalinės įmonės</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2. Tarptautiškumo skatinimo paketas</w:t>
                    </w:r>
                  </w:p>
                </w:tc>
                <w:tc>
                  <w:tcPr>
                    <w:tcW w:w="709" w:type="dxa"/>
                  </w:tcPr>
                  <w:p>
                    <w:pPr>
                      <w:jc w:val="center"/>
                      <w:rPr>
                        <w:sz w:val="20"/>
                      </w:rPr>
                    </w:pPr>
                  </w:p>
                </w:tc>
                <w:tc>
                  <w:tcPr>
                    <w:tcW w:w="709" w:type="dxa"/>
                  </w:tcPr>
                  <w:p>
                    <w:pPr>
                      <w:jc w:val="center"/>
                      <w:rPr>
                        <w:sz w:val="20"/>
                      </w:rPr>
                    </w:pPr>
                    <w:r>
                      <w:rPr>
                        <w:sz w:val="20"/>
                      </w:rPr>
                      <w:t>LMT, MSI, labai mažos, mažos, vidutinės įmonės (toliau – MVĮ), didelės įmonės (toliau – DĮ)</w:t>
                    </w:r>
                  </w:p>
                </w:tc>
                <w:tc>
                  <w:tcPr>
                    <w:tcW w:w="709" w:type="dxa"/>
                  </w:tcPr>
                  <w:p>
                    <w:pPr>
                      <w:jc w:val="center"/>
                      <w:rPr>
                        <w:sz w:val="20"/>
                      </w:rPr>
                    </w:pPr>
                    <w:r>
                      <w:rPr>
                        <w:sz w:val="20"/>
                      </w:rPr>
                      <w:t>T,</w:t>
                    </w:r>
                  </w:p>
                  <w:p>
                    <w:pPr>
                      <w:jc w:val="center"/>
                      <w:rPr>
                        <w:sz w:val="20"/>
                      </w:rPr>
                    </w:pPr>
                    <w:r>
                      <w:rPr>
                        <w:sz w:val="20"/>
                      </w:rPr>
                      <w:t>P , 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58 940,296;</w:t>
                    </w:r>
                  </w:p>
                  <w:p>
                    <w:pPr>
                      <w:rPr>
                        <w:sz w:val="20"/>
                      </w:rPr>
                    </w:pPr>
                  </w:p>
                  <w:p>
                    <w:pPr>
                      <w:rPr>
                        <w:sz w:val="20"/>
                      </w:rPr>
                    </w:pPr>
                  </w:p>
                  <w:p>
                    <w:pPr>
                      <w:rPr>
                        <w:sz w:val="20"/>
                      </w:rPr>
                    </w:pPr>
                  </w:p>
                  <w:p>
                    <w:pPr>
                      <w:rPr>
                        <w:sz w:val="20"/>
                      </w:rPr>
                    </w:pPr>
                  </w:p>
                  <w:p>
                    <w:pPr>
                      <w:rPr>
                        <w:sz w:val="20"/>
                      </w:rPr>
                    </w:pPr>
                    <w:r>
                      <w:rPr>
                        <w:sz w:val="20"/>
                      </w:rPr>
                      <w:t>40 000,000;</w:t>
                    </w:r>
                  </w:p>
                  <w:p>
                    <w:pPr>
                      <w:rPr>
                        <w:sz w:val="20"/>
                      </w:rPr>
                    </w:pPr>
                  </w:p>
                  <w:p>
                    <w:pPr>
                      <w:rPr>
                        <w:sz w:val="20"/>
                      </w:rPr>
                    </w:pPr>
                  </w:p>
                  <w:p>
                    <w:pPr>
                      <w:rPr>
                        <w:sz w:val="20"/>
                      </w:rPr>
                    </w:pPr>
                    <w:r>
                      <w:rPr>
                        <w:sz w:val="20"/>
                      </w:rPr>
                      <w:t>20 777,462</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EGADP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Lietuvos dalyvių pasirašytų dotacijos sutarčių skaičius programos „Europos horizontas“ finansuojamuose projektuose</w:t>
                    </w:r>
                  </w:p>
                </w:tc>
                <w:tc>
                  <w:tcPr>
                    <w:tcW w:w="1134" w:type="dxa"/>
                  </w:tcPr>
                  <w:p>
                    <w:pPr>
                      <w:rPr>
                        <w:sz w:val="20"/>
                      </w:rPr>
                    </w:pPr>
                    <w:r>
                      <w:rPr>
                        <w:sz w:val="20"/>
                      </w:rPr>
                      <w:t>605 (2030)</w:t>
                    </w:r>
                  </w:p>
                </w:tc>
                <w:tc>
                  <w:tcPr>
                    <w:tcW w:w="850" w:type="dxa"/>
                  </w:tcPr>
                  <w:p>
                    <w:pPr>
                      <w:jc w:val="center"/>
                      <w:rPr>
                        <w:sz w:val="20"/>
                      </w:rPr>
                    </w:pPr>
                  </w:p>
                </w:tc>
                <w:tc>
                  <w:tcPr>
                    <w:tcW w:w="709" w:type="dxa"/>
                  </w:tcPr>
                  <w:p>
                    <w:pPr>
                      <w:jc w:val="center"/>
                      <w:rPr>
                        <w:sz w:val="20"/>
                      </w:rPr>
                    </w:pPr>
                  </w:p>
                </w:tc>
              </w:tr>
              <w:tr>
                <w:trPr>
                  <w:trHeight w:val="233"/>
                </w:trPr>
                <w:tc>
                  <w:tcPr>
                    <w:tcW w:w="992" w:type="dxa"/>
                  </w:tcPr>
                  <w:p>
                    <w:pPr>
                      <w:rPr>
                        <w:sz w:val="20"/>
                      </w:rPr>
                    </w:pPr>
                    <w:r>
                      <w:rPr>
                        <w:sz w:val="20"/>
                      </w:rPr>
                      <w:t>2.1. Programos „Europos horizontas“ akceleravimas</w:t>
                    </w:r>
                  </w:p>
                </w:tc>
                <w:tc>
                  <w:tcPr>
                    <w:tcW w:w="709" w:type="dxa"/>
                  </w:tcPr>
                  <w:p>
                    <w:pPr>
                      <w:jc w:val="center"/>
                      <w:rPr>
                        <w:sz w:val="20"/>
                      </w:rPr>
                    </w:pPr>
                    <w:r>
                      <w:rPr>
                        <w:sz w:val="20"/>
                      </w:rPr>
                      <w:t>I</w:t>
                    </w:r>
                  </w:p>
                </w:tc>
                <w:tc>
                  <w:tcPr>
                    <w:tcW w:w="709" w:type="dxa"/>
                  </w:tcPr>
                  <w:p>
                    <w:pPr>
                      <w:jc w:val="center"/>
                      <w:rPr>
                        <w:sz w:val="20"/>
                      </w:rPr>
                    </w:pPr>
                    <w:r>
                      <w:rPr>
                        <w:sz w:val="20"/>
                      </w:rPr>
                      <w:t>LMT,</w:t>
                    </w:r>
                  </w:p>
                  <w:p>
                    <w:pPr>
                      <w:jc w:val="center"/>
                      <w:rPr>
                        <w:sz w:val="20"/>
                      </w:rPr>
                    </w:pPr>
                    <w:r>
                      <w:rPr>
                        <w:sz w:val="20"/>
                      </w:rPr>
                      <w:t>MSI</w:t>
                    </w:r>
                    <w:r>
                      <w:rPr>
                        <w:sz w:val="20"/>
                        <w:lang w:eastAsia="lt-LT"/>
                      </w:rPr>
                      <w:t xml:space="preserve">, </w:t>
                    </w:r>
                    <w:r>
                      <w:rPr>
                        <w:sz w:val="20"/>
                      </w:rPr>
                      <w:t>MVĮ, DĮ</w:t>
                    </w:r>
                  </w:p>
                </w:tc>
                <w:tc>
                  <w:tcPr>
                    <w:tcW w:w="709" w:type="dxa"/>
                  </w:tcPr>
                  <w:p>
                    <w:pPr>
                      <w:jc w:val="center"/>
                      <w:rPr>
                        <w:sz w:val="20"/>
                      </w:rPr>
                    </w:pPr>
                    <w:r>
                      <w:rPr>
                        <w:sz w:val="20"/>
                      </w:rPr>
                      <w:t>T,</w:t>
                    </w:r>
                  </w:p>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40 000,000;</w:t>
                    </w:r>
                  </w:p>
                  <w:p>
                    <w:pPr>
                      <w:rPr>
                        <w:sz w:val="20"/>
                      </w:rPr>
                    </w:pPr>
                  </w:p>
                  <w:p>
                    <w:pPr>
                      <w:rPr>
                        <w:sz w:val="20"/>
                      </w:rPr>
                    </w:pPr>
                  </w:p>
                  <w:p>
                    <w:pPr>
                      <w:rPr>
                        <w:sz w:val="20"/>
                      </w:rPr>
                    </w:pPr>
                    <w:r>
                      <w:rPr>
                        <w:sz w:val="20"/>
                      </w:rPr>
                      <w:t>8 400,000</w:t>
                    </w:r>
                  </w:p>
                </w:tc>
                <w:tc>
                  <w:tcPr>
                    <w:tcW w:w="1087" w:type="dxa"/>
                  </w:tcPr>
                  <w:p>
                    <w:pPr>
                      <w:rPr>
                        <w:sz w:val="20"/>
                      </w:rPr>
                    </w:pPr>
                    <w:r>
                      <w:rPr>
                        <w:sz w:val="20"/>
                      </w:rPr>
                      <w:t>EGADP lėšos</w:t>
                    </w:r>
                  </w:p>
                  <w:p>
                    <w:pPr>
                      <w:rPr>
                        <w:sz w:val="20"/>
                      </w:rPr>
                    </w:pPr>
                  </w:p>
                  <w:p>
                    <w:pPr>
                      <w:rPr>
                        <w:sz w:val="20"/>
                      </w:rPr>
                    </w:pPr>
                    <w:r>
                      <w:rPr>
                        <w:sz w:val="20"/>
                        <w:shd w:val="clear" w:color="auto" w:fill="FFFFFF"/>
                      </w:rPr>
                      <w:t xml:space="preserve">VB </w:t>
                    </w:r>
                    <w:r>
                      <w:rPr>
                        <w:sz w:val="20"/>
                      </w:rPr>
                      <w:t>lėšos, skirtos apmokėti bendrai finansuojamų iš ES fondų lėšų projektų netinkamam finansuoti iš ES fondų lėšų pirkimo ir (arba) importo PVM</w:t>
                    </w:r>
                  </w:p>
                </w:tc>
                <w:tc>
                  <w:tcPr>
                    <w:tcW w:w="1318" w:type="dxa"/>
                  </w:tcPr>
                  <w:p>
                    <w:pPr>
                      <w:rPr>
                        <w:sz w:val="20"/>
                      </w:rPr>
                    </w:pPr>
                    <w:r>
                      <w:rPr>
                        <w:sz w:val="20"/>
                      </w:rPr>
                      <w:t xml:space="preserve">P – Programos „Europos horizontas“ įgyvendinimo spartinimo veiksmų plano rengimas ir priėmimas </w:t>
                    </w:r>
                  </w:p>
                  <w:p>
                    <w:pPr>
                      <w:rPr>
                        <w:sz w:val="20"/>
                      </w:rPr>
                    </w:pPr>
                  </w:p>
                  <w:p>
                    <w:pPr>
                      <w:rPr>
                        <w:sz w:val="20"/>
                      </w:rPr>
                    </w:pPr>
                    <w:r>
                      <w:rPr>
                        <w:sz w:val="20"/>
                      </w:rPr>
                      <w:t>P – Sukurtas mokslo ir inovacijų srities pareigūnų veiklos modelis</w:t>
                    </w:r>
                  </w:p>
                  <w:p>
                    <w:pPr>
                      <w:rPr>
                        <w:sz w:val="20"/>
                      </w:rPr>
                    </w:pPr>
                  </w:p>
                  <w:p>
                    <w:pPr>
                      <w:rPr>
                        <w:sz w:val="20"/>
                      </w:rPr>
                    </w:pPr>
                    <w:r>
                      <w:rPr>
                        <w:sz w:val="20"/>
                      </w:rPr>
                      <w:t>P – Įsteigtos mokslo pareigūnų ir nacionalinių kontaktinių asmenų (NCP) pareigybės</w:t>
                    </w:r>
                  </w:p>
                  <w:p>
                    <w:pPr>
                      <w:rPr>
                        <w:sz w:val="20"/>
                      </w:rPr>
                    </w:pPr>
                  </w:p>
                  <w:p>
                    <w:pPr>
                      <w:rPr>
                        <w:sz w:val="20"/>
                      </w:rPr>
                    </w:pPr>
                  </w:p>
                  <w:p>
                    <w:pPr>
                      <w:rPr>
                        <w:sz w:val="20"/>
                      </w:rPr>
                    </w:pPr>
                  </w:p>
                  <w:p>
                    <w:pPr>
                      <w:rPr>
                        <w:sz w:val="20"/>
                      </w:rPr>
                    </w:pPr>
                    <w:r>
                      <w:rPr>
                        <w:sz w:val="20"/>
                      </w:rPr>
                      <w:t xml:space="preserve">P – Finansuoti projektai ir konsultavimo paslaugos mokslo ir studijų institucijų ir mažų ir vidutinių įmonių potencialiems  programos „Europos horizontas“ pareiškėjams</w:t>
                    </w:r>
                  </w:p>
                  <w:p>
                    <w:pPr>
                      <w:rPr>
                        <w:sz w:val="20"/>
                      </w:rPr>
                    </w:pPr>
                  </w:p>
                  <w:p>
                    <w:pPr>
                      <w:rPr>
                        <w:sz w:val="20"/>
                      </w:rPr>
                    </w:pPr>
                    <w:r>
                      <w:rPr>
                        <w:sz w:val="20"/>
                      </w:rPr>
                      <w:t>R – Paramą gavusiose mokslinių tyrimų įstaigose dirbantys mokslininkai</w:t>
                    </w:r>
                  </w:p>
                  <w:p>
                    <w:pPr>
                      <w:rPr>
                        <w:sz w:val="20"/>
                      </w:rPr>
                    </w:pPr>
                  </w:p>
                  <w:p>
                    <w:pPr>
                      <w:rPr>
                        <w:sz w:val="20"/>
                      </w:rPr>
                    </w:pPr>
                    <w:r>
                      <w:rPr>
                        <w:sz w:val="20"/>
                      </w:rPr>
                      <w:t>R – Paramą gavusios įmonės</w:t>
                    </w:r>
                  </w:p>
                  <w:p>
                    <w:pPr>
                      <w:rPr>
                        <w:sz w:val="20"/>
                      </w:rPr>
                    </w:pPr>
                  </w:p>
                  <w:p>
                    <w:pPr>
                      <w:rPr>
                        <w:sz w:val="20"/>
                      </w:rPr>
                    </w:pPr>
                    <w:r>
                      <w:rPr>
                        <w:sz w:val="20"/>
                      </w:rPr>
                      <w:t>R – Paramą gavusios įmonės, iš jų: mažos ir labai mažos</w:t>
                    </w:r>
                  </w:p>
                  <w:p>
                    <w:pPr>
                      <w:rPr>
                        <w:sz w:val="20"/>
                      </w:rPr>
                    </w:pPr>
                  </w:p>
                  <w:p>
                    <w:pPr>
                      <w:rPr>
                        <w:sz w:val="20"/>
                      </w:rPr>
                    </w:pPr>
                    <w:r>
                      <w:rPr>
                        <w:sz w:val="20"/>
                      </w:rPr>
                      <w:t>R – Paramą gavusios įmonės, iš jų: vidutinės</w:t>
                    </w:r>
                  </w:p>
                  <w:p>
                    <w:pPr>
                      <w:rPr>
                        <w:sz w:val="20"/>
                      </w:rPr>
                    </w:pPr>
                  </w:p>
                  <w:p>
                    <w:pPr>
                      <w:rPr>
                        <w:sz w:val="20"/>
                      </w:rPr>
                    </w:pPr>
                    <w:r>
                      <w:rPr>
                        <w:sz w:val="20"/>
                      </w:rPr>
                      <w:t>R – Paramą gavusios įmonės, iš jų didelės</w:t>
                    </w:r>
                  </w:p>
                </w:tc>
                <w:tc>
                  <w:tcPr>
                    <w:tcW w:w="1134" w:type="dxa"/>
                  </w:tcPr>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ind w:right="-110"/>
                      <w:rPr>
                        <w:sz w:val="20"/>
                      </w:rPr>
                    </w:pPr>
                    <w:r>
                      <w:rPr>
                        <w:sz w:val="20"/>
                      </w:rPr>
                      <w:t xml:space="preserve">30 </w:t>
                    </w:r>
                    <w:r>
                      <w:rPr>
                        <w:sz w:val="20"/>
                        <w:lang w:eastAsia="lt-LT"/>
                      </w:rPr>
                      <w:t xml:space="preserve">(2026 m. II ketv.) </w:t>
                    </w:r>
                    <w:r>
                      <w:rPr>
                        <w:sz w:val="20"/>
                      </w:rPr>
                      <w:t>(15 mokslo ir inovacijų pareigūnų / patarėjų pozicijų ir 15 NCP pareigybių)</w:t>
                    </w:r>
                  </w:p>
                  <w:p>
                    <w:pPr>
                      <w:rPr>
                        <w:sz w:val="20"/>
                      </w:rPr>
                    </w:pPr>
                  </w:p>
                  <w:p>
                    <w:pPr>
                      <w:rPr>
                        <w:sz w:val="20"/>
                      </w:rPr>
                    </w:pPr>
                  </w:p>
                  <w:p>
                    <w:pPr>
                      <w:rPr>
                        <w:sz w:val="20"/>
                      </w:rPr>
                    </w:pPr>
                    <w:r>
                      <w:rPr>
                        <w:sz w:val="20"/>
                      </w:rPr>
                      <w:t>477 (2026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/a</w:t>
                    </w:r>
                  </w:p>
                  <w:p>
                    <w:pPr>
                      <w:rPr>
                        <w:sz w:val="20"/>
                      </w:rPr>
                    </w:pPr>
                  </w:p>
                  <w:p>
                    <w:pPr>
                      <w:rPr>
                        <w:sz w:val="20"/>
                      </w:rPr>
                    </w:pPr>
                  </w:p>
                  <w:p>
                    <w:pPr>
                      <w:rPr>
                        <w:sz w:val="20"/>
                      </w:rPr>
                    </w:pPr>
                  </w:p>
                  <w:p>
                    <w:pPr>
                      <w:rPr>
                        <w:sz w:val="20"/>
                      </w:rPr>
                    </w:pPr>
                  </w:p>
                  <w:p>
                    <w:pPr>
                      <w:rPr>
                        <w:sz w:val="20"/>
                      </w:rPr>
                    </w:pPr>
                    <w:r>
                      <w:rPr>
                        <w:sz w:val="20"/>
                      </w:rPr>
                      <w:t>n / a</w:t>
                    </w:r>
                  </w:p>
                </w:tc>
                <w:tc>
                  <w:tcPr>
                    <w:tcW w:w="850" w:type="dxa"/>
                  </w:tcPr>
                  <w:p>
                    <w:pPr>
                      <w:jc w:val="center"/>
                      <w:rPr>
                        <w:sz w:val="20"/>
                      </w:rPr>
                    </w:pPr>
                    <w:r>
                      <w:rPr>
                        <w:sz w:val="20"/>
                      </w:rPr>
                      <w:t>CPVA</w:t>
                    </w:r>
                  </w:p>
                </w:tc>
                <w:tc>
                  <w:tcPr>
                    <w:tcW w:w="709" w:type="dxa"/>
                  </w:tcPr>
                  <w:p>
                    <w:pPr>
                      <w:jc w:val="center"/>
                      <w:rPr>
                        <w:sz w:val="20"/>
                      </w:rPr>
                    </w:pPr>
                    <w:r>
                      <w:rPr>
                        <w:sz w:val="20"/>
                      </w:rPr>
                      <w:t>EIM</w:t>
                    </w:r>
                  </w:p>
                </w:tc>
              </w:tr>
              <w:tr>
                <w:trPr>
                  <w:trHeight w:val="233"/>
                </w:trPr>
                <w:tc>
                  <w:tcPr>
                    <w:tcW w:w="992" w:type="dxa"/>
                  </w:tcPr>
                  <w:p>
                    <w:pPr>
                      <w:rPr>
                        <w:sz w:val="20"/>
                      </w:rPr>
                    </w:pPr>
                    <w:r>
                      <w:rPr>
                        <w:sz w:val="20"/>
                      </w:rPr>
                      <w:t>2.2. Didinti mokslo tarptautiškumo lygį (Sostinė)</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30 725,273:</w:t>
                    </w:r>
                  </w:p>
                  <w:p>
                    <w:pPr>
                      <w:textAlignment w:val="baseline"/>
                      <w:rPr>
                        <w:sz w:val="20"/>
                        <w:lang w:eastAsia="lt-LT"/>
                      </w:rPr>
                    </w:pPr>
                    <w:r>
                      <w:rPr>
                        <w:sz w:val="20"/>
                        <w:lang w:eastAsia="lt-LT"/>
                      </w:rPr>
                      <w:t>10 530,199 – ES fondų lėšos,</w:t>
                    </w:r>
                  </w:p>
                  <w:p>
                    <w:pPr>
                      <w:textAlignment w:val="baseline"/>
                      <w:rPr>
                        <w:sz w:val="20"/>
                        <w:lang w:eastAsia="lt-LT"/>
                      </w:rPr>
                    </w:pPr>
                    <w:r>
                      <w:rPr>
                        <w:sz w:val="20"/>
                        <w:lang w:eastAsia="lt-LT"/>
                      </w:rPr>
                      <w:t>20 195,074 – BF lėšos;</w:t>
                    </w:r>
                  </w:p>
                  <w:p>
                    <w:pPr>
                      <w:textAlignment w:val="baseline"/>
                      <w:rPr>
                        <w:sz w:val="20"/>
                        <w:lang w:eastAsia="lt-LT"/>
                      </w:rPr>
                    </w:pPr>
                  </w:p>
                  <w:p>
                    <w:pPr>
                      <w:textAlignment w:val="baseline"/>
                      <w:rPr>
                        <w:sz w:val="20"/>
                        <w:lang w:eastAsia="lt-LT"/>
                      </w:rPr>
                    </w:pPr>
                    <w:r>
                      <w:rPr>
                        <w:sz w:val="20"/>
                        <w:lang w:eastAsia="lt-LT"/>
                      </w:rPr>
                      <w:t>6 452,307</w:t>
                    </w:r>
                  </w:p>
                </w:tc>
                <w:tc>
                  <w:tcPr>
                    <w:tcW w:w="1087" w:type="dxa"/>
                  </w:tcPr>
                  <w:p>
                    <w:pPr>
                      <w:textAlignment w:val="baseline"/>
                      <w:rPr>
                        <w:sz w:val="20"/>
                        <w:lang w:eastAsia="lt-LT"/>
                      </w:rPr>
                    </w:pPr>
                    <w:r>
                      <w:rPr>
                        <w:sz w:val="20"/>
                        <w:lang w:eastAsia="lt-LT"/>
                      </w:rPr>
                      <w:t xml:space="preserve">2021–2027 m. </w:t>
                    </w:r>
                    <w:r>
                      <w:rPr>
                        <w:sz w:val="20"/>
                      </w:rPr>
                      <w:t>ES fondų ir BF lėšos</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VB lėšos, ,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  </w:t>
                    </w:r>
                  </w:p>
                  <w:p>
                    <w:pPr>
                      <w:rPr>
                        <w:sz w:val="20"/>
                      </w:rPr>
                    </w:pPr>
                  </w:p>
                  <w:p>
                    <w:pPr>
                      <w:rPr>
                        <w:color w:val="000000"/>
                        <w:sz w:val="20"/>
                        <w:lang w:eastAsia="lt-LT"/>
                      </w:rPr>
                    </w:pPr>
                    <w:r>
                      <w:rPr>
                        <w:color w:val="000000"/>
                        <w:sz w:val="20"/>
                        <w:lang w:eastAsia="lt-LT"/>
                      </w:rPr>
                      <w:t>P – Asmenys, dalyvavę EURO HPC centro veiklose</w:t>
                    </w:r>
                  </w:p>
                  <w:p>
                    <w:pPr>
                      <w:rPr>
                        <w:color w:val="000000"/>
                        <w:sz w:val="20"/>
                        <w:lang w:eastAsia="lt-LT"/>
                      </w:rPr>
                    </w:pPr>
                  </w:p>
                  <w:p>
                    <w:pPr>
                      <w:rPr>
                        <w:sz w:val="20"/>
                      </w:rPr>
                    </w:pPr>
                    <w:r>
                      <w:rPr>
                        <w:color w:val="000000"/>
                        <w:sz w:val="20"/>
                        <w:lang w:eastAsia="lt-LT"/>
                      </w:rPr>
                      <w:t>P – LINO renginiai / susitikimai apie ES tarptautines programas, iniciatyvas bei galimybes, aktualias Lietuvos mokslo ir inovacijų ekosistemai</w:t>
                    </w:r>
                  </w:p>
                </w:tc>
                <w:tc>
                  <w:tcPr>
                    <w:tcW w:w="1134" w:type="dxa"/>
                  </w:tcPr>
                  <w:p>
                    <w:pPr>
                      <w:textAlignment w:val="baseline"/>
                      <w:rPr>
                        <w:sz w:val="20"/>
                        <w:lang w:eastAsia="lt-LT"/>
                      </w:rPr>
                    </w:pPr>
                    <w:r>
                      <w:rPr>
                        <w:sz w:val="20"/>
                        <w:lang w:eastAsia="lt-LT"/>
                      </w:rPr>
                      <w:t>175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8 084 730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95 (2029)</w:t>
                    </w:r>
                  </w:p>
                  <w:p>
                    <w:pPr>
                      <w:rPr>
                        <w:sz w:val="20"/>
                      </w:rPr>
                    </w:pPr>
                  </w:p>
                  <w:p>
                    <w:pPr>
                      <w:rPr>
                        <w:sz w:val="20"/>
                      </w:rPr>
                    </w:pPr>
                  </w:p>
                  <w:p>
                    <w:pPr>
                      <w:rPr>
                        <w:sz w:val="20"/>
                      </w:rPr>
                    </w:pPr>
                  </w:p>
                  <w:p>
                    <w:pPr>
                      <w:rPr>
                        <w:sz w:val="20"/>
                      </w:rPr>
                    </w:pPr>
                  </w:p>
                  <w:p>
                    <w:pPr>
                      <w:rPr>
                        <w:sz w:val="20"/>
                      </w:rPr>
                    </w:pPr>
                  </w:p>
                  <w:p>
                    <w:pPr>
                      <w:rPr>
                        <w:sz w:val="20"/>
                      </w:rPr>
                    </w:pPr>
                    <w:r>
                      <w:rPr>
                        <w:sz w:val="20"/>
                      </w:rPr>
                      <w:t>130 (2029)</w:t>
                    </w:r>
                  </w:p>
                  <w:p>
                    <w:pPr>
                      <w:rPr>
                        <w:sz w:val="20"/>
                      </w:rPr>
                    </w:pPr>
                  </w:p>
                  <w:p>
                    <w:pPr>
                      <w:rPr>
                        <w:sz w:val="20"/>
                      </w:rPr>
                    </w:pPr>
                  </w:p>
                  <w:p>
                    <w:pPr>
                      <w:rPr>
                        <w:sz w:val="20"/>
                      </w:rPr>
                    </w:pPr>
                  </w:p>
                  <w:p>
                    <w:pPr>
                      <w:rPr>
                        <w:sz w:val="20"/>
                      </w:rPr>
                    </w:pPr>
                  </w:p>
                  <w:p>
                    <w:pPr>
                      <w:rPr>
                        <w:sz w:val="20"/>
                      </w:rPr>
                    </w:pPr>
                  </w:p>
                  <w:p>
                    <w:pPr>
                      <w:rPr>
                        <w:sz w:val="20"/>
                      </w:rPr>
                    </w:pPr>
                    <w:r>
                      <w:rPr>
                        <w:sz w:val="20"/>
                      </w:rPr>
                      <w:t>60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2.3. Didinti mokslo tarptautiškumo lygį (VVL)</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28 215,023;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5 925,155</w:t>
                    </w:r>
                  </w:p>
                </w:tc>
                <w:tc>
                  <w:tcPr>
                    <w:tcW w:w="1087" w:type="dxa"/>
                  </w:tcPr>
                  <w:p>
                    <w:pPr>
                      <w:textAlignment w:val="baseline"/>
                      <w:rPr>
                        <w:sz w:val="20"/>
                        <w:lang w:eastAsia="lt-LT"/>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rPr>
                      <w:t xml:space="preserve">P </w:t>
                    </w:r>
                    <w:r>
                      <w:rPr>
                        <w:color w:val="000000"/>
                        <w:sz w:val="20"/>
                        <w:lang w:eastAsia="lt-LT"/>
                      </w:rPr>
                      <w:t>– Asmenys, dalyvavę EURO HPC centro veiklose</w:t>
                    </w:r>
                  </w:p>
                </w:tc>
                <w:tc>
                  <w:tcPr>
                    <w:tcW w:w="1134" w:type="dxa"/>
                  </w:tcPr>
                  <w:p>
                    <w:pPr>
                      <w:textAlignment w:val="baseline"/>
                      <w:rPr>
                        <w:sz w:val="20"/>
                        <w:lang w:eastAsia="lt-LT"/>
                      </w:rPr>
                    </w:pPr>
                    <w:r>
                      <w:rPr>
                        <w:sz w:val="20"/>
                        <w:lang w:eastAsia="lt-LT"/>
                      </w:rPr>
                      <w:t>300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3 453 080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(2029)</w:t>
                    </w:r>
                  </w:p>
                  <w:p>
                    <w:pPr>
                      <w:textAlignment w:val="baseline"/>
                      <w:rPr>
                        <w:sz w:val="20"/>
                        <w:lang w:eastAsia="lt-LT"/>
                      </w:rPr>
                    </w:pPr>
                  </w:p>
                  <w:p>
                    <w:pPr>
                      <w:rPr>
                        <w:sz w:val="20"/>
                      </w:rPr>
                    </w:pPr>
                  </w:p>
                  <w:p>
                    <w:pPr>
                      <w:rPr>
                        <w:sz w:val="20"/>
                      </w:rPr>
                    </w:pPr>
                  </w:p>
                  <w:p>
                    <w:pPr>
                      <w:rPr>
                        <w:sz w:val="20"/>
                      </w:rPr>
                    </w:pPr>
                  </w:p>
                  <w:p>
                    <w:pPr>
                      <w:rPr>
                        <w:sz w:val="20"/>
                      </w:rPr>
                    </w:pPr>
                  </w:p>
                  <w:p>
                    <w:pPr>
                      <w:rPr>
                        <w:sz w:val="20"/>
                      </w:rPr>
                    </w:pPr>
                  </w:p>
                  <w:p>
                    <w:pPr>
                      <w:rPr>
                        <w:sz w:val="20"/>
                      </w:rPr>
                    </w:pPr>
                  </w:p>
                  <w:p>
                    <w:pPr>
                      <w:rPr>
                        <w:sz w:val="20"/>
                        <w:lang w:val="en-GB"/>
                      </w:rPr>
                    </w:pPr>
                  </w:p>
                  <w:p>
                    <w:pPr>
                      <w:rPr>
                        <w:sz w:val="20"/>
                      </w:rPr>
                    </w:pPr>
                    <w:r>
                      <w:rPr>
                        <w:sz w:val="20"/>
                      </w:rPr>
                      <w:t>100 (2029)</w:t>
                    </w:r>
                  </w:p>
                  <w:p>
                    <w:pPr>
                      <w:rPr>
                        <w:sz w:val="20"/>
                      </w:rPr>
                    </w:pPr>
                  </w:p>
                  <w:p>
                    <w:pPr>
                      <w:rPr>
                        <w:sz w:val="20"/>
                      </w:rPr>
                    </w:pPr>
                  </w:p>
                  <w:p>
                    <w:pPr>
                      <w:rPr>
                        <w:sz w:val="20"/>
                      </w:rPr>
                    </w:pPr>
                  </w:p>
                  <w:p>
                    <w:pPr>
                      <w:rPr>
                        <w:sz w:val="20"/>
                      </w:rPr>
                    </w:pPr>
                  </w:p>
                  <w:p>
                    <w:pPr>
                      <w:rPr>
                        <w:sz w:val="20"/>
                      </w:rPr>
                    </w:pPr>
                    <w:r>
                      <w:rPr>
                        <w:sz w:val="20"/>
                      </w:rPr>
                      <w:t>30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2.4. Tarptautiniai MTEP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textAlignment w:val="baseline"/>
                      <w:rPr>
                        <w:sz w:val="20"/>
                        <w:lang w:eastAsia="lt-LT"/>
                      </w:rPr>
                    </w:pPr>
                    <w:r>
                      <w:rPr>
                        <w:sz w:val="20"/>
                        <w:lang w:eastAsia="lt-LT"/>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bl>
            <w:sdt>
              <w:sdtPr>
                <w:alias w:val="pastaba"/>
                <w:tag w:val="part_3e1ef213c5c741c68d0ef0229a8aada3"/>
                <w:lock w:val="sdtLocked"/>
                <w:richText/>
              </w:sdtPr>
              <w:sdtContent>
                <w:p>
                  <w:pPr>
                    <w:ind w:firstLine="742"/>
                    <w:jc w:val="both"/>
                    <w:rPr>
                      <w:b/>
                      <w:bCs/>
                      <w:sz w:val="20"/>
                    </w:rPr>
                  </w:pPr>
                  <w:sdt>
                    <w:sdtPr>
                      <w:alias w:val="Pavadinimas"/>
                      <w:tag w:val="title_3e1ef213c5c741c68d0ef0229a8aada3"/>
                      <w:lock w:val="sdtLocked"/>
                      <w:richText/>
                    </w:sdtPr>
                    <w:sdtContent>
                      <w:r>
                        <w:rPr>
                          <w:b/>
                          <w:bCs/>
                          <w:sz w:val="20"/>
                        </w:rPr>
                        <w:t>Pastabos:</w:t>
                      </w:r>
                    </w:sdtContent>
                  </w:sdt>
                </w:p>
                <w:sdt>
                  <w:sdtPr>
                    <w:alias w:val="1 p."/>
                    <w:tag w:val="part_af51d13165104dde938986eb3c56c13c"/>
                    <w:lock w:val="sdtLocked"/>
                    <w:richText/>
                  </w:sdtPr>
                  <w:sdtContent>
                    <w:p>
                      <w:pPr>
                        <w:ind w:firstLine="742"/>
                        <w:jc w:val="both"/>
                        <w:rPr>
                          <w:sz w:val="20"/>
                        </w:rPr>
                      </w:pPr>
                      <w:sdt>
                        <w:sdtPr>
                          <w:alias w:val="Numeris"/>
                          <w:tag w:val="nr_af51d13165104dde938986eb3c56c13c"/>
                          <w:lock w:val="sdtLocked"/>
                          <w:richText/>
                        </w:sdtPr>
                        <w:sdtContent>
                          <w:r>
                            <w:rPr>
                              <w:sz w:val="20"/>
                            </w:rPr>
                            <w:t>1</w:t>
                          </w:r>
                        </w:sdtContent>
                      </w:sdt>
                      <w:r>
                        <w:rPr>
                          <w:sz w:val="20"/>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169e019d0a064953b099dc49ec926a32"/>
                    <w:lock w:val="sdtLocked"/>
                    <w:richText/>
                  </w:sdtPr>
                  <w:sdtContent>
                    <w:p>
                      <w:pPr>
                        <w:ind w:firstLine="742"/>
                        <w:jc w:val="both"/>
                        <w:rPr>
                          <w:sz w:val="20"/>
                        </w:rPr>
                      </w:pPr>
                      <w:sdt>
                        <w:sdtPr>
                          <w:alias w:val="Numeris"/>
                          <w:tag w:val="nr_169e019d0a064953b099dc49ec926a32"/>
                          <w:lock w:val="sdtLocked"/>
                          <w:richText/>
                        </w:sdtPr>
                        <w:sdtContent>
                          <w:r>
                            <w:rPr>
                              <w:sz w:val="20"/>
                            </w:rPr>
                            <w:t>2</w:t>
                          </w:r>
                        </w:sdtContent>
                      </w:sdt>
                      <w:r>
                        <w:rPr>
                          <w:sz w:val="20"/>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37b82081b0c84df0ab94e2941218c970"/>
                    <w:lock w:val="sdtLocked"/>
                    <w:richText/>
                  </w:sdtPr>
                  <w:sdtContent>
                    <w:p>
                      <w:pPr>
                        <w:ind w:firstLine="742"/>
                        <w:jc w:val="both"/>
                        <w:rPr>
                          <w:sz w:val="20"/>
                        </w:rPr>
                      </w:pPr>
                      <w:sdt>
                        <w:sdtPr>
                          <w:alias w:val="Numeris"/>
                          <w:tag w:val="nr_37b82081b0c84df0ab94e2941218c970"/>
                          <w:lock w:val="sdtLocked"/>
                          <w:richText/>
                        </w:sdtPr>
                        <w:sdtContent>
                          <w:r>
                            <w:rPr>
                              <w:sz w:val="20"/>
                            </w:rPr>
                            <w:t>3</w:t>
                          </w:r>
                        </w:sdtContent>
                      </w:sdt>
                      <w:r>
                        <w:rPr>
                          <w:sz w:val="20"/>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47085b1a7c1e4cb7a9c16d791091860f"/>
                    <w:lock w:val="sdtLocked"/>
                    <w:richText/>
                  </w:sdtPr>
                  <w:sdtContent>
                    <w:p>
                      <w:pPr>
                        <w:ind w:firstLine="742"/>
                        <w:jc w:val="both"/>
                        <w:rPr>
                          <w:sz w:val="20"/>
                        </w:rPr>
                      </w:pPr>
                      <w:sdt>
                        <w:sdtPr>
                          <w:alias w:val="Numeris"/>
                          <w:tag w:val="nr_47085b1a7c1e4cb7a9c16d791091860f"/>
                          <w:lock w:val="sdtLocked"/>
                          <w:richText/>
                        </w:sdtPr>
                        <w:sdtContent>
                          <w:r>
                            <w:rPr>
                              <w:sz w:val="20"/>
                            </w:rPr>
                            <w:t>4</w:t>
                          </w:r>
                        </w:sdtContent>
                      </w:sdt>
                      <w:r>
                        <w:rPr>
                          <w:sz w:val="20"/>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d192d7c6e7cd4059af698de02fdddb9e"/>
                    <w:lock w:val="sdtLocked"/>
                    <w:richText/>
                  </w:sdtPr>
                  <w:sdtContent>
                    <w:p>
                      <w:pPr>
                        <w:ind w:firstLine="742"/>
                        <w:jc w:val="both"/>
                        <w:rPr>
                          <w:sz w:val="20"/>
                        </w:rPr>
                      </w:pPr>
                      <w:sdt>
                        <w:sdtPr>
                          <w:alias w:val="Numeris"/>
                          <w:tag w:val="nr_d192d7c6e7cd4059af698de02fdddb9e"/>
                          <w:lock w:val="sdtLocked"/>
                          <w:richText/>
                        </w:sdtPr>
                        <w:sdtContent>
                          <w:r>
                            <w:rPr>
                              <w:sz w:val="20"/>
                            </w:rPr>
                            <w:t>5</w:t>
                          </w:r>
                        </w:sdtContent>
                      </w:sdt>
                      <w:r>
                        <w:rPr>
                          <w:sz w:val="20"/>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6 p."/>
                    <w:tag w:val="part_d6065f9c3e6549368be9d6c9c3a6d91d"/>
                    <w:lock w:val="sdtLocked"/>
                    <w:richText/>
                  </w:sdtPr>
                  <w:sdtContent>
                    <w:p>
                      <w:pPr>
                        <w:ind w:firstLine="742"/>
                        <w:jc w:val="both"/>
                      </w:pPr>
                      <w:sdt>
                        <w:sdtPr>
                          <w:alias w:val="Numeris"/>
                          <w:tag w:val="nr_d6065f9c3e6549368be9d6c9c3a6d91d"/>
                          <w:lock w:val="sdtLocked"/>
                          <w:richText/>
                        </w:sdtPr>
                        <w:sdtContent>
                          <w:r>
                            <w:rPr>
                              <w:sz w:val="20"/>
                            </w:rPr>
                            <w:t>6</w:t>
                          </w:r>
                        </w:sdtContent>
                      </w:sdt>
                      <w:r>
                        <w:rPr>
                          <w:sz w:val="20"/>
                        </w:rPr>
                        <w:t xml:space="preserve">.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sdtContent>
        </w:sdt>
        <w:sdt>
          <w:sdtPr>
            <w:alias w:val="pabaiga"/>
            <w:tag w:val="part_10781eb4f2a04023b0df7600b8349f86"/>
            <w:lock w:val="sdtLocked"/>
            <w:richText/>
          </w:sdtPr>
          <w:sdtContent>
            <w:p>
              <w:pPr>
                <w:jc w:val="center"/>
                <w:rPr>
                  <w:bCs/>
                  <w:sz w:val="22"/>
                  <w:szCs w:val="22"/>
                </w:rPr>
              </w:pPr>
              <w:r>
                <w:rPr>
                  <w:bCs/>
                  <w:sz w:val="22"/>
                  <w:szCs w:val="22"/>
                </w:rPr>
                <w:t>________________</w:t>
              </w:r>
            </w:p>
            <w:p>
              <w:pPr>
                <w:tabs>
                  <w:tab w:val="left" w:pos="5886"/>
                </w:tabs>
                <w:overflowPunct w:val="0"/>
                <w:spacing w:line="276" w:lineRule="auto"/>
                <w:jc w:val="both"/>
                <w:textAlignment w:val="baseline"/>
                <w:rPr>
                  <w:szCs w:val="24"/>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V-778)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4 priedas PFSA (pagal V-347)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
          <w:pPr>
            <w:pStyle w:val="PlainText"/>
            <w:rPr>
              <w:rFonts w:ascii="Times New Roman" w:eastAsia="MS Mincho" w:hAnsi="Times New Roman"/>
              <w:sz w:val="20"/>
              <w:iCs/>
            </w:rPr>
          </w:pPr>
          <w:r>
            <w:rPr>
              <w:rFonts w:ascii="Times New Roman" w:eastAsia="MS Mincho" w:hAnsi="Times New Roman"/>
              <w:sz w:val="20"/>
              <w:iCs/>
            </w:rPr>
            <w:t>5 priedas PFSA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6 priedas (pagal V-1571)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
          <w:pPr>
            <w:pStyle w:val="PlainText"/>
            <w:rPr>
              <w:rFonts w:ascii="Times New Roman" w:eastAsia="MS Mincho" w:hAnsi="Times New Roman"/>
              <w:sz w:val="20"/>
              <w:iCs/>
            </w:rPr>
          </w:pPr>
          <w:r>
            <w:rPr>
              <w:rFonts w:ascii="Times New Roman" w:eastAsia="MS Mincho" w:hAnsi="Times New Roman"/>
              <w:sz w:val="20"/>
              <w:iCs/>
            </w:rPr>
            <w:t>7 priedas PFSA_EuroHPC (pagal V-813)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
          <w:pPr>
            <w:pStyle w:val="PlainText"/>
            <w:rPr>
              <w:rFonts w:ascii="Times New Roman" w:eastAsia="MS Mincho" w:hAnsi="Times New Roman"/>
              <w:sz w:val="20"/>
              <w:iCs/>
            </w:rPr>
          </w:pPr>
          <w:r>
            <w:rPr>
              <w:rFonts w:ascii="Times New Roman" w:eastAsia="MS Mincho" w:hAnsi="Times New Roman"/>
              <w:sz w:val="20"/>
              <w:iCs/>
            </w:rPr>
            <w:t>8 priedas PFSA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9 priedas (pagal V-832)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
          <w:pPr>
            <w:pStyle w:val="PlainText"/>
            <w:rPr>
              <w:rFonts w:ascii="Times New Roman" w:eastAsia="MS Mincho" w:hAnsi="Times New Roman"/>
              <w:sz w:val="20"/>
              <w:iCs/>
            </w:rPr>
          </w:pPr>
          <w:r>
            <w:rPr>
              <w:rFonts w:ascii="Times New Roman" w:eastAsia="MS Mincho" w:hAnsi="Times New Roman"/>
              <w:sz w:val="20"/>
              <w:iCs/>
            </w:rPr>
            <w:t>10 priedas (pagal  V-1122)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
          <w:pPr>
            <w:pStyle w:val="PlainText"/>
            <w:rPr>
              <w:rFonts w:ascii="Times New Roman" w:eastAsia="MS Mincho" w:hAnsi="Times New Roman"/>
              <w:sz w:val="20"/>
              <w:iCs/>
            </w:rPr>
          </w:pPr>
          <w:r>
            <w:rPr>
              <w:rFonts w:ascii="Times New Roman" w:eastAsia="MS Mincho" w:hAnsi="Times New Roman"/>
              <w:sz w:val="20"/>
              <w:iCs/>
            </w:rPr>
            <w:t>11 priedas (pagal V-1378)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
          <w:pPr>
            <w:pStyle w:val="PlainText"/>
            <w:rPr>
              <w:rFonts w:ascii="Times New Roman" w:eastAsia="MS Mincho" w:hAnsi="Times New Roman"/>
              <w:sz w:val="20"/>
              <w:iCs/>
            </w:rPr>
          </w:pPr>
          <w:r>
            <w:rPr>
              <w:rFonts w:ascii="Times New Roman" w:eastAsia="MS Mincho" w:hAnsi="Times New Roman"/>
              <w:sz w:val="20"/>
              <w:iCs/>
            </w:rPr>
            <w:t>14 priedas</w:t>
          </w:r>
        </w:p>
        <w:p/>
        <w:p>
          <w:pPr>
            <w:pStyle w:val="PlainText"/>
            <w:rPr>
              <w:rFonts w:ascii="Times New Roman" w:eastAsia="MS Mincho" w:hAnsi="Times New Roman"/>
              <w:sz w:val="20"/>
              <w:iCs/>
            </w:rPr>
          </w:pPr>
          <w:r>
            <w:rPr>
              <w:rFonts w:ascii="Times New Roman" w:eastAsia="MS Mincho" w:hAnsi="Times New Roman"/>
              <w:sz w:val="20"/>
              <w:iCs/>
            </w:rPr>
            <w:t>15 priedas (pagal V-914)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
          <w:pPr>
            <w:pStyle w:val="PlainText"/>
            <w:rPr>
              <w:rFonts w:ascii="Times New Roman" w:eastAsia="MS Mincho" w:hAnsi="Times New Roman"/>
              <w:sz w:val="20"/>
              <w:iCs/>
            </w:rPr>
          </w:pPr>
          <w:r>
            <w:rPr>
              <w:rFonts w:ascii="Times New Roman" w:eastAsia="MS Mincho" w:hAnsi="Times New Roman"/>
              <w:sz w:val="20"/>
              <w:iCs/>
            </w:rPr>
            <w:t>16 priedas (pagal V-1173)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91.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92.xml"/>
  <Relationship Id="rId20" Type="http://schemas.openxmlformats.org/officeDocument/2006/relationships/header" Target="header97.xml"/>
  <Relationship Id="rId21" Type="http://schemas.openxmlformats.org/officeDocument/2006/relationships/header" Target="header98.xml"/>
  <Relationship Id="rId22" Type="http://schemas.openxmlformats.org/officeDocument/2006/relationships/footer" Target="footer97.xml"/>
  <Relationship Id="rId23" Type="http://schemas.openxmlformats.org/officeDocument/2006/relationships/footer" Target="footer98.xml"/>
  <Relationship Id="rId24" Type="http://schemas.openxmlformats.org/officeDocument/2006/relationships/header" Target="header99.xml"/>
  <Relationship Id="rId25" Type="http://schemas.openxmlformats.org/officeDocument/2006/relationships/footer" Target="footer99.xml"/>
  <Relationship Id="rId26" Type="http://schemas.openxmlformats.org/officeDocument/2006/relationships/customXml" Target="../customXml/item4.xml"/>
  <Relationship Id="rId3" Type="http://schemas.openxmlformats.org/officeDocument/2006/relationships/footer" Target="footer91.xml"/>
  <Relationship Id="rId4" Type="http://schemas.openxmlformats.org/officeDocument/2006/relationships/footer" Target="footer92.xml"/>
  <Relationship Id="rId5" Type="http://schemas.openxmlformats.org/officeDocument/2006/relationships/header" Target="header93.xml"/>
  <Relationship Id="rId6" Type="http://schemas.openxmlformats.org/officeDocument/2006/relationships/footer" Target="footer9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fb50697710994249a096444a93643d05">
      <Part Type="pastraipa" DocPartId="17625eac1a8f4c869647c0ab7409328b" PartId="ed75b8c7d551465eaddaed875c657250"/>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6edc0aab1df4a73a94bf2f07f753560"/>
      </Part>
    </Part>
    <Part Type="skyrius" Nr="3" Title="PLĖTROS PROGRAMOS PAŽANGOS PRIEMONĖS VEIKLŲ SUVESTINĖ" DocPartId="a4b054442e584e91975ea5160cdc199d" PartId="e6210b6ba19c4e669b5ca89b4050ab3a">
      <Part Type="pastaba" DocPartId="c8e18f7f11a44e1b9a7da4e98ddde8ee" PartId="3e1ef213c5c741c68d0ef0229a8aada3">
        <Part Type="punktas" Nr="1" Abbr="1 p." DocPartId="a0368f2fbf164a49b580b925cf0754ab" PartId="af51d13165104dde938986eb3c56c13c"/>
        <Part Type="punktas" Nr="2" Abbr="2 p." DocPartId="d564f7a8f120462b8ea4f03f73b4ca66" PartId="169e019d0a064953b099dc49ec926a32"/>
        <Part Type="punktas" Nr="3" Abbr="3 p." DocPartId="be51a992699d44fc8c47d69d3a0cd77b" PartId="37b82081b0c84df0ab94e2941218c970"/>
        <Part Type="punktas" Nr="4" Abbr="4 p." DocPartId="b8a4ebe98b9c47a2ab195bfbb2513de2" PartId="47085b1a7c1e4cb7a9c16d791091860f"/>
        <Part Type="punktas" Nr="5" Abbr="5 p." DocPartId="5a23a32c279b454a96123692872f680f" PartId="d192d7c6e7cd4059af698de02fdddb9e"/>
        <Part Type="punktas" Nr="6" Abbr="6 p." DocPartId="d60c57a2e4ce42d0bad8c3b6d5176421" PartId="d6065f9c3e6549368be9d6c9c3a6d91d"/>
      </Part>
    </Part>
    <Part Type="pabaiga" DocPartId="d054188cae054845bce68c44c8e9c4c8" PartId="10781eb4f2a04023b0df7600b8349f86"/>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570D35A4-8C7B-4FF5-B4BC-B192C1026A72}">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4E8CDC52-3873-446A-8D4C-A99CBADE0A2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TotalTime>
  <Pages>27</Pages>
  <Words>4006</Words>
  <Characters>25392</Characters>
  <Application>Microsoft Office Word</Application>
  <DocSecurity>0</DocSecurity>
  <Lines>211</Lines>
  <Paragraphs>58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29340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2024-12-05T06:44:00Z</dcterms:modified>
  <revision>27</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