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2023-02-09 iki 2023-02-22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a6a06621a0464ad5b24f3eebe4a7d1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color w:val="000000"/>
                  <w:vertAlign w:val="superscript"/>
                </w:rPr>
                <w:t>1</w:t>
              </w:r>
              <w:r>
                <w:rPr>
                  <w:color w:val="000000"/>
                </w:rPr>
                <w:t> straipsnio 3 dalies įgyvendinimo“, 87 punktą,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posėdžio protokolą „Darbo grupės pažangos priemonei „Stiprinti inovacijų ekosistemas mokslo centruose“ parengti“</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19"/>
              <w:headerReference w:type="default" r:id="rId20"/>
              <w:footerReference w:type="even" r:id="rId21"/>
              <w:footerReference w:type="default" r:id="rId22"/>
              <w:headerReference w:type="first" r:id="rId23"/>
              <w:footerReference w:type="first" r:id="rId24"/>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9f8290f50eae42afa7e3510d001595d5"/>
            <w:lock w:val="sdtLocked"/>
            <w:richText/>
          </w:sdtPr>
          <w:sdtContent>
            <w:p>
              <w:pPr>
                <w:tabs>
                  <w:tab w:val="left" w:pos="1985"/>
                </w:tabs>
                <w:jc w:val="center"/>
                <w:rPr>
                  <w:b/>
                  <w:bCs/>
                  <w:szCs w:val="24"/>
                </w:rPr>
              </w:pPr>
              <w:sdt>
                <w:sdtPr>
                  <w:alias w:val="Numeris"/>
                  <w:tag w:val="nr_9f8290f50eae42afa7e3510d001595d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f8290f50eae42afa7e3510d001595d5"/>
                  <w:lock w:val="sdtLocked"/>
                  <w:richText/>
                </w:sdtPr>
                <w:sdtContent>
                  <w:r>
                    <w:rPr>
                      <w:b/>
                      <w:bCs/>
                      <w:lang w:eastAsia="lt-LT"/>
                    </w:rPr>
                    <w:t>PLĖTROS PROGRAMOS PAŽANGOS PRIEMONĖS SIEKIAMI REZULTATAI</w:t>
                  </w:r>
                </w:sdtContent>
              </w:sdt>
            </w:p>
            <w:p>
              <w:pPr>
                <w:jc w:val="center"/>
                <w:rPr>
                  <w:b/>
                  <w:bCs/>
                  <w:lang w:eastAsia="lt-LT"/>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17"/>
                <w:gridCol w:w="2978"/>
                <w:gridCol w:w="1275"/>
                <w:gridCol w:w="1560"/>
                <w:gridCol w:w="992"/>
                <w:gridCol w:w="1134"/>
                <w:gridCol w:w="2551"/>
              </w:tblGrid>
              <w:tr>
                <w:trPr>
                  <w:jc w:val="center"/>
                </w:trPr>
                <w:tc>
                  <w:tcPr>
                    <w:tcW w:w="2547" w:type="dxa"/>
                    <w:vMerge w:val="restart"/>
                    <w:shd w:val="clear" w:color="auto" w:fill="DEEAF6" w:themeFill="accent1" w:themeFillTint="33"/>
                    <w:vAlign w:val="center"/>
                  </w:tcPr>
                  <w:p>
                    <w:pPr>
                      <w:jc w:val="center"/>
                      <w:rPr>
                        <w:b/>
                        <w:sz w:val="22"/>
                        <w:szCs w:val="22"/>
                      </w:rPr>
                    </w:pPr>
                    <w:r>
                      <w:rPr>
                        <w:b/>
                        <w:sz w:val="22"/>
                        <w:szCs w:val="22"/>
                      </w:rPr>
                      <w:t>Rodiklio kodas</w:t>
                    </w:r>
                  </w:p>
                </w:tc>
                <w:tc>
                  <w:tcPr>
                    <w:tcW w:w="1417" w:type="dxa"/>
                    <w:vMerge w:val="restart"/>
                    <w:shd w:val="clear" w:color="auto" w:fill="DEEAF6" w:themeFill="accent1" w:themeFillTint="33"/>
                    <w:vAlign w:val="center"/>
                  </w:tcPr>
                  <w:p>
                    <w:pPr>
                      <w:jc w:val="center"/>
                      <w:rPr>
                        <w:b/>
                        <w:sz w:val="22"/>
                        <w:szCs w:val="22"/>
                      </w:rPr>
                    </w:pPr>
                    <w:r>
                      <w:rPr>
                        <w:b/>
                        <w:sz w:val="22"/>
                        <w:szCs w:val="22"/>
                      </w:rPr>
                      <w:t>Rodiklio tipas (rezultato / produkto)</w:t>
                    </w:r>
                  </w:p>
                </w:tc>
                <w:tc>
                  <w:tcPr>
                    <w:tcW w:w="2978" w:type="dxa"/>
                    <w:vMerge w:val="restart"/>
                    <w:shd w:val="clear" w:color="auto" w:fill="DEEAF6" w:themeFill="accent1" w:themeFillTint="33"/>
                    <w:vAlign w:val="center"/>
                  </w:tcPr>
                  <w:p>
                    <w:pPr>
                      <w:jc w:val="center"/>
                      <w:rPr>
                        <w:b/>
                        <w:sz w:val="22"/>
                        <w:szCs w:val="22"/>
                      </w:rPr>
                    </w:pPr>
                    <w:r>
                      <w:rPr>
                        <w:b/>
                        <w:sz w:val="22"/>
                        <w:szCs w:val="22"/>
                      </w:rPr>
                      <w:t xml:space="preserve">Rodiklio pavadinimas </w:t>
                    </w:r>
                  </w:p>
                </w:tc>
                <w:tc>
                  <w:tcPr>
                    <w:tcW w:w="1275" w:type="dxa"/>
                    <w:vMerge w:val="restart"/>
                    <w:shd w:val="clear" w:color="auto" w:fill="DEEAF6" w:themeFill="accent1" w:themeFillTint="33"/>
                    <w:vAlign w:val="center"/>
                  </w:tcPr>
                  <w:p>
                    <w:pPr>
                      <w:jc w:val="center"/>
                      <w:rPr>
                        <w:b/>
                        <w:sz w:val="22"/>
                        <w:szCs w:val="22"/>
                      </w:rPr>
                    </w:pPr>
                    <w:r>
                      <w:rPr>
                        <w:b/>
                        <w:sz w:val="22"/>
                        <w:szCs w:val="22"/>
                      </w:rPr>
                      <w:t>Matavimo vienetas</w:t>
                    </w:r>
                  </w:p>
                </w:tc>
                <w:tc>
                  <w:tcPr>
                    <w:tcW w:w="1560" w:type="dxa"/>
                    <w:vMerge w:val="restart"/>
                    <w:shd w:val="clear" w:color="auto" w:fill="DEEAF6" w:themeFill="accent1" w:themeFillTint="33"/>
                    <w:vAlign w:val="center"/>
                  </w:tcPr>
                  <w:p>
                    <w:pPr>
                      <w:rPr>
                        <w:b/>
                        <w:sz w:val="22"/>
                        <w:szCs w:val="22"/>
                      </w:rPr>
                    </w:pPr>
                  </w:p>
                  <w:p>
                    <w:pPr>
                      <w:jc w:val="center"/>
                      <w:rPr>
                        <w:b/>
                        <w:sz w:val="22"/>
                        <w:szCs w:val="22"/>
                      </w:rPr>
                    </w:pPr>
                    <w:r>
                      <w:rPr>
                        <w:b/>
                        <w:sz w:val="22"/>
                        <w:szCs w:val="22"/>
                      </w:rPr>
                      <w:t>Pradinė rodiklio reikšmė (metai)</w:t>
                    </w:r>
                  </w:p>
                </w:tc>
                <w:tc>
                  <w:tcPr>
                    <w:tcW w:w="2126" w:type="dxa"/>
                    <w:gridSpan w:val="2"/>
                    <w:shd w:val="clear" w:color="auto" w:fill="DEEAF6" w:themeFill="accent1" w:themeFillTint="33"/>
                    <w:vAlign w:val="center"/>
                  </w:tcPr>
                  <w:p>
                    <w:pPr>
                      <w:jc w:val="center"/>
                      <w:rPr>
                        <w:b/>
                        <w:sz w:val="22"/>
                        <w:szCs w:val="22"/>
                      </w:rPr>
                    </w:pPr>
                    <w:r>
                      <w:rPr>
                        <w:b/>
                        <w:sz w:val="22"/>
                        <w:szCs w:val="22"/>
                      </w:rPr>
                      <w:t>Siektinos rodiklio reikšmės</w:t>
                    </w:r>
                  </w:p>
                </w:tc>
                <w:tc>
                  <w:tcPr>
                    <w:tcW w:w="2551" w:type="dxa"/>
                    <w:vMerge w:val="restart"/>
                    <w:shd w:val="clear" w:color="auto" w:fill="DEEAF6" w:themeFill="accent1" w:themeFillTint="33"/>
                    <w:vAlign w:val="center"/>
                  </w:tcPr>
                  <w:p>
                    <w:pPr>
                      <w:jc w:val="center"/>
                      <w:rPr>
                        <w:b/>
                        <w:sz w:val="22"/>
                        <w:szCs w:val="22"/>
                      </w:rPr>
                    </w:pPr>
                  </w:p>
                  <w:p>
                    <w:pPr>
                      <w:jc w:val="center"/>
                      <w:rPr>
                        <w:b/>
                        <w:sz w:val="22"/>
                        <w:szCs w:val="22"/>
                      </w:rPr>
                    </w:pPr>
                    <w:r>
                      <w:rPr>
                        <w:b/>
                        <w:sz w:val="22"/>
                        <w:szCs w:val="22"/>
                      </w:rPr>
                      <w:t>Finansavimo šaltinis</w:t>
                    </w:r>
                  </w:p>
                </w:tc>
              </w:tr>
              <w:tr>
                <w:trPr>
                  <w:jc w:val="center"/>
                </w:trPr>
                <w:tc>
                  <w:tcPr>
                    <w:tcW w:w="2547" w:type="dxa"/>
                    <w:vMerge/>
                    <w:vAlign w:val="center"/>
                  </w:tcPr>
                  <w:p>
                    <w:pPr>
                      <w:spacing w:line="276" w:lineRule="auto"/>
                      <w:jc w:val="center"/>
                      <w:rPr>
                        <w:b/>
                        <w:sz w:val="22"/>
                        <w:szCs w:val="22"/>
                      </w:rPr>
                    </w:pPr>
                  </w:p>
                </w:tc>
                <w:tc>
                  <w:tcPr>
                    <w:tcW w:w="1417" w:type="dxa"/>
                    <w:vMerge/>
                    <w:vAlign w:val="center"/>
                  </w:tcPr>
                  <w:p>
                    <w:pPr>
                      <w:spacing w:line="276" w:lineRule="auto"/>
                      <w:jc w:val="center"/>
                      <w:rPr>
                        <w:b/>
                        <w:sz w:val="22"/>
                        <w:szCs w:val="22"/>
                      </w:rPr>
                    </w:pPr>
                  </w:p>
                </w:tc>
                <w:tc>
                  <w:tcPr>
                    <w:tcW w:w="2978" w:type="dxa"/>
                    <w:vMerge/>
                    <w:vAlign w:val="center"/>
                  </w:tcPr>
                  <w:p>
                    <w:pPr>
                      <w:spacing w:line="276" w:lineRule="auto"/>
                      <w:jc w:val="center"/>
                      <w:rPr>
                        <w:b/>
                        <w:sz w:val="22"/>
                        <w:szCs w:val="22"/>
                      </w:rPr>
                    </w:pPr>
                  </w:p>
                </w:tc>
                <w:tc>
                  <w:tcPr>
                    <w:tcW w:w="1275" w:type="dxa"/>
                    <w:vMerge/>
                    <w:vAlign w:val="center"/>
                  </w:tcPr>
                  <w:p>
                    <w:pPr>
                      <w:spacing w:line="276" w:lineRule="auto"/>
                      <w:jc w:val="center"/>
                      <w:rPr>
                        <w:b/>
                        <w:sz w:val="22"/>
                        <w:szCs w:val="22"/>
                      </w:rPr>
                    </w:pPr>
                  </w:p>
                </w:tc>
                <w:tc>
                  <w:tcPr>
                    <w:tcW w:w="1560" w:type="dxa"/>
                    <w:vMerge/>
                    <w:vAlign w:val="center"/>
                  </w:tcPr>
                  <w:p>
                    <w:pPr>
                      <w:spacing w:line="276" w:lineRule="auto"/>
                      <w:jc w:val="center"/>
                      <w:rPr>
                        <w:b/>
                        <w:sz w:val="22"/>
                        <w:szCs w:val="22"/>
                      </w:rPr>
                    </w:pPr>
                  </w:p>
                </w:tc>
                <w:tc>
                  <w:tcPr>
                    <w:tcW w:w="992" w:type="dxa"/>
                    <w:shd w:val="clear" w:color="auto" w:fill="DEEAF6" w:themeFill="accent1" w:themeFillTint="33"/>
                    <w:vAlign w:val="center"/>
                  </w:tcPr>
                  <w:p>
                    <w:pPr>
                      <w:jc w:val="center"/>
                      <w:rPr>
                        <w:b/>
                        <w:sz w:val="22"/>
                        <w:szCs w:val="22"/>
                      </w:rPr>
                    </w:pPr>
                    <w:r>
                      <w:rPr>
                        <w:b/>
                        <w:sz w:val="22"/>
                        <w:szCs w:val="22"/>
                      </w:rPr>
                      <w:t>Tarpinė reikšmė 2025 m.</w:t>
                    </w:r>
                  </w:p>
                </w:tc>
                <w:tc>
                  <w:tcPr>
                    <w:tcW w:w="1134" w:type="dxa"/>
                    <w:shd w:val="clear" w:color="auto" w:fill="DEEAF6" w:themeFill="accent1" w:themeFillTint="33"/>
                    <w:vAlign w:val="center"/>
                  </w:tcPr>
                  <w:p>
                    <w:pPr>
                      <w:jc w:val="center"/>
                      <w:rPr>
                        <w:b/>
                        <w:sz w:val="22"/>
                        <w:szCs w:val="22"/>
                      </w:rPr>
                    </w:pPr>
                    <w:r>
                      <w:rPr>
                        <w:b/>
                        <w:sz w:val="22"/>
                        <w:szCs w:val="22"/>
                      </w:rPr>
                      <w:t>Galutinė reikšmė</w:t>
                    </w:r>
                  </w:p>
                  <w:p>
                    <w:pPr>
                      <w:jc w:val="center"/>
                      <w:rPr>
                        <w:b/>
                        <w:sz w:val="22"/>
                        <w:szCs w:val="22"/>
                      </w:rPr>
                    </w:pPr>
                    <w:r>
                      <w:rPr>
                        <w:b/>
                        <w:sz w:val="22"/>
                        <w:szCs w:val="22"/>
                      </w:rPr>
                      <w:t>2030 m.</w:t>
                    </w:r>
                  </w:p>
                </w:tc>
                <w:tc>
                  <w:tcPr>
                    <w:tcW w:w="2551" w:type="dxa"/>
                    <w:vMerge/>
                    <w:vAlign w:val="center"/>
                  </w:tcPr>
                  <w:p>
                    <w:pPr>
                      <w:spacing w:line="276" w:lineRule="auto"/>
                      <w:jc w:val="center"/>
                      <w:rPr>
                        <w:b/>
                        <w:sz w:val="22"/>
                        <w:szCs w:val="22"/>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R-12-001-01-02-01-01</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jc w:val="center"/>
                      <w:rPr>
                        <w:sz w:val="18"/>
                        <w:szCs w:val="18"/>
                      </w:rPr>
                    </w:pPr>
                    <w:r>
                      <w:rPr>
                        <w:sz w:val="18"/>
                        <w:szCs w:val="18"/>
                      </w:rPr>
                      <w:t>Lietuvos dalyvių pasirašytų dotacijos sutarčių skaičius programos „Europos horizontas“ finansuojamuose projektuose (kaupiamuoju būdu)</w:t>
                    </w:r>
                  </w:p>
                  <w:p>
                    <w:pPr>
                      <w:jc w:val="center"/>
                      <w:rPr>
                        <w:sz w:val="18"/>
                        <w:szCs w:val="18"/>
                      </w:rPr>
                    </w:pP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100</w:t>
                    </w:r>
                  </w:p>
                </w:tc>
                <w:tc>
                  <w:tcPr>
                    <w:tcW w:w="1134" w:type="dxa"/>
                    <w:shd w:val="clear" w:color="auto" w:fill="FFFFFF" w:themeFill="background1"/>
                  </w:tcPr>
                  <w:p>
                    <w:pPr>
                      <w:ind w:left="-57" w:right="-57"/>
                      <w:jc w:val="center"/>
                      <w:rPr>
                        <w:sz w:val="10"/>
                        <w:szCs w:val="10"/>
                      </w:rPr>
                    </w:pPr>
                    <w:r>
                      <w:rPr>
                        <w:sz w:val="18"/>
                        <w:szCs w:val="18"/>
                      </w:rPr>
                      <w:t>605</w:t>
                    </w:r>
                  </w:p>
                </w:tc>
                <w:tc>
                  <w:tcPr>
                    <w:tcW w:w="2551" w:type="dxa"/>
                    <w:shd w:val="clear" w:color="auto" w:fill="FFFFFF" w:themeFill="background1"/>
                  </w:tcPr>
                  <w:p>
                    <w:pPr>
                      <w:spacing w:line="276" w:lineRule="auto"/>
                      <w:jc w:val="center"/>
                      <w:rPr>
                        <w:sz w:val="10"/>
                        <w:szCs w:val="10"/>
                      </w:rPr>
                    </w:pPr>
                    <w:r>
                      <w:rPr>
                        <w:sz w:val="18"/>
                        <w:szCs w:val="18"/>
                      </w:rPr>
                      <w:t>Valstybės biudžetas (toliau – 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R-12-001-01-02-01-02</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Mokslo ir studijų institucijų pajamų už ūkio subjektų (įskaitant viešąjį sektorių) mokslinių tyrimų ir eksperimentinės plėtros užsakymus suma</w:t>
                    </w:r>
                  </w:p>
                </w:tc>
                <w:tc>
                  <w:tcPr>
                    <w:tcW w:w="1275" w:type="dxa"/>
                  </w:tcPr>
                  <w:p>
                    <w:pPr>
                      <w:spacing w:line="276" w:lineRule="auto"/>
                      <w:jc w:val="center"/>
                      <w:rPr>
                        <w:sz w:val="18"/>
                        <w:szCs w:val="18"/>
                      </w:rPr>
                    </w:pPr>
                    <w:r>
                      <w:rPr>
                        <w:sz w:val="18"/>
                        <w:szCs w:val="18"/>
                      </w:rPr>
                      <w:t>tūkstančiai eurų</w:t>
                    </w:r>
                  </w:p>
                </w:tc>
                <w:tc>
                  <w:tcPr>
                    <w:tcW w:w="1560" w:type="dxa"/>
                  </w:tcPr>
                  <w:p>
                    <w:pPr>
                      <w:spacing w:line="276" w:lineRule="auto"/>
                      <w:jc w:val="center"/>
                      <w:rPr>
                        <w:sz w:val="18"/>
                        <w:szCs w:val="18"/>
                      </w:rPr>
                    </w:pPr>
                    <w:r>
                      <w:rPr>
                        <w:sz w:val="18"/>
                        <w:szCs w:val="18"/>
                      </w:rPr>
                      <w:t xml:space="preserve">13 872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15 500</w:t>
                    </w:r>
                  </w:p>
                </w:tc>
                <w:tc>
                  <w:tcPr>
                    <w:tcW w:w="1134" w:type="dxa"/>
                    <w:shd w:val="clear" w:color="auto" w:fill="FFFFFF" w:themeFill="background1"/>
                  </w:tcPr>
                  <w:p>
                    <w:pPr>
                      <w:spacing w:line="276" w:lineRule="auto"/>
                      <w:jc w:val="center"/>
                      <w:rPr>
                        <w:sz w:val="10"/>
                        <w:szCs w:val="10"/>
                      </w:rPr>
                    </w:pPr>
                    <w:r>
                      <w:rPr>
                        <w:sz w:val="18"/>
                        <w:szCs w:val="18"/>
                      </w:rPr>
                      <w:t>21 000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Publikacijų pagal </w:t>
                    </w:r>
                    <w:r>
                      <w:rPr>
                        <w:i/>
                        <w:iCs/>
                        <w:sz w:val="18"/>
                        <w:szCs w:val="18"/>
                      </w:rPr>
                      <w:t>CA WoS</w:t>
                    </w:r>
                    <w:r>
                      <w:rPr>
                        <w:sz w:val="18"/>
                        <w:szCs w:val="18"/>
                      </w:rPr>
                      <w:t xml:space="preserve"> duomenų bazę skaičius (kaupiamuoju būdu)</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26 380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27 000</w:t>
                    </w:r>
                  </w:p>
                </w:tc>
                <w:tc>
                  <w:tcPr>
                    <w:tcW w:w="1134" w:type="dxa"/>
                    <w:shd w:val="clear" w:color="auto" w:fill="FFFFFF" w:themeFill="background1"/>
                  </w:tcPr>
                  <w:p>
                    <w:pPr>
                      <w:spacing w:line="276" w:lineRule="auto"/>
                      <w:jc w:val="center"/>
                      <w:rPr>
                        <w:sz w:val="10"/>
                        <w:szCs w:val="10"/>
                      </w:rPr>
                    </w:pPr>
                    <w:r>
                      <w:rPr>
                        <w:sz w:val="18"/>
                        <w:szCs w:val="18"/>
                      </w:rPr>
                      <w:t>31 660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Pateiktos patentų paraiškos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184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Investicijų programa (toliau – IP),</w:t>
                    </w:r>
                  </w:p>
                  <w:p>
                    <w:pPr>
                      <w:spacing w:line="276" w:lineRule="auto"/>
                      <w:jc w:val="center"/>
                      <w:rPr>
                        <w:sz w:val="10"/>
                        <w:szCs w:val="10"/>
                      </w:rPr>
                    </w:pPr>
                    <w:r>
                      <w:rPr>
                        <w:color w:val="000000"/>
                        <w:sz w:val="20"/>
                        <w:lang w:eastAsia="lt-LT"/>
                      </w:rPr>
                      <w:t>privačios lėšos</w:t>
                    </w:r>
                  </w:p>
                </w:tc>
              </w:tr>
              <w:tr>
                <w:trPr>
                  <w:jc w:val="center"/>
                </w:trPr>
                <w:tc>
                  <w:tcPr>
                    <w:tcW w:w="2547" w:type="dxa"/>
                    <w:shd w:val="clear" w:color="auto" w:fill="FFFFFF" w:themeFill="background1"/>
                  </w:tcPr>
                  <w:p>
                    <w:pPr>
                      <w:spacing w:line="276" w:lineRule="auto"/>
                      <w:jc w:val="center"/>
                      <w:rPr>
                        <w:sz w:val="10"/>
                        <w:szCs w:val="10"/>
                      </w:rPr>
                    </w:pPr>
                    <w:r>
                      <w:rPr>
                        <w:sz w:val="18"/>
                      </w:rPr>
                      <w:t>R-12-001-01-02-01-05</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Remiamų projektų leidiniai </w:t>
                    </w:r>
                  </w:p>
                </w:tc>
                <w:tc>
                  <w:tcPr>
                    <w:tcW w:w="1275" w:type="dxa"/>
                  </w:tcPr>
                  <w:p>
                    <w:pPr>
                      <w:spacing w:line="276" w:lineRule="auto"/>
                      <w:jc w:val="center"/>
                      <w:rPr>
                        <w:sz w:val="18"/>
                        <w:szCs w:val="18"/>
                      </w:rPr>
                    </w:pPr>
                    <w:r>
                      <w:rPr>
                        <w:sz w:val="18"/>
                        <w:szCs w:val="18"/>
                      </w:rPr>
                      <w:t>leidiniai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0"/>
                        <w:lang w:eastAsia="lt-LT"/>
                      </w:rPr>
                    </w:pPr>
                    <w:r>
                      <w:rPr>
                        <w:color w:val="000000"/>
                        <w:sz w:val="20"/>
                        <w:lang w:eastAsia="lt-LT"/>
                      </w:rPr>
                      <w:t>privačios lėšos</w:t>
                    </w:r>
                  </w:p>
                  <w:p>
                    <w:pPr>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R-12-001-01-02-01-06</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MTEP veiklos produktas </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36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R-12-001-01-02-01-07</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Produktų ar procesų inovacijas diegiančios mažos ir vidutinės įmonės </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65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R-12-001-01-02-01-08</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Investicijas gavusių mokslo ir studijų institucijų gautų MTEP užsakymų skaičius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225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P-12-001-01-02-01-01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jc w:val="center"/>
                      <w:rPr>
                        <w:sz w:val="16"/>
                        <w:szCs w:val="16"/>
                      </w:rPr>
                    </w:pPr>
                    <w:r>
                      <w:rPr>
                        <w:sz w:val="18"/>
                        <w:szCs w:val="18"/>
                      </w:rPr>
                      <w:t>Paramą gavusiose mokslinių tyrimų įstaigose dirbantys mokslininkai</w:t>
                    </w:r>
                  </w:p>
                </w:tc>
                <w:tc>
                  <w:tcPr>
                    <w:tcW w:w="1275" w:type="dxa"/>
                  </w:tcPr>
                  <w:p>
                    <w:pPr>
                      <w:spacing w:line="276" w:lineRule="auto"/>
                      <w:jc w:val="center"/>
                      <w:rPr>
                        <w:sz w:val="10"/>
                        <w:szCs w:val="10"/>
                      </w:rPr>
                    </w:pPr>
                    <w:r>
                      <w:rPr>
                        <w:sz w:val="18"/>
                        <w:szCs w:val="18"/>
                      </w:rPr>
                      <w:t>vienų metų etato ekvivalentas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128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P-12-001-01-02-01-02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Bendruose mokslinių tyrimų projektuose dalyvaujančios mokslinių tyrimų organizacijos</w:t>
                    </w:r>
                  </w:p>
                </w:tc>
                <w:tc>
                  <w:tcPr>
                    <w:tcW w:w="1275" w:type="dxa"/>
                  </w:tcPr>
                  <w:p>
                    <w:pPr>
                      <w:spacing w:line="276" w:lineRule="auto"/>
                      <w:jc w:val="center"/>
                      <w:rPr>
                        <w:sz w:val="10"/>
                        <w:szCs w:val="10"/>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P-12-001-01-02-01-03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Nominalioji mokslinių tyrimų ir inovacijų įrangos vertė</w:t>
                    </w:r>
                  </w:p>
                </w:tc>
                <w:tc>
                  <w:tcPr>
                    <w:tcW w:w="1275" w:type="dxa"/>
                  </w:tcPr>
                  <w:p>
                    <w:pPr>
                      <w:spacing w:line="276" w:lineRule="auto"/>
                      <w:jc w:val="center"/>
                      <w:rPr>
                        <w:sz w:val="10"/>
                        <w:szCs w:val="10"/>
                      </w:rPr>
                    </w:pPr>
                    <w:r>
                      <w:rPr>
                        <w:sz w:val="18"/>
                        <w:szCs w:val="18"/>
                      </w:rPr>
                      <w:t>eurai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3 875 312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38 753 120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P-12-001-01-02-01-04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 mokslo ir studijų institucijomis bendradarbiaujančios įmonės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150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Investicijas gavusių mokslo ir studijų institucijų skaičius</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P-12-001-01-02-01-06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Paramą gavusios įmonės </w:t>
                    </w:r>
                    <w:r>
                      <w:rPr>
                        <w:color w:val="000000"/>
                        <w:sz w:val="18"/>
                        <w:szCs w:val="18"/>
                        <w:shd w:val="clear" w:color="auto" w:fill="FFFFFF"/>
                      </w:rPr>
                      <w:t>(iš kurių: labai mažos, mažosios, vidutinės ir didelės)</w:t>
                    </w:r>
                  </w:p>
                </w:tc>
                <w:tc>
                  <w:tcPr>
                    <w:tcW w:w="1275" w:type="dxa"/>
                  </w:tcPr>
                  <w:p>
                    <w:pPr>
                      <w:spacing w:line="276" w:lineRule="auto"/>
                      <w:jc w:val="center"/>
                      <w:rPr>
                        <w:sz w:val="18"/>
                        <w:szCs w:val="18"/>
                      </w:rPr>
                    </w:pPr>
                    <w:r>
                      <w:rPr>
                        <w:sz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ind w:firstLine="48"/>
                      <w:jc w:val="center"/>
                      <w:rPr>
                        <w:sz w:val="18"/>
                      </w:rPr>
                    </w:pPr>
                    <w:r>
                      <w:rPr>
                        <w:sz w:val="18"/>
                      </w:rPr>
                      <w:t xml:space="preserve">P-12-001-01-02-01-07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labai mažos)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mažosios)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P-12-001-01-02-01-09</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vidutinės)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didelės)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P-12-001-01-02-01-11</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Nefinansinę paramą gavusios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(2024)</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P-12-001-01-02-01-12</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Paramą gavusios naujos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P-12-001-01-02-01-13</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Programos „Europos horizontas“ įgyvendinimo spartinimo veiksmų plano rengimas ir priėmimas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0"/>
                        <w:szCs w:val="10"/>
                      </w:rPr>
                    </w:pPr>
                    <w:r>
                      <w:rPr>
                        <w:sz w:val="18"/>
                        <w:szCs w:val="18"/>
                      </w:rPr>
                      <w:t>n/a (2021)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0"/>
                        <w:szCs w:val="10"/>
                      </w:rPr>
                    </w:pPr>
                    <w:r>
                      <w:rPr>
                        <w:sz w:val="18"/>
                        <w:szCs w:val="18"/>
                      </w:rPr>
                      <w:t>1 (2022 II ketv.)</w:t>
                    </w:r>
                  </w:p>
                </w:tc>
                <w:tc>
                  <w:tcPr>
                    <w:tcW w:w="2551" w:type="dxa"/>
                    <w:shd w:val="clear" w:color="auto" w:fill="FFFFFF" w:themeFill="background1"/>
                  </w:tcPr>
                  <w:p>
                    <w:pPr>
                      <w:spacing w:line="276" w:lineRule="auto"/>
                      <w:jc w:val="center"/>
                      <w:rPr>
                        <w:sz w:val="10"/>
                        <w:szCs w:val="10"/>
                      </w:rPr>
                    </w:pPr>
                    <w:r>
                      <w:rPr>
                        <w:sz w:val="18"/>
                        <w:szCs w:val="18"/>
                      </w:rPr>
                      <w:t>Ekonomikos gaivinimo ir atsparumo didinimo planas (toliau – 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P-12-001-01-02-01-14</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Finansuoti projektai ir konsultavimo paslaugos mokslo ir studijų institucijų ir mažų ir vidutinių įmonių potencialiems  programos „Europos horizontas“ pareiškėjams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200 (2025 I ketv.)</w:t>
                    </w:r>
                  </w:p>
                </w:tc>
                <w:tc>
                  <w:tcPr>
                    <w:tcW w:w="1134" w:type="dxa"/>
                    <w:shd w:val="clear" w:color="auto" w:fill="FFFFFF" w:themeFill="background1"/>
                  </w:tcPr>
                  <w:p>
                    <w:pPr>
                      <w:spacing w:line="276" w:lineRule="auto"/>
                      <w:jc w:val="center"/>
                      <w:rPr>
                        <w:sz w:val="18"/>
                        <w:szCs w:val="18"/>
                      </w:rPr>
                    </w:pPr>
                    <w:r>
                      <w:rPr>
                        <w:sz w:val="18"/>
                        <w:szCs w:val="18"/>
                      </w:rPr>
                      <w:t>477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Sukurtas mokslo ir inovacijų srities pareigūnų veiklos modelis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n/a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1 (2022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Įsteigtos mokslo pareigūnų ir nacionalinių kontaktinių asmenų (NCP) pozicijos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30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P-12-001-01-02-01-17</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gavusiose mokslinių tyrimų įstaigose dirbantys mokslininkai</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P-12-001-01-02-01-18</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Paramą gavusios įmonės </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P-12-001-01-02-01-19</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Mažos ir labai mažos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P-12-001-01-02-01-20</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Vidutinės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P-12-001-01-02-01-21</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Didelės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bl>
            <w:sdt>
              <w:sdtPr>
                <w:alias w:val="poskyris"/>
                <w:tag w:val="part_29f43474d38b4b2ca2850b5878ee0865"/>
                <w:lock w:val="sdtLocked"/>
                <w:richText/>
              </w:sdtPr>
              <w:sdtContent>
                <w:p>
                  <w:pPr>
                    <w:ind w:firstLine="567"/>
                    <w:jc w:val="both"/>
                    <w:rPr>
                      <w:b/>
                      <w:sz w:val="20"/>
                      <w:szCs w:val="18"/>
                    </w:rPr>
                  </w:pPr>
                  <w:sdt>
                    <w:sdtPr>
                      <w:alias w:val="Pavadinimas"/>
                      <w:tag w:val="title_29f43474d38b4b2ca2850b5878ee0865"/>
                      <w:lock w:val="sdtLocked"/>
                      <w:richText/>
                    </w:sdtPr>
                    <w:sdtContent>
                      <w:r>
                        <w:rPr>
                          <w:b/>
                          <w:sz w:val="20"/>
                          <w:szCs w:val="18"/>
                        </w:rPr>
                        <w:t>Pastaba.</w:t>
                      </w:r>
                    </w:sdtContent>
                  </w:sdt>
                </w:p>
                <w:p>
                  <w:pPr>
                    <w:ind w:firstLine="567"/>
                    <w:jc w:val="both"/>
                    <w:rPr>
                      <w:b/>
                      <w:szCs w:val="22"/>
                    </w:rPr>
                  </w:pPr>
                  <w:r>
                    <w:rPr>
                      <w:sz w:val="20"/>
                      <w:szCs w:val="18"/>
                    </w:rPr>
                    <w:t xml:space="preserve">Rodikliai - Paramą gavusiose mokslinių tyrimų įstaigose dirbantys mokslininkai, Paramą gavusios įmonės iš jų: Mažos ir labai mažos, Vidutinės, Didelės  yra Ekonomikos gaivinimo ir atsparumo didinimo plano „Naujos kartos Lietuva“ bendrieji stebėsenos rodiklis, kurie neturi siektinų reikšmių. Duomenys bus renkami iš susijusių reformų ir investicijų rodiklių. Ataskaitinis laikotarpis iki 2027 m. vasario mėn..</w:t>
                  </w:r>
                </w:p>
                <w:p>
                  <w:pPr>
                    <w:ind w:firstLine="567"/>
                    <w:jc w:val="both"/>
                    <w:rPr>
                      <w:b/>
                      <w:sz w:val="22"/>
                      <w:szCs w:val="22"/>
                    </w:rPr>
                  </w:pPr>
                </w:p>
              </w:sdtContent>
            </w:sdt>
            <w:sdt>
              <w:sdtPr>
                <w:alias w:val="poskyris"/>
                <w:tag w:val="part_035cb37b46f7493398fad660f3be91ad"/>
                <w:lock w:val="sdtLocked"/>
                <w:richText/>
              </w:sdtPr>
              <w:sdtContent>
                <w:p>
                  <w:pPr>
                    <w:ind w:firstLine="567"/>
                    <w:jc w:val="both"/>
                    <w:rPr>
                      <w:b/>
                      <w:sz w:val="18"/>
                      <w:szCs w:val="18"/>
                    </w:rPr>
                  </w:pPr>
                  <w:sdt>
                    <w:sdtPr>
                      <w:alias w:val="Pavadinimas"/>
                      <w:tag w:val="title_035cb37b46f7493398fad660f3be91ad"/>
                      <w:lock w:val="sdtLocked"/>
                      <w:richText/>
                    </w:sdtPr>
                    <w:sdtContent>
                      <w:r>
                        <w:rPr>
                          <w:b/>
                          <w:sz w:val="18"/>
                          <w:szCs w:val="18"/>
                        </w:rPr>
                        <w:t>Paaiškinimai:</w:t>
                      </w:r>
                    </w:sdtContent>
                  </w:sdt>
                </w:p>
                <w:sdt>
                  <w:sdtPr>
                    <w:alias w:val="1 p."/>
                    <w:tag w:val="part_a6d268e38118479f8ecdd02f4e810d42"/>
                    <w:lock w:val="sdtLocked"/>
                    <w:richText/>
                  </w:sdtPr>
                  <w:sdtContent>
                    <w:p>
                      <w:pPr>
                        <w:ind w:firstLine="567"/>
                        <w:jc w:val="both"/>
                        <w:rPr>
                          <w:sz w:val="18"/>
                          <w:szCs w:val="18"/>
                        </w:rPr>
                      </w:pPr>
                      <w:sdt>
                        <w:sdtPr>
                          <w:alias w:val="Numeris"/>
                          <w:tag w:val="nr_a6d268e38118479f8ecdd02f4e810d42"/>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a2c9d8ac43741f48f752778bdc1acd8"/>
                    <w:lock w:val="sdtLocked"/>
                    <w:richText/>
                  </w:sdtPr>
                  <w:sdtContent>
                    <w:p>
                      <w:pPr>
                        <w:ind w:firstLine="567"/>
                        <w:jc w:val="both"/>
                        <w:rPr>
                          <w:sz w:val="18"/>
                          <w:szCs w:val="18"/>
                        </w:rPr>
                      </w:pPr>
                      <w:sdt>
                        <w:sdtPr>
                          <w:alias w:val="Numeris"/>
                          <w:tag w:val="nr_ca2c9d8ac43741f48f752778bdc1acd8"/>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b93ec03fb5c848419c5350b7d3cd45d1"/>
                    <w:lock w:val="sdtLocked"/>
                    <w:richText/>
                  </w:sdtPr>
                  <w:sdtContent>
                    <w:p>
                      <w:pPr>
                        <w:ind w:firstLine="567"/>
                        <w:jc w:val="both"/>
                        <w:rPr>
                          <w:sz w:val="18"/>
                          <w:szCs w:val="18"/>
                        </w:rPr>
                      </w:pPr>
                      <w:sdt>
                        <w:sdtPr>
                          <w:alias w:val="Numeris"/>
                          <w:tag w:val="nr_b93ec03fb5c848419c5350b7d3cd45d1"/>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1507d032b58456db325b27ec01b3546"/>
                    <w:lock w:val="sdtLocked"/>
                    <w:richText/>
                  </w:sdtPr>
                  <w:sdtContent>
                    <w:p>
                      <w:pPr>
                        <w:ind w:firstLine="567"/>
                        <w:jc w:val="both"/>
                        <w:rPr>
                          <w:sz w:val="18"/>
                          <w:szCs w:val="18"/>
                        </w:rPr>
                      </w:pPr>
                      <w:sdt>
                        <w:sdtPr>
                          <w:alias w:val="Numeris"/>
                          <w:tag w:val="nr_81507d032b58456db325b27ec01b3546"/>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e7f9a915605c442d89dcec2cca77681c"/>
                    <w:lock w:val="sdtLocked"/>
                    <w:richText/>
                  </w:sdtPr>
                  <w:sdtContent>
                    <w:p>
                      <w:pPr>
                        <w:ind w:firstLine="567"/>
                        <w:jc w:val="both"/>
                        <w:rPr>
                          <w:sz w:val="18"/>
                          <w:szCs w:val="18"/>
                        </w:rPr>
                      </w:pPr>
                      <w:sdt>
                        <w:sdtPr>
                          <w:alias w:val="Numeris"/>
                          <w:tag w:val="nr_e7f9a915605c442d89dcec2cca77681c"/>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ind w:left="-426" w:firstLine="426"/>
                        <w:rPr>
                          <w:b/>
                          <w:sz w:val="22"/>
                          <w:szCs w:val="22"/>
                        </w:rPr>
                      </w:pPr>
                    </w:p>
                  </w:sdtContent>
                </w:sdt>
              </w:sdtContent>
            </w:sdt>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ba88408f54d546fcafde160488c0d7fa"/>
            <w:lock w:val="sdtLocked"/>
            <w:richText/>
          </w:sdtPr>
          <w:sdtContent>
            <w:p>
              <w:pPr>
                <w:ind w:firstLine="851"/>
                <w:jc w:val="center"/>
                <w:rPr>
                  <w:b/>
                  <w:bCs/>
                </w:rPr>
              </w:pPr>
              <w:sdt>
                <w:sdtPr>
                  <w:alias w:val="Numeris"/>
                  <w:tag w:val="nr_ba88408f54d546fcafde160488c0d7fa"/>
                  <w:lock w:val="sdtLocked"/>
                  <w:richText/>
                </w:sdtPr>
                <w:sdtContent>
                  <w:r>
                    <w:rPr>
                      <w:b/>
                      <w:bCs/>
                    </w:rPr>
                    <w:t>III</w:t>
                  </w:r>
                </w:sdtContent>
              </w:sdt>
              <w:r>
                <w:rPr>
                  <w:b/>
                  <w:bCs/>
                </w:rPr>
                <w:t xml:space="preserve"> SKYRIUS</w:t>
              </w:r>
            </w:p>
            <w:p>
              <w:pPr>
                <w:rPr>
                  <w:sz w:val="2"/>
                  <w:szCs w:val="2"/>
                </w:rPr>
              </w:pPr>
            </w:p>
            <w:p>
              <w:pPr>
                <w:ind w:firstLine="851"/>
                <w:jc w:val="center"/>
                <w:rPr>
                  <w:b/>
                  <w:bCs/>
                </w:rPr>
              </w:pPr>
              <w:sdt>
                <w:sdtPr>
                  <w:alias w:val="Pavadinimas"/>
                  <w:tag w:val="title_ba88408f54d546fcafde160488c0d7f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2707"/>
                </w:trPr>
                <w:tc>
                  <w:tcPr>
                    <w:tcW w:w="1135" w:type="dxa"/>
                  </w:tcPr>
                  <w:p>
                    <w:pPr>
                      <w:ind w:left="-57" w:right="-57"/>
                      <w:rPr>
                        <w:i/>
                        <w:sz w:val="20"/>
                      </w:rPr>
                    </w:pPr>
                    <w:r>
                      <w:rPr>
                        <w:sz w:val="18"/>
                        <w:szCs w:val="18"/>
                      </w:rPr>
                      <w:t>1. MTEP vystymo paketas</w:t>
                    </w:r>
                  </w:p>
                </w:tc>
                <w:tc>
                  <w:tcPr>
                    <w:tcW w:w="709" w:type="dxa"/>
                  </w:tcPr>
                  <w:p>
                    <w:pPr>
                      <w:ind w:left="-57" w:right="-57"/>
                      <w:rPr>
                        <w:sz w:val="20"/>
                      </w:rPr>
                    </w:pP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 atžalinės įmonės</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r>
                      <w:rPr>
                        <w:sz w:val="18"/>
                        <w:szCs w:val="18"/>
                      </w:rPr>
                      <w:t>8 712</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firstLine="48"/>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b/>
                        <w:bCs/>
                        <w:sz w:val="18"/>
                        <w:szCs w:val="18"/>
                      </w:rPr>
                    </w:pPr>
                    <w:r>
                      <w:rPr>
                        <w:b/>
                        <w:bCs/>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P(2.2.1, 2.2.2), K(2.2.3)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ab077803a87e42af9a1825f5d9a793c9"/>
                <w:lock w:val="sdtLocked"/>
                <w:richText/>
              </w:sdtPr>
              <w:sdtContent>
                <w:p>
                  <w:pPr>
                    <w:ind w:firstLine="284"/>
                    <w:jc w:val="both"/>
                    <w:rPr>
                      <w:sz w:val="20"/>
                      <w:highlight w:val="yellow"/>
                    </w:rPr>
                  </w:pPr>
                  <w:sdt>
                    <w:sdtPr>
                      <w:alias w:val="Pavadinimas"/>
                      <w:tag w:val="title_ab077803a87e42af9a1825f5d9a793c9"/>
                      <w:lock w:val="sdtLocked"/>
                      <w:richText/>
                    </w:sdtPr>
                    <w:sdtContent>
                      <w:r>
                        <w:rPr>
                          <w:b/>
                          <w:bCs/>
                          <w:sz w:val="20"/>
                        </w:rPr>
                        <w:t>Pastaba.</w:t>
                      </w:r>
                    </w:sdtContent>
                  </w:sdt>
                </w:p>
                <w:p>
                  <w:pPr>
                    <w:ind w:firstLine="284"/>
                    <w:jc w:val="both"/>
                    <w:rPr>
                      <w:sz w:val="20"/>
                      <w:szCs w:val="18"/>
                    </w:rPr>
                  </w:pPr>
                  <w:r>
                    <w:rPr>
                      <w:sz w:val="20"/>
                      <w:szCs w:val="18"/>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284"/>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284"/>
                    <w:jc w:val="both"/>
                    <w:rPr>
                      <w:sz w:val="20"/>
                      <w:szCs w:val="18"/>
                      <w:highlight w:val="yellow"/>
                    </w:rPr>
                  </w:pPr>
                  <w:r>
                    <w:rPr>
                      <w:sz w:val="20"/>
                      <w:szCs w:val="18"/>
                    </w:rPr>
                    <w:t xml:space="preserve">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284"/>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284"/>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284"/>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sdtContent>
            </w:sdt>
            <w:sdt>
              <w:sdtPr>
                <w:alias w:val="poskyris"/>
                <w:tag w:val="part_b068cd381abc443186fe0fdefec027ae"/>
                <w:lock w:val="sdtLocked"/>
                <w:richText/>
              </w:sdtPr>
              <w:sdtContent>
                <w:p>
                  <w:pPr>
                    <w:ind w:firstLine="284"/>
                    <w:jc w:val="both"/>
                    <w:rPr>
                      <w:b/>
                      <w:sz w:val="18"/>
                      <w:szCs w:val="18"/>
                    </w:rPr>
                  </w:pPr>
                  <w:sdt>
                    <w:sdtPr>
                      <w:alias w:val="Pavadinimas"/>
                      <w:tag w:val="title_b068cd381abc443186fe0fdefec027ae"/>
                      <w:lock w:val="sdtLocked"/>
                      <w:richText/>
                    </w:sdtPr>
                    <w:sdtContent>
                      <w:r>
                        <w:rPr>
                          <w:b/>
                          <w:sz w:val="18"/>
                          <w:szCs w:val="18"/>
                        </w:rPr>
                        <w:t>Paaiškinimai:</w:t>
                      </w:r>
                    </w:sdtContent>
                  </w:sdt>
                </w:p>
                <w:sdt>
                  <w:sdtPr>
                    <w:alias w:val="1 p."/>
                    <w:tag w:val="part_8c9e622658ae4740a0ff38e8f80855c7"/>
                    <w:lock w:val="sdtLocked"/>
                    <w:richText/>
                  </w:sdtPr>
                  <w:sdtContent>
                    <w:p>
                      <w:pPr>
                        <w:ind w:firstLine="284"/>
                        <w:jc w:val="both"/>
                        <w:rPr>
                          <w:sz w:val="18"/>
                          <w:szCs w:val="18"/>
                        </w:rPr>
                      </w:pPr>
                      <w:sdt>
                        <w:sdtPr>
                          <w:alias w:val="Numeris"/>
                          <w:tag w:val="nr_8c9e622658ae4740a0ff38e8f80855c7"/>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08a6784e8d3b427c8986f2d8dfff9e40"/>
                    <w:lock w:val="sdtLocked"/>
                    <w:richText/>
                  </w:sdtPr>
                  <w:sdtContent>
                    <w:p>
                      <w:pPr>
                        <w:ind w:firstLine="284"/>
                        <w:jc w:val="both"/>
                        <w:rPr>
                          <w:sz w:val="18"/>
                          <w:szCs w:val="18"/>
                        </w:rPr>
                      </w:pPr>
                      <w:sdt>
                        <w:sdtPr>
                          <w:alias w:val="Numeris"/>
                          <w:tag w:val="nr_08a6784e8d3b427c8986f2d8dfff9e4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51e9f57e98b94ef0b2ea1f2855d2964b"/>
                    <w:lock w:val="sdtLocked"/>
                    <w:richText/>
                  </w:sdtPr>
                  <w:sdtContent>
                    <w:p>
                      <w:pPr>
                        <w:ind w:firstLine="284"/>
                        <w:jc w:val="both"/>
                        <w:rPr>
                          <w:sz w:val="18"/>
                          <w:szCs w:val="18"/>
                        </w:rPr>
                      </w:pPr>
                      <w:sdt>
                        <w:sdtPr>
                          <w:alias w:val="Numeris"/>
                          <w:tag w:val="nr_51e9f57e98b94ef0b2ea1f2855d2964b"/>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1e1e404c6a7642f6b684b64d709ec8fd"/>
                    <w:lock w:val="sdtLocked"/>
                    <w:richText/>
                  </w:sdtPr>
                  <w:sdtContent>
                    <w:p>
                      <w:pPr>
                        <w:ind w:firstLine="284"/>
                        <w:jc w:val="both"/>
                        <w:rPr>
                          <w:sz w:val="18"/>
                          <w:szCs w:val="18"/>
                        </w:rPr>
                      </w:pPr>
                      <w:sdt>
                        <w:sdtPr>
                          <w:alias w:val="Numeris"/>
                          <w:tag w:val="nr_1e1e404c6a7642f6b684b64d709ec8fd"/>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2d2d2b3beb924c02b33e7fb816e00a97"/>
                    <w:lock w:val="sdtLocked"/>
                    <w:richText/>
                  </w:sdtPr>
                  <w:sdtContent>
                    <w:p>
                      <w:pPr>
                        <w:ind w:firstLine="284"/>
                        <w:jc w:val="both"/>
                        <w:rPr>
                          <w:sz w:val="18"/>
                          <w:szCs w:val="18"/>
                        </w:rPr>
                      </w:pPr>
                      <w:sdt>
                        <w:sdtPr>
                          <w:alias w:val="Numeris"/>
                          <w:tag w:val="nr_2d2d2b3beb924c02b33e7fb816e00a97"/>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ada9f1a77d6a432fb2fd0ee0adc0ca98"/>
                    <w:lock w:val="sdtLocked"/>
                    <w:richText/>
                  </w:sdtPr>
                  <w:sdtContent>
                    <w:p>
                      <w:pPr>
                        <w:ind w:firstLine="284"/>
                        <w:jc w:val="both"/>
                        <w:rPr>
                          <w:sz w:val="18"/>
                          <w:szCs w:val="18"/>
                        </w:rPr>
                      </w:pPr>
                      <w:sdt>
                        <w:sdtPr>
                          <w:alias w:val="Numeris"/>
                          <w:tag w:val="nr_ada9f1a77d6a432fb2fd0ee0adc0ca9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69239eb18fb64475a4c87c4f09ef2adb"/>
                    <w:lock w:val="sdtLocked"/>
                    <w:richText/>
                  </w:sdtPr>
                  <w:sdtContent>
                    <w:p>
                      <w:pPr>
                        <w:ind w:firstLine="284"/>
                        <w:jc w:val="both"/>
                        <w:rPr>
                          <w:sz w:val="18"/>
                          <w:szCs w:val="18"/>
                        </w:rPr>
                      </w:pPr>
                      <w:sdt>
                        <w:sdtPr>
                          <w:alias w:val="Numeris"/>
                          <w:tag w:val="nr_69239eb18fb64475a4c87c4f09ef2ad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b6f9d65153d0443e9a0d4909706d02b8"/>
                    <w:lock w:val="sdtLocked"/>
                    <w:richText/>
                  </w:sdtPr>
                  <w:sdtContent>
                    <w:p>
                      <w:pPr>
                        <w:ind w:firstLine="284"/>
                        <w:jc w:val="both"/>
                        <w:rPr>
                          <w:iCs/>
                          <w:sz w:val="18"/>
                          <w:szCs w:val="18"/>
                        </w:rPr>
                      </w:pPr>
                      <w:sdt>
                        <w:sdtPr>
                          <w:alias w:val="Numeris"/>
                          <w:tag w:val="nr_b6f9d65153d0443e9a0d4909706d02b8"/>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42a95f767f664f46b69aa5de1e6442c6"/>
                    <w:lock w:val="sdtLocked"/>
                    <w:richText/>
                  </w:sdtPr>
                  <w:sdtContent>
                    <w:p>
                      <w:pPr>
                        <w:ind w:firstLine="284"/>
                        <w:jc w:val="both"/>
                        <w:rPr>
                          <w:sz w:val="18"/>
                          <w:szCs w:val="18"/>
                        </w:rPr>
                      </w:pPr>
                      <w:sdt>
                        <w:sdtPr>
                          <w:alias w:val="Numeris"/>
                          <w:tag w:val="nr_42a95f767f664f46b69aa5de1e6442c6"/>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88e2ab6e3f1d4e1386924a523c5c7a68"/>
                    <w:lock w:val="sdtLocked"/>
                    <w:richText/>
                  </w:sdtPr>
                  <w:sdtContent>
                    <w:p>
                      <w:pPr>
                        <w:ind w:firstLine="284"/>
                        <w:jc w:val="both"/>
                        <w:rPr>
                          <w:sz w:val="18"/>
                          <w:szCs w:val="18"/>
                        </w:rPr>
                      </w:pPr>
                      <w:sdt>
                        <w:sdtPr>
                          <w:alias w:val="Numeris"/>
                          <w:tag w:val="nr_88e2ab6e3f1d4e1386924a523c5c7a68"/>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e629e70741744c2f9cffe7c604a533b0"/>
                    <w:lock w:val="sdtLocked"/>
                    <w:richText/>
                  </w:sdtPr>
                  <w:sdtContent>
                    <w:p>
                      <w:pPr>
                        <w:ind w:firstLine="284"/>
                        <w:jc w:val="both"/>
                        <w:rPr>
                          <w:sz w:val="18"/>
                          <w:szCs w:val="18"/>
                        </w:rPr>
                      </w:pPr>
                      <w:sdt>
                        <w:sdtPr>
                          <w:alias w:val="Numeris"/>
                          <w:tag w:val="nr_e629e70741744c2f9cffe7c604a533b0"/>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293db1d7bb4d44cca4b481df0c195c29"/>
                    <w:lock w:val="sdtLocked"/>
                    <w:richText/>
                  </w:sdtPr>
                  <w:sdtContent>
                    <w:p>
                      <w:pPr>
                        <w:ind w:firstLine="284"/>
                        <w:jc w:val="both"/>
                        <w:rPr>
                          <w:bCs/>
                          <w:sz w:val="22"/>
                          <w:szCs w:val="22"/>
                        </w:rPr>
                      </w:pPr>
                      <w:sdt>
                        <w:sdtPr>
                          <w:alias w:val="Numeris"/>
                          <w:tag w:val="nr_293db1d7bb4d44cca4b481df0c195c2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85.xml"/>
  <Relationship Id="rId2" Type="http://schemas.openxmlformats.org/officeDocument/2006/relationships/header" Target="header38.xml"/>
  <Relationship Id="rId20" Type="http://schemas.openxmlformats.org/officeDocument/2006/relationships/header" Target="header86.xml"/>
  <Relationship Id="rId21" Type="http://schemas.openxmlformats.org/officeDocument/2006/relationships/footer" Target="footer85.xml"/>
  <Relationship Id="rId22" Type="http://schemas.openxmlformats.org/officeDocument/2006/relationships/footer" Target="footer86.xml"/>
  <Relationship Id="rId23" Type="http://schemas.openxmlformats.org/officeDocument/2006/relationships/header" Target="header87.xml"/>
  <Relationship Id="rId24" Type="http://schemas.openxmlformats.org/officeDocument/2006/relationships/footer" Target="footer87.xml"/>
  <Relationship Id="rId25" Type="http://schemas.openxmlformats.org/officeDocument/2006/relationships/customXml" Target="../customXml/item4.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a6a06621a0464ad5b24f3eebe4a7d1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9f8290f50eae42afa7e3510d001595d5">
      <Part Type="poskyris" Title="Pastaba." DocPartId="5d5862df87794cff9ee91cf2c993d0b5" PartId="29f43474d38b4b2ca2850b5878ee0865"/>
      <Part Type="poskyris" Title="Paaiškinimai:" DocPartId="1a91b5926a7244598e88fc85920b24cd" PartId="035cb37b46f7493398fad660f3be91ad">
        <Part Type="punktas" Nr="1" Abbr="1 p." DocPartId="15506526a66a408589159782d0efab61" PartId="a6d268e38118479f8ecdd02f4e810d42"/>
        <Part Type="punktas" Nr="2" Abbr="2 p." DocPartId="5a182afded354f04b8f946fc80d6ff53" PartId="ca2c9d8ac43741f48f752778bdc1acd8"/>
        <Part Type="punktas" Nr="3" Abbr="3 p." DocPartId="5faaa3f2af6242908fde5308ced6973a" PartId="b93ec03fb5c848419c5350b7d3cd45d1"/>
        <Part Type="punktas" Nr="4" Abbr="4 p." DocPartId="7917c781f46f4a22b7ce5767c409e5ec" PartId="81507d032b58456db325b27ec01b3546"/>
        <Part Type="punktas" Nr="5" Abbr="5 p." DocPartId="046aa5cd8db7493abe3f6d3b5128b63c" PartId="e7f9a915605c442d89dcec2cca77681c"/>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ba88408f54d546fcafde160488c0d7fa">
      <Part Type="poskyris" Title="Pastaba." DocPartId="7031e72a394944d1af5322bb0d868fa9" PartId="ab077803a87e42af9a1825f5d9a793c9"/>
      <Part Type="poskyris" Title="Paaiškinimai:" DocPartId="731cd216eed345568ac7a155fee2d56e" PartId="b068cd381abc443186fe0fdefec027ae">
        <Part Type="punktas" Nr="1" Abbr="1 p." DocPartId="9851f0fb001f4f11a0c1c3c83b12defc" PartId="8c9e622658ae4740a0ff38e8f80855c7"/>
        <Part Type="punktas" Nr="2" Abbr="2 p." DocPartId="1880cd0403164533be0970e783b0dbc5" PartId="08a6784e8d3b427c8986f2d8dfff9e40"/>
        <Part Type="punktas" Nr="3" Abbr="3 p." DocPartId="8b0a59af3bb24347bfac2a2028cc09c7" PartId="51e9f57e98b94ef0b2ea1f2855d2964b"/>
        <Part Type="punktas" Nr="4" Abbr="4 p." DocPartId="40599ea6e69849e09666ac6f5f72ccdb" PartId="1e1e404c6a7642f6b684b64d709ec8fd"/>
        <Part Type="punktas" Nr="5" Abbr="5 p." DocPartId="57c34803dad1456fb2f38459266e885a" PartId="2d2d2b3beb924c02b33e7fb816e00a97"/>
        <Part Type="punktas" Nr="6" Abbr="6 p." DocPartId="bb5d611d669f44088e4ce517a54d38ca" PartId="ada9f1a77d6a432fb2fd0ee0adc0ca98"/>
        <Part Type="punktas" Nr="7" Abbr="7 p." DocPartId="e19f2a81c95b4119bd2a8762d220c1a0" PartId="69239eb18fb64475a4c87c4f09ef2adb"/>
        <Part Type="punktas" Nr="8" Abbr="8 p." DocPartId="06a1ac80ea5043febc10b295c13bf5b9" PartId="b6f9d65153d0443e9a0d4909706d02b8"/>
        <Part Type="punktas" Nr="9" Abbr="9 p." DocPartId="729931c793fe49a2ae457f934db0d161" PartId="42a95f767f664f46b69aa5de1e6442c6"/>
        <Part Type="punktas" Nr="10" Abbr="10 p." DocPartId="ac4e1689e8e14cd2bf92079084dde7c6" PartId="88e2ab6e3f1d4e1386924a523c5c7a68"/>
        <Part Type="punktas" Nr="11" Abbr="11 p." DocPartId="6f32b2a1003940f28fbfb4d1c107b446" PartId="e629e70741744c2f9cffe7c604a533b0"/>
        <Part Type="punktas" Nr="12" Abbr="12 p." DocPartId="9f4acb27eccd462fbdb6f96f0fabee22" PartId="293db1d7bb4d44cca4b481df0c195c29"/>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75206DA-8BCE-40A2-87C1-A88FE4718B44}">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6676113F-968C-4287-B2CA-0F35C6CF71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23</Pages>
  <Words>4835</Words>
  <Characters>31456</Characters>
  <Application>Microsoft Office Word</Application>
  <DocSecurity>0</DocSecurity>
  <Lines>262</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36219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2023-02-09T05:36:00Z</dcterms:modified>
  <revision>5</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