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a47d8a356f14b92b652045843265b65"/>
        <w:lock w:val="sdtLocked"/>
        <w:richText/>
      </w:sdtPr>
      <w:sdtContent>
        <w:p>
          <w:pPr>
            <w:jc w:val="both"/>
            <w:rPr>
              <w:rFonts w:ascii="Times New Roman" w:hAnsi="Times New Roman"/>
            </w:rPr>
          </w:pPr>
          <w:r>
            <w:rPr>
              <w:rFonts w:ascii="Times New Roman" w:hAnsi="Times New Roman"/>
              <w:b/>
              <w:i/>
            </w:rPr>
            <w:t>Suvestinė redakcija nuo 2026-04-04 iki 2026-04-08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2022-08-17, i. k. 2022-17227</w:t>
          </w:r>
        </w:p>
        <w:p>
          <w:pPr>
            <w:jc w:val="both"/>
            <w:rPr>
              <w:rFonts w:ascii="Times New Roman" w:hAnsi="Times New Roman"/>
              <w:sz w:val="20"/>
            </w:rPr>
          </w:pPr>
        </w:p>
        <w:p>
          <w:pPr>
            <w:tabs>
              <w:tab w:val="center" w:pos="4986"/>
              <w:tab w:val="right" w:pos="9972"/>
            </w:tabs>
          </w:pPr>
        </w:p>
        <w:p>
          <w:pPr>
            <w:tabs>
              <w:tab w:val="center" w:pos="4819"/>
              <w:tab w:val="right" w:pos="9071"/>
            </w:tabs>
            <w:overflowPunct w:val="0"/>
            <w:textAlignment w:val="baseline"/>
            <w:rPr>
              <w:sz w:val="2"/>
              <w:szCs w:val="2"/>
            </w:rPr>
          </w:pPr>
        </w:p>
        <w:p>
          <w:pPr>
            <w:jc w:val="center"/>
            <w:rPr>
              <w:szCs w:val="24"/>
            </w:rPr>
          </w:pPr>
          <w:r>
            <w:rPr>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8"/>
            </w:rPr>
          </w:pPr>
          <w:r>
            <w:rPr>
              <w:b/>
              <w:bCs/>
              <w:sz w:val="28"/>
              <w:szCs w:val="28"/>
            </w:rPr>
            <w:t>LIETUVOS RESPUBLIKOS ŠVIETIMO, MOKSLO IR SPORTO MINISTRAS</w:t>
          </w:r>
        </w:p>
        <w:p>
          <w:pPr>
            <w:jc w:val="center"/>
            <w:rPr>
              <w:szCs w:val="24"/>
            </w:rPr>
          </w:pPr>
        </w:p>
        <w:p>
          <w:pPr>
            <w:overflowPunct w:val="0"/>
            <w:jc w:val="center"/>
            <w:textAlignment w:val="baseline"/>
            <w:rPr>
              <w:szCs w:val="24"/>
            </w:rPr>
          </w:pPr>
          <w:r>
            <w:rPr>
              <w:b/>
              <w:bCs/>
              <w:szCs w:val="24"/>
            </w:rPr>
            <w:t>ĮSAKYMAS</w:t>
          </w:r>
        </w:p>
        <w:p>
          <w:pPr>
            <w:jc w:val="center"/>
            <w:rPr>
              <w:b/>
              <w:bCs/>
              <w:szCs w:val="24"/>
            </w:rPr>
          </w:pPr>
          <w:r>
            <w:rPr>
              <w:b/>
              <w:bCs/>
              <w:szCs w:val="24"/>
            </w:rPr>
            <w:t xml:space="preserve">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w:t>
          </w:r>
        </w:p>
        <w:p>
          <w:pPr>
            <w:jc w:val="center"/>
            <w:rPr>
              <w:szCs w:val="24"/>
            </w:rPr>
          </w:pPr>
        </w:p>
        <w:p>
          <w:pPr>
            <w:keepNext/>
            <w:tabs>
              <w:tab w:val="left" w:pos="5035"/>
            </w:tabs>
            <w:overflowPunct w:val="0"/>
            <w:jc w:val="center"/>
            <w:textAlignment w:val="baseline"/>
            <w:rPr>
              <w:szCs w:val="24"/>
            </w:rPr>
          </w:pPr>
          <w:r>
            <w:rPr>
              <w:szCs w:val="24"/>
            </w:rPr>
            <w:t xml:space="preserve">2022 m. rugpjūčio 17 d. Nr. V-1250 </w:t>
          </w:r>
        </w:p>
        <w:p>
          <w:pPr>
            <w:overflowPunct w:val="0"/>
            <w:jc w:val="center"/>
            <w:textAlignment w:val="baseline"/>
            <w:rPr>
              <w:szCs w:val="24"/>
            </w:rPr>
          </w:pPr>
          <w:smartTag w:uri="urn:schemas-tilde-lv/tildestengine" w:element="firmas">
            <w:r>
              <w:rPr>
                <w:szCs w:val="24"/>
              </w:rPr>
              <w:t>Vilnius</w:t>
            </w:r>
          </w:smartTag>
        </w:p>
        <w:p>
          <w:pPr>
            <w:jc w:val="center"/>
            <w:rPr>
              <w:szCs w:val="24"/>
            </w:rPr>
          </w:pPr>
        </w:p>
        <w:p>
          <w:pPr>
            <w:jc w:val="center"/>
            <w:rPr>
              <w:szCs w:val="24"/>
            </w:rPr>
          </w:pPr>
        </w:p>
        <w:p>
          <w:pPr>
            <w:jc w:val="center"/>
            <w:rPr>
              <w:sz w:val="2"/>
              <w:szCs w:val="2"/>
            </w:rPr>
          </w:pPr>
        </w:p>
        <w:sdt>
          <w:sdtPr>
            <w:alias w:val="preambule"/>
            <w:tag w:val="part_1446f74c56424906a1bcc07b00192777"/>
            <w:lock w:val="sdtLocked"/>
            <w:richText/>
          </w:sdtPr>
          <w:sdtContent>
            <w:p>
              <w:pPr>
                <w:tabs>
                  <w:tab w:val="left" w:pos="851"/>
                </w:tabs>
                <w:ind w:firstLine="1276"/>
                <w:jc w:val="both"/>
                <w:rPr>
                  <w:szCs w:val="24"/>
                </w:rPr>
              </w:pPr>
              <w:r>
                <w:rPr>
                  <w:szCs w:val="24"/>
                </w:rPr>
                <w:t>Į</w:t>
              </w:r>
              <w:r>
                <w:rPr>
                  <w:color w:val="000000"/>
                </w:rPr>
                <w:t>gyvendindama Strateginio valdymo metodikos, patvirtintos Lietuvos Respublikos Vyriausybės 2021 m. balandžio 28 d. nutarimu Nr. 292 „Dėl Strateginio valdymo metodikos patvirtinimo“, 82 ir 87 punktus, 2021–2030 metų nacionalinio pažangos plano, patvirtinto Lietuvos Respublikos Vyriausybės 2020 m. rugsėjo 9 d. nutarimu Nr. 998 „Dėl 2021–2030 metų nacionalinio pažangos plano patvirtinimo“, 1 strateginio tikslo „Pereiti prie mokslo žiniomis, pažangiosiomis technologijomis, inovacijomis grįsto darnaus ekonomikos vystymosi ir didinti šalies tarptautinį konkurencingumą“ 1.1 uždavinį „Stiprinti žmonių išteklius ir kompetencijas aukšto lygio mokslui ir mokslu grįstoms technologijoms kurti“, 1.2 uždavinį „Kurti aukšto lygio mokslo žinias, didinančias šalies konkurencingumą“, 1.3 uždavinį „Skatinti mokslui imlaus verslo kūrimąsi bei mokslo ir verslo bendradarbiavimą ir plėtoti verslumo kultūrą mokslo ir studijų institucijose“ ir 3 strateginio tikslo „</w:t>
              </w:r>
              <w:r>
                <w:rPr>
                  <w:color w:val="000000"/>
                  <w:szCs w:val="24"/>
                </w:rPr>
                <w:t>Didinti švietimo įtrauktį ir veiksmingumą, siekiant atitikties asmens ir visuomenės poreikiams“</w:t>
              </w:r>
              <w:r>
                <w:rPr>
                  <w:color w:val="000000"/>
                </w:rPr>
                <w:t xml:space="preserve"> 3.7 uždavinį „Plėtoti mokslu grįstas studijas, geriau panaudojant laisvųjų mokslinių tyrimų potencialą, ir prisidėti prie Lietuvai ir pasauliui aktualių iššūkių sprendimo“,</w:t>
              </w:r>
              <w:r>
                <w:rPr>
                  <w:color w:val="000000"/>
                  <w:shd w:val="clear" w:color="auto" w:fill="FFFFFF"/>
                </w:rPr>
                <w:t> </w:t>
              </w:r>
              <w:r>
                <w:rPr>
                  <w:color w:val="000000"/>
                </w:rPr>
                <w:t>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siekdama įgyvendinti 2021 m. liepos 20 d. Tarybos įgyvendinimo sprendimo Nr. CM 4171/21 dėl Lietuvos ekonomikos gaivinimo ir atsparumo didinimo plano įvertinimo patvirtinimo priedo E.1.3.3 3 papriemonę „Paskatinti mokslą ir verslą dalyvauti ES mokslinių tyrimų ir inovacijų programoje „Europos horizontas“ ir kitose tarptautinio finansavimo programose“ ir atsižvelgdama į Plėtros programos pažangos priemonės aprašo formą ir Plėtros programos pažangos priemonės apraše nurodytos informacijos pagrindimo aprašo formą, patvirtintas Lietuvos Respublikos finansų ministro 2021 m. birželio 28 d. įsakymu Nr. 1K-227 „Dėl Strateginio valdymo metodikos taikymo“, ir į darbo grupės pažangos priemonei „Stiprinti inovacijų ekosistemas mokslo centruose“ parengti, sudarytos Lietuvos Respublikos švietimo, mokslo ir sporto ministro 2022 m. gegužės 17 d. įsakymu Nr. V-776 „Dėl darbo grupės pažangos priemonei „Stiprinti inovacijų ekosistemas mokslo centruose“ parengti sudarymo“, 2022 m. gegužės 31 d. „Darbo grupės pažangos priemonei „Stiprinti inovacijų ekosistemas mokslo centruose“ parengti“ posėdžio protokolą</w:t>
              </w:r>
              <w:r>
                <w:rPr>
                  <w:szCs w:val="24"/>
                </w:rPr>
                <w:t>, taip pat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sdtContent>
        </w:sdt>
        <w:sdt>
          <w:sdtPr>
            <w:alias w:val="pastraipa"/>
            <w:tag w:val="part_26ba7d2b983f46cb94f7f82a744696db"/>
            <w:lock w:val="sdtLocked"/>
            <w:richText/>
          </w:sdtPr>
          <w:sdtContent>
            <w:p>
              <w:pPr>
                <w:spacing w:line="276" w:lineRule="auto"/>
                <w:ind w:firstLine="1276"/>
                <w:jc w:val="both"/>
                <w:rPr>
                  <w:szCs w:val="24"/>
                </w:rPr>
              </w:pPr>
              <w:r>
                <w:rPr>
                  <w:szCs w:val="24"/>
                </w:rPr>
                <w:t xml:space="preserve">t v i r t i n u </w:t>
              </w: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aprašą (pridedama).</w:t>
              </w:r>
            </w:p>
          </w:sdtContent>
        </w:sdt>
        <w:sdt>
          <w:sdtPr>
            <w:alias w:val="signatura"/>
            <w:tag w:val="part_54ad9fc498354b7d9d1e339157e9b7d0"/>
            <w:lock w:val="sdtLocked"/>
            <w:richText/>
          </w:sdtPr>
          <w:sdtContent>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rPr>
                  <w:szCs w:val="24"/>
                </w:rPr>
              </w:pPr>
              <w:r>
                <w:rPr>
                  <w:szCs w:val="24"/>
                </w:rPr>
                <w:t>Švietimo, mokslo ir sporto ministrė</w:t>
                <w:tab/>
                <w:tab/>
                <w:tab/>
                <w:t>Jurgita Šiugždinienė</w:t>
              </w:r>
            </w:p>
            <w:p>
              <w:pPr>
                <w:tabs>
                  <w:tab w:val="center" w:pos="4986"/>
                  <w:tab w:val="right" w:pos="9972"/>
                </w:tabs>
                <w:rPr>
                  <w:sz w:val="22"/>
                  <w:szCs w:val="22"/>
                </w:rPr>
              </w:pPr>
            </w:p>
          </w:sdtContent>
        </w:sdt>
      </w:sdtContent>
    </w:sdt>
    <w:sdt>
      <w:sdtPr>
        <w:alias w:val="patvirtinta"/>
        <w:tag w:val="part_7909b7209d474123ae8ca74d262ecc4a"/>
        <w:lock w:val="sdtLocked"/>
        <w:richText/>
      </w:sdtPr>
      <w:sdtContent>
        <w:p>
          <w:pPr>
            <w:ind w:firstLine="8505"/>
            <w:sectPr>
              <w:headerReference w:type="even" r:id="rId20"/>
              <w:headerReference w:type="default" r:id="rId21"/>
              <w:footerReference w:type="even" r:id="rId22"/>
              <w:footerReference w:type="default" r:id="rId23"/>
              <w:headerReference w:type="first" r:id="rId24"/>
              <w:footerReference w:type="first" r:id="rId25"/>
              <w:type w:val="continuous"/>
              <w:pgSz w:w="11907" w:h="16840" w:code="9"/>
              <w:pgMar w:top="1701" w:right="567" w:bottom="1134" w:left="1701" w:header="289" w:footer="720" w:gutter="0"/>
              <w:pgNumType w:start="1"/>
              <w:cols w:space="720"/>
              <w:noEndnote/>
              <w:titlePg/>
              <w:docGrid w:linePitch="326"/>
            </w:sectPr>
          </w:pPr>
        </w:p>
        <w:p>
          <w:pPr>
            <w:ind w:firstLine="8505"/>
            <w:rPr>
              <w:bCs/>
              <w:sz w:val="22"/>
              <w:szCs w:val="22"/>
            </w:rPr>
          </w:pPr>
          <w:r>
            <w:rPr>
              <w:bCs/>
              <w:sz w:val="22"/>
              <w:szCs w:val="22"/>
            </w:rPr>
            <w:t>PATVIRTINTA</w:t>
          </w:r>
        </w:p>
        <w:p>
          <w:pPr>
            <w:ind w:firstLine="8505"/>
            <w:rPr>
              <w:bCs/>
              <w:szCs w:val="24"/>
            </w:rPr>
          </w:pPr>
          <w:r>
            <w:rPr>
              <w:bCs/>
              <w:szCs w:val="24"/>
            </w:rPr>
            <w:t xml:space="preserve">Lietuvos Respublikos švietimo, mokslo ir sporto </w:t>
          </w:r>
        </w:p>
        <w:p>
          <w:pPr>
            <w:ind w:firstLine="8505"/>
            <w:rPr>
              <w:bCs/>
              <w:szCs w:val="24"/>
            </w:rPr>
          </w:pPr>
          <w:r>
            <w:rPr>
              <w:bCs/>
              <w:szCs w:val="24"/>
            </w:rPr>
            <w:t>ministro 2022 m. rugpjūčio 17 d.</w:t>
          </w:r>
        </w:p>
        <w:p>
          <w:pPr>
            <w:ind w:firstLine="8505"/>
            <w:rPr>
              <w:b/>
              <w:szCs w:val="24"/>
            </w:rPr>
          </w:pPr>
          <w:r>
            <w:rPr>
              <w:bCs/>
              <w:szCs w:val="24"/>
            </w:rPr>
            <w:t>įsakymu Nr. V-1250</w:t>
          </w:r>
        </w:p>
        <w:p>
          <w:pPr>
            <w:jc w:val="center"/>
            <w:rPr>
              <w:b/>
              <w:szCs w:val="24"/>
            </w:rPr>
          </w:pPr>
        </w:p>
        <w:p>
          <w:pPr>
            <w:jc w:val="center"/>
            <w:rPr>
              <w:b/>
              <w:bCs/>
              <w:caps/>
              <w:szCs w:val="24"/>
            </w:rPr>
          </w:pPr>
          <w:sdt>
            <w:sdtPr>
              <w:alias w:val="Pavadinimas"/>
              <w:tag w:val="title_7909b7209d474123ae8ca74d262ecc4a"/>
              <w:lock w:val="sdtLocked"/>
              <w:richText/>
            </w:sdtPr>
            <w:sdtContent>
              <w:r>
                <w:rPr>
                  <w:b/>
                  <w:bCs/>
                  <w:szCs w:val="24"/>
                  <w:shd w:val="clear" w:color="auto" w:fill="FFFFFF"/>
                </w:rPr>
                <w:t xml:space="preserve">2022–2030 METŲ PLĖTROS PROGRAMOS VALDYTOJOS LIETUVOS RESPUBLIKOS ŠVIETIMO, MOKSLO IR SPORTO MINISTERIJOS MOKSLO PLĖTROS PROGRAMOS </w:t>
              </w:r>
              <w:r>
                <w:rPr>
                  <w:b/>
                  <w:bCs/>
                  <w:szCs w:val="24"/>
                </w:rPr>
                <w:t xml:space="preserve">PAŽANGOS PRIEMONĖS NR. </w:t>
              </w:r>
              <w:r>
                <w:rPr>
                  <w:b/>
                  <w:bCs/>
                </w:rPr>
                <w:t>12-001-01-02-01 „STIPRINTI INOVACIJŲ EKOSISTEMAS MOKSLO CENTRUOSE“</w:t>
              </w:r>
              <w:r>
                <w:rPr>
                  <w:b/>
                  <w:bCs/>
                  <w:szCs w:val="24"/>
                </w:rPr>
                <w:t xml:space="preserve"> APRAŠAS</w:t>
              </w:r>
            </w:sdtContent>
          </w:sdt>
        </w:p>
        <w:p>
          <w:pPr>
            <w:jc w:val="center"/>
            <w:rPr>
              <w:b/>
              <w:caps/>
              <w:szCs w:val="24"/>
              <w:lang w:eastAsia="lt-LT"/>
            </w:rPr>
          </w:pPr>
        </w:p>
        <w:sdt>
          <w:sdtPr>
            <w:alias w:val="skyrius"/>
            <w:tag w:val="part_4aa9a7f9006b4a618b8abdfbfc72a6e7"/>
            <w:lock w:val="sdtLocked"/>
            <w:richText/>
          </w:sdtPr>
          <w:sdtContent>
            <w:p>
              <w:pPr>
                <w:tabs>
                  <w:tab w:val="left" w:pos="1134"/>
                  <w:tab w:val="left" w:pos="1560"/>
                </w:tabs>
                <w:jc w:val="center"/>
                <w:rPr>
                  <w:szCs w:val="24"/>
                  <w:lang w:eastAsia="lt-LT"/>
                </w:rPr>
              </w:pPr>
              <w:sdt>
                <w:sdtPr>
                  <w:alias w:val="Numeris"/>
                  <w:tag w:val="nr_4aa9a7f9006b4a618b8abdfbfc72a6e7"/>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4aa9a7f9006b4a618b8abdfbfc72a6e7"/>
                  <w:lock w:val="sdtLocked"/>
                  <w:richText/>
                </w:sdtPr>
                <w:sdtContent>
                  <w:r>
                    <w:rPr>
                      <w:b/>
                      <w:bCs/>
                      <w:szCs w:val="24"/>
                      <w:lang w:eastAsia="lt-LT"/>
                    </w:rPr>
                    <w:t>PLĖTROS PROGRAMOS PAŽANGOS PRIEMONĖS SIEKIAMI REZULTATAI</w:t>
                  </w:r>
                </w:sdtContent>
              </w:sdt>
            </w:p>
            <w:p>
              <w:pPr>
                <w:jc w:val="center"/>
                <w:rPr>
                  <w:szCs w:val="24"/>
                  <w:lang w:eastAsia="lt-LT"/>
                </w:rPr>
              </w:pPr>
            </w:p>
            <w:tbl>
              <w:tblPr>
                <w:tblW w:w="9514" w:type="dxa"/>
                <w:tblLayout w:type="fixed"/>
                <w:tblCellMar>
                  <w:left w:w="0" w:type="dxa"/>
                  <w:right w:w="0" w:type="dxa"/>
                </w:tblCellMar>
                <w:tblLook w:val="04A0" w:firstRow="1" w:lastRow="0" w:firstColumn="1" w:lastColumn="0" w:noHBand="0" w:noVBand="1"/>
              </w:tblPr>
              <w:tblGrid>
                <w:gridCol w:w="1023"/>
                <w:gridCol w:w="2028"/>
                <w:gridCol w:w="1219"/>
                <w:gridCol w:w="962"/>
                <w:gridCol w:w="1138"/>
                <w:gridCol w:w="1050"/>
                <w:gridCol w:w="2094"/>
              </w:tblGrid>
              <w:tr>
                <w:tc>
                  <w:tcPr>
                    <w:tcW w:w="1023" w:type="dxa"/>
                    <w:vMerge w:val="restar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Rezultato rodiklio kodas</w:t>
                    </w:r>
                  </w:p>
                </w:tc>
                <w:tc>
                  <w:tcPr>
                    <w:tcW w:w="2028"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Rezultato rodiklio pavadinimas</w:t>
                    </w:r>
                  </w:p>
                </w:tc>
                <w:tc>
                  <w:tcPr>
                    <w:tcW w:w="121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Matavimo vienetas</w:t>
                    </w:r>
                  </w:p>
                </w:tc>
                <w:tc>
                  <w:tcPr>
                    <w:tcW w:w="962"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Pradinė rezultato rodiklio reikšmė (metai)</w:t>
                    </w:r>
                  </w:p>
                </w:tc>
                <w:tc>
                  <w:tcPr>
                    <w:tcW w:w="2188" w:type="dxa"/>
                    <w:gridSpan w:val="2"/>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Siektinos rezultato rodiklio reikšmės</w:t>
                    </w:r>
                  </w:p>
                </w:tc>
                <w:tc>
                  <w:tcPr>
                    <w:tcW w:w="2094" w:type="dxa"/>
                    <w:vMerge w:val="restart"/>
                    <w:tcBorders>
                      <w:top w:val="single" w:sz="8" w:space="0" w:color="auto"/>
                      <w:left w:val="single" w:sz="8" w:space="0" w:color="auto"/>
                      <w:right w:val="single" w:sz="8" w:space="0" w:color="auto"/>
                    </w:tcBorders>
                    <w:shd w:val="clear" w:color="auto" w:fill="DEEAF6"/>
                    <w:vAlign w:val="center"/>
                  </w:tcPr>
                  <w:p>
                    <w:pPr>
                      <w:jc w:val="center"/>
                      <w:rPr>
                        <w:sz w:val="20"/>
                        <w:lang w:eastAsia="lt-LT"/>
                      </w:rPr>
                    </w:pPr>
                    <w:r>
                      <w:rPr>
                        <w:b/>
                        <w:bCs/>
                        <w:sz w:val="20"/>
                        <w:lang w:eastAsia="lt-LT"/>
                      </w:rPr>
                      <w:t xml:space="preserve">Finansavimo šaltinis </w:t>
                    </w:r>
                    <w:r>
                      <w:rPr>
                        <w:b/>
                        <w:sz w:val="20"/>
                      </w:rPr>
                      <w:t>(-iai)</w:t>
                    </w:r>
                  </w:p>
                </w:tc>
              </w:tr>
              <w:tr>
                <w:tc>
                  <w:tcPr>
                    <w:tcW w:w="1023" w:type="dxa"/>
                    <w:vMerge/>
                    <w:tcBorders>
                      <w:top w:val="single" w:sz="8" w:space="0" w:color="auto"/>
                      <w:left w:val="single" w:sz="8" w:space="0" w:color="auto"/>
                      <w:bottom w:val="single" w:sz="8" w:space="0" w:color="auto"/>
                      <w:right w:val="single" w:sz="8" w:space="0" w:color="auto"/>
                    </w:tcBorders>
                    <w:vAlign w:val="center"/>
                    <w:hideMark/>
                  </w:tcPr>
                  <w:p>
                    <w:pPr>
                      <w:jc w:val="center"/>
                      <w:rPr>
                        <w:sz w:val="20"/>
                        <w:lang w:eastAsia="lt-LT"/>
                      </w:rPr>
                    </w:pPr>
                  </w:p>
                </w:tc>
                <w:tc>
                  <w:tcPr>
                    <w:tcW w:w="2028" w:type="dxa"/>
                    <w:vMerge/>
                    <w:tcBorders>
                      <w:top w:val="single" w:sz="8" w:space="0" w:color="auto"/>
                      <w:left w:val="nil"/>
                      <w:bottom w:val="single" w:sz="8" w:space="0" w:color="auto"/>
                      <w:right w:val="single" w:sz="8" w:space="0" w:color="auto"/>
                    </w:tcBorders>
                    <w:vAlign w:val="center"/>
                    <w:hideMark/>
                  </w:tcPr>
                  <w:p>
                    <w:pPr>
                      <w:jc w:val="center"/>
                      <w:rPr>
                        <w:sz w:val="20"/>
                        <w:lang w:eastAsia="lt-LT"/>
                      </w:rPr>
                    </w:pPr>
                  </w:p>
                </w:tc>
                <w:tc>
                  <w:tcPr>
                    <w:tcW w:w="1219" w:type="dxa"/>
                    <w:vMerge/>
                    <w:tcBorders>
                      <w:top w:val="single" w:sz="8" w:space="0" w:color="auto"/>
                      <w:left w:val="nil"/>
                      <w:bottom w:val="single" w:sz="8" w:space="0" w:color="auto"/>
                      <w:right w:val="single" w:sz="8" w:space="0" w:color="auto"/>
                    </w:tcBorders>
                    <w:vAlign w:val="center"/>
                    <w:hideMark/>
                  </w:tcPr>
                  <w:p>
                    <w:pPr>
                      <w:jc w:val="center"/>
                      <w:rPr>
                        <w:sz w:val="20"/>
                        <w:lang w:eastAsia="lt-LT"/>
                      </w:rPr>
                    </w:pPr>
                  </w:p>
                </w:tc>
                <w:tc>
                  <w:tcPr>
                    <w:tcW w:w="962" w:type="dxa"/>
                    <w:vMerge/>
                    <w:tcBorders>
                      <w:top w:val="single" w:sz="8" w:space="0" w:color="auto"/>
                      <w:left w:val="nil"/>
                      <w:bottom w:val="single" w:sz="8" w:space="0" w:color="auto"/>
                      <w:right w:val="single" w:sz="8" w:space="0" w:color="auto"/>
                    </w:tcBorders>
                    <w:vAlign w:val="center"/>
                    <w:hideMark/>
                  </w:tcPr>
                  <w:p>
                    <w:pPr>
                      <w:jc w:val="center"/>
                      <w:rPr>
                        <w:sz w:val="20"/>
                        <w:lang w:eastAsia="lt-LT"/>
                      </w:rPr>
                    </w:pPr>
                  </w:p>
                </w:tc>
                <w:tc>
                  <w:tcPr>
                    <w:tcW w:w="1138"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Tarpinė reikšmė 2025 m.</w:t>
                    </w:r>
                  </w:p>
                </w:tc>
                <w:tc>
                  <w:tcPr>
                    <w:tcW w:w="1050"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Galutinė reikšmė</w:t>
                    </w:r>
                  </w:p>
                  <w:p>
                    <w:pPr>
                      <w:jc w:val="center"/>
                      <w:rPr>
                        <w:sz w:val="20"/>
                        <w:lang w:eastAsia="lt-LT"/>
                      </w:rPr>
                    </w:pPr>
                    <w:r>
                      <w:rPr>
                        <w:b/>
                        <w:bCs/>
                        <w:sz w:val="20"/>
                        <w:lang w:eastAsia="lt-LT"/>
                      </w:rPr>
                      <w:t>2030 m.</w:t>
                    </w:r>
                  </w:p>
                </w:tc>
                <w:tc>
                  <w:tcPr>
                    <w:tcW w:w="2094" w:type="dxa"/>
                    <w:vMerge/>
                    <w:tcBorders>
                      <w:left w:val="single" w:sz="8" w:space="0" w:color="auto"/>
                      <w:bottom w:val="single" w:sz="8" w:space="0" w:color="auto"/>
                      <w:right w:val="single" w:sz="8" w:space="0" w:color="auto"/>
                    </w:tcBorders>
                    <w:vAlign w:val="center"/>
                    <w:hideMark/>
                  </w:tcPr>
                  <w:p>
                    <w:pPr>
                      <w:jc w:val="center"/>
                      <w:rPr>
                        <w:sz w:val="20"/>
                        <w:lang w:eastAsia="lt-LT"/>
                      </w:rPr>
                    </w:pP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R-12-001-01-02-01-01</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Lietuvos dalyvių pasirašytų dotacijos sutarčių skaičius programos „Europos horizontas“ finansuojamuose projektuose (kaupiamuoju būdu)</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ind w:left="-57" w:right="-57"/>
                      <w:jc w:val="center"/>
                      <w:rPr>
                        <w:sz w:val="20"/>
                        <w:lang w:eastAsia="lt-LT"/>
                      </w:rPr>
                    </w:pPr>
                    <w:r>
                      <w:rPr>
                        <w:sz w:val="20"/>
                        <w:lang w:eastAsia="lt-LT"/>
                      </w:rPr>
                      <w:t>605</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Valstybės biudžeto (toliau – 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R-12-001-01-02-01-02</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Mokslo ir studijų institucijų pajamų už ūkio subjektų (įskaitant viešąjį sektorių) mokslinių tyrimų ir eksperimentinės plėtros užsakymus suma</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tūkstančiai eurų</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13 872</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15 500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21 000</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R-12-001-01-02-01-03</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 xml:space="preserve">Publikacijų pagal </w:t>
                    </w:r>
                    <w:r>
                      <w:rPr>
                        <w:i/>
                        <w:iCs/>
                        <w:sz w:val="20"/>
                        <w:lang w:eastAsia="lt-LT"/>
                      </w:rPr>
                      <w:t>CA WoS</w:t>
                    </w:r>
                    <w:r>
                      <w:rPr>
                        <w:sz w:val="20"/>
                        <w:lang w:eastAsia="lt-LT"/>
                      </w:rPr>
                      <w:t xml:space="preserve"> duomenų bazę skaičius (kaupiamuoju būdu)</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26 380</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27 000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31 660</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R-12-001-01-02-01-04</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Pateiktos patentų paraiškos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patentų paraiškos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184</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Europos Sąjungos (toliau – ES) fondų ir 2021–2027 metų ES fondų bendrojo finansavimo (toliau – BF),</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R-12-001-01-02-01-05</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Remiamų projektų leidiniai</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leidiniai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1 090</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ES fondų ir 2021–2027 metų ES fondų BF ,</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R-12-001-01-02-01-06</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Mokslinių tyrimų ir eksperimentinės plėtros veiklos produktas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56</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ES fondų ir 2021–2027 metų ES fondų BF ,</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R-12-001-01-02-01-07</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Produktų ar procesų inovacijas diegiančios labai mažos, mažos ir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65</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ES fondų ir 2021–2027 metų ES fondų BF,</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R-12-001-01-02-01-08</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Investicijas gavusių mokslo ir studijų institucijų gautų mokslinių tyrimų ir eksperimentinės plėtros užsakymų skaičius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225</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ES fondų ir 2021–2027 metų ES fondų BF,</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R-12-001-01-02-01-09</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gavusiose mokslinių tyrimų įstaigose dirbantys mokslininkai</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metinis etato ekvivalentas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highlight w:val="green"/>
                        <w:lang w:eastAsia="lt-LT"/>
                      </w:rPr>
                    </w:pPr>
                    <w:r>
                      <w:rPr>
                        <w:sz w:val="20"/>
                        <w:lang w:eastAsia="lt-LT"/>
                      </w:rPr>
                      <w:t>Ekonomikos gaivinimo ir atsparumo didinimo plano (toliau –EGADP)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R-12-001-01-02-01-10</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R-12-001-01-02-01-11</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mažos ir labai mažos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R-12-001-01-02-01-12</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R-12-001-01-02-01-13</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didelės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R-12-001-01-02-01-14</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Mokslo ir studijų institucijų finansuotų projektų pagal Europos Sąjungos bendrosios mokslinių tyrimų ir inovacijų programos „Europos horizontas“ kvietimus skaičiaus padidėjimas, lyginant su tuo pačiu Europos Sąjungos bendrosios mokslinių tyrimų ir inovacijų programos „Horizontas 2020“ įgyvendinimo laikotarpiu</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100 (2026 m. IV ketv.)</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sz w:val="20"/>
                        <w:lang w:eastAsia="lt-LT"/>
                      </w:rPr>
                    </w:pPr>
                    <w:r>
                      <w:rPr>
                        <w:sz w:val="20"/>
                        <w:lang w:eastAsia="lt-LT"/>
                      </w:rPr>
                      <w:t xml:space="preserve">EGADP </w:t>
                    </w:r>
                    <w:r>
                      <w:rPr>
                        <w:color w:val="000000"/>
                        <w:sz w:val="20"/>
                        <w:lang w:eastAsia="lt-LT"/>
                      </w:rPr>
                      <w:t>lėšos</w:t>
                    </w:r>
                  </w:p>
                </w:tc>
              </w:tr>
            </w:tbl>
            <w:p>
              <w:pPr>
                <w:jc w:val="both"/>
                <w:rPr>
                  <w:sz w:val="20"/>
                  <w:lang w:eastAsia="lt-LT"/>
                </w:rPr>
              </w:pPr>
              <w:r>
                <w:rPr>
                  <w:b/>
                  <w:bCs/>
                  <w:sz w:val="22"/>
                  <w:szCs w:val="22"/>
                  <w:lang w:eastAsia="lt-LT"/>
                </w:rPr>
                <w:t xml:space="preserve">Pastaba. </w:t>
              </w:r>
              <w:r>
                <w:rPr>
                  <w:sz w:val="22"/>
                  <w:szCs w:val="22"/>
                  <w:lang w:eastAsia="lt-LT"/>
                </w:rPr>
                <w:t>Rodikliai R-12-001-01-02-01-09 „Paramą gavusiose mokslinių tyrimų įstaigose dirbantys mokslininkai“, R-12-001-01-02-01-10 „Paramą gavusios įmonės“, R-12-001-01-02-01-11 „Paramą gavusios įmonės, iš jų mažos ir labai mažos įmonės“, R-12-001-01-02-01-12 „Paramą gavusios įmonės, iš jų vidutinės įmonės“, R-12-001-01-02-01-13 „Paramą gavusios įmonės, iš jų didelės įmonės“ yra Ekonomikos gaivinimo ir atsparumo didinimo plano „Naujos kartos Lietuva“ bendrieji stebėsenos rodikliai, kurie neturi siektinų reikšmių. Duomenys bus renkami iš susijusių reformų ir investicijų rodiklių. Ataskaitinis laikotarpis iki 2027 m. vasario mėn</w:t>
              </w:r>
              <w:r>
                <w:rPr>
                  <w:sz w:val="20"/>
                  <w:lang w:eastAsia="lt-LT"/>
                </w:rPr>
                <w:t>.</w:t>
              </w:r>
            </w:p>
            <w:p>
              <w:pPr>
                <w:ind w:left="426" w:firstLine="141"/>
                <w:jc w:val="both"/>
                <w:rPr>
                  <w:b/>
                  <w:sz w:val="22"/>
                  <w:szCs w:val="22"/>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4773967b4411efabdbb4a1fc8b0b63">
                <w:r w:rsidRPr="00532B9F">
                  <w:rPr>
                    <w:rFonts w:ascii="Times New Roman" w:eastAsia="MS Mincho" w:hAnsi="Times New Roman"/>
                    <w:sz w:val="20"/>
                    <w:i/>
                    <w:iCs/>
                    <w:color w:val="0000FF" w:themeColor="hyperlink"/>
                    <w:u w:val="single"/>
                  </w:rPr>
                  <w:t>V-1073</w:t>
                </w:r>
              </w:fldSimple>
              <w:r>
                <w:rPr>
                  <w:rFonts w:ascii="Times New Roman" w:eastAsia="MS Mincho" w:hAnsi="Times New Roman"/>
                  <w:sz w:val="20"/>
                  <w:i/>
                  <w:iCs/>
                </w:rPr>
                <w:t>,
2024-09-25,
paskelbta TAR 2024-09-25, i. k. 2024-16673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b5a2904034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2025-06-03,
paskelbta TAR 2025-06-03, i. k. 2025-09929            </w:t>
              </w:r>
            </w:p>
            <w:p/>
          </w:sdtContent>
        </w:sdt>
        <w:sdt>
          <w:sdtPr>
            <w:alias w:val="skyrius"/>
            <w:tag w:val="part_57c922928ad74f99a8e6190ef8bd4699"/>
            <w:lock w:val="sdtLocked"/>
            <w:richText/>
          </w:sdtPr>
          <w:sdtContent>
            <w:p>
              <w:pPr>
                <w:jc w:val="center"/>
                <w:rPr>
                  <w:color w:val="000000"/>
                  <w:szCs w:val="24"/>
                  <w:lang w:eastAsia="lt-LT"/>
                </w:rPr>
              </w:pPr>
              <w:sdt>
                <w:sdtPr>
                  <w:alias w:val="Numeris"/>
                  <w:tag w:val="nr_57c922928ad74f99a8e6190ef8bd4699"/>
                  <w:lock w:val="sdtLocked"/>
                  <w:richText/>
                </w:sdtPr>
                <w:sdtContent>
                  <w:r>
                    <w:rPr>
                      <w:b/>
                      <w:bCs/>
                      <w:color w:val="000000"/>
                      <w:szCs w:val="24"/>
                      <w:lang w:eastAsia="lt-LT"/>
                    </w:rPr>
                    <w:t>II</w:t>
                  </w:r>
                </w:sdtContent>
              </w:sdt>
              <w:r>
                <w:rPr>
                  <w:b/>
                  <w:bCs/>
                  <w:color w:val="000000"/>
                  <w:szCs w:val="24"/>
                  <w:lang w:eastAsia="lt-LT"/>
                </w:rPr>
                <w:t> SKYRIUS</w:t>
              </w:r>
            </w:p>
            <w:p>
              <w:pPr>
                <w:jc w:val="center"/>
                <w:rPr>
                  <w:color w:val="000000"/>
                  <w:lang w:eastAsia="lt-LT"/>
                </w:rPr>
              </w:pPr>
              <w:sdt>
                <w:sdtPr>
                  <w:alias w:val="Pavadinimas"/>
                  <w:tag w:val="title_57c922928ad74f99a8e6190ef8bd4699"/>
                  <w:lock w:val="sdtLocked"/>
                  <w:richText/>
                </w:sdtPr>
                <w:sdtContent>
                  <w:r>
                    <w:rPr>
                      <w:b/>
                      <w:color w:val="000000"/>
                      <w:lang w:eastAsia="lt-LT"/>
                    </w:rPr>
                    <w:t xml:space="preserve">PLĖTROS PROGRAMOS PAŽANGOS PRIEMONĖS FINANSAVIMO </w:t>
                  </w:r>
                  <w:r>
                    <w:rPr>
                      <w:b/>
                      <w:bCs/>
                      <w:color w:val="000000"/>
                      <w:lang w:eastAsia="lt-LT"/>
                    </w:rPr>
                    <w:t>PLANAS</w:t>
                  </w:r>
                </w:sdtContent>
              </w:sdt>
            </w:p>
            <w:p>
              <w:pPr>
                <w:ind w:firstLine="62"/>
                <w:jc w:val="center"/>
                <w:rPr>
                  <w:color w:val="000000"/>
                  <w:szCs w:val="24"/>
                  <w:lang w:eastAsia="lt-LT"/>
                </w:rPr>
              </w:pPr>
            </w:p>
            <w:p>
              <w:pPr>
                <w:ind w:left="142" w:right="253"/>
                <w:jc w:val="both"/>
                <w:rPr>
                  <w:color w:val="000000"/>
                  <w:szCs w:val="24"/>
                  <w:lang w:eastAsia="lt-LT"/>
                </w:rPr>
              </w:pPr>
            </w:p>
            <w:tbl>
              <w:tblPr>
                <w:tblW w:w="9781" w:type="dxa"/>
                <w:jc w:val="center"/>
                <w:tblLayout w:type="fixed"/>
                <w:tblCellMar>
                  <w:left w:w="30" w:type="dxa"/>
                  <w:right w:w="30" w:type="dxa"/>
                </w:tblCellMar>
                <w:tblLook w:val="04A0" w:firstRow="1" w:lastRow="0" w:firstColumn="1" w:lastColumn="0" w:noHBand="0" w:noVBand="1"/>
              </w:tblPr>
              <w:tblGrid>
                <w:gridCol w:w="4111"/>
                <w:gridCol w:w="2268"/>
                <w:gridCol w:w="1985"/>
                <w:gridCol w:w="1417"/>
              </w:tblGrid>
              <w:tr>
                <w:trPr>
                  <w:cantSplit/>
                  <w:trHeight w:val="618"/>
                  <w:jc w:val="center"/>
                </w:trPr>
                <w:tc>
                  <w:tcPr>
                    <w:tcW w:w="4111" w:type="dxa"/>
                    <w:vMerge w:val="restart"/>
                    <w:tcBorders>
                      <w:top w:val="single" w:sz="4" w:space="0" w:color="auto"/>
                      <w:left w:val="single" w:sz="4" w:space="0" w:color="auto"/>
                      <w:right w:val="single" w:sz="4" w:space="0" w:color="auto"/>
                    </w:tcBorders>
                    <w:shd w:val="clear" w:color="auto" w:fill="DEEAF6" w:themeFill="accent1" w:themeFillTint="33"/>
                    <w:vAlign w:val="center"/>
                    <w:hideMark/>
                  </w:tcPr>
                  <w:p>
                    <w:pPr>
                      <w:rPr>
                        <w:sz w:val="18"/>
                        <w:szCs w:val="18"/>
                      </w:rPr>
                    </w:pPr>
                  </w:p>
                  <w:p>
                    <w:pPr>
                      <w:jc w:val="center"/>
                      <w:rPr>
                        <w:b/>
                        <w:sz w:val="18"/>
                        <w:szCs w:val="18"/>
                      </w:rPr>
                    </w:pPr>
                    <w:r>
                      <w:rPr>
                        <w:b/>
                        <w:sz w:val="18"/>
                        <w:szCs w:val="18"/>
                      </w:rPr>
                      <w:t>Finansavimo šaltiniai</w:t>
                    </w:r>
                  </w:p>
                </w:tc>
                <w:tc>
                  <w:tcPr>
                    <w:tcW w:w="5670" w:type="dxa"/>
                    <w:gridSpan w:val="3"/>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18"/>
                        <w:szCs w:val="18"/>
                      </w:rPr>
                    </w:pPr>
                  </w:p>
                  <w:p>
                    <w:pPr>
                      <w:jc w:val="center"/>
                      <w:rPr>
                        <w:sz w:val="18"/>
                        <w:szCs w:val="18"/>
                      </w:rPr>
                    </w:pPr>
                    <w:r>
                      <w:rPr>
                        <w:b/>
                        <w:sz w:val="18"/>
                        <w:szCs w:val="18"/>
                      </w:rPr>
                      <w:t>Finansavimo apimtis, eurais; iš jų:</w:t>
                    </w:r>
                  </w:p>
                </w:tc>
              </w:tr>
              <w:tr>
                <w:trPr>
                  <w:cantSplit/>
                  <w:trHeight w:val="618"/>
                  <w:jc w:val="center"/>
                </w:trPr>
                <w:tc>
                  <w:tcPr>
                    <w:tcW w:w="4111" w:type="dxa"/>
                    <w:vMerge/>
                    <w:tcBorders>
                      <w:left w:val="single" w:sz="4" w:space="0" w:color="auto"/>
                      <w:bottom w:val="single" w:sz="4" w:space="0" w:color="auto"/>
                      <w:right w:val="single" w:sz="4" w:space="0" w:color="auto"/>
                    </w:tcBorders>
                    <w:shd w:val="clear" w:color="auto" w:fill="DEEAF6" w:themeFill="accent1" w:themeFillTint="33"/>
                    <w:vAlign w:val="center"/>
                  </w:tcPr>
                  <w:p>
                    <w:pPr>
                      <w:rPr>
                        <w:sz w:val="18"/>
                        <w:szCs w:val="18"/>
                      </w:rPr>
                    </w:pPr>
                  </w:p>
                </w:tc>
                <w:tc>
                  <w:tcPr>
                    <w:tcW w:w="226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 xml:space="preserve">Nacionalinio pažangos plano (toliau – NPP) finansinėse projekcijose numatytų lėšų suma </w:t>
                    </w:r>
                  </w:p>
                </w:tc>
                <w:tc>
                  <w:tcPr>
                    <w:tcW w:w="1985" w:type="dxa"/>
                    <w:tcBorders>
                      <w:left w:val="single" w:sz="4" w:space="0" w:color="auto"/>
                      <w:bottom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NPP finansinėse projekcijose nenumatytų papildomai skirtų</w:t>
                    </w:r>
                    <w:r>
                      <w:rPr>
                        <w:sz w:val="18"/>
                        <w:szCs w:val="18"/>
                      </w:rPr>
                      <w:t xml:space="preserve"> </w:t>
                    </w:r>
                    <w:r>
                      <w:rPr>
                        <w:b/>
                        <w:sz w:val="18"/>
                        <w:szCs w:val="18"/>
                      </w:rPr>
                      <w:t xml:space="preserve">lėšų suma </w:t>
                    </w:r>
                  </w:p>
                </w:tc>
                <w:tc>
                  <w:tcPr>
                    <w:tcW w:w="1417" w:type="dxa"/>
                    <w:tcBorders>
                      <w:left w:val="single" w:sz="4" w:space="0" w:color="auto"/>
                      <w:bottom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NPP finansinėse projekcijose nenumatytų papildomų lėšų poreikio suma</w:t>
                    </w:r>
                  </w:p>
                </w:tc>
              </w:tr>
              <w:tr>
                <w:trPr>
                  <w:cantSplit/>
                  <w:trHeight w:val="272"/>
                  <w:jc w:val="center"/>
                </w:trPr>
                <w:tc>
                  <w:tcPr>
                    <w:tcW w:w="411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1</w:t>
                    </w:r>
                  </w:p>
                </w:tc>
                <w:tc>
                  <w:tcPr>
                    <w:tcW w:w="2268" w:type="dxa"/>
                    <w:tcBorders>
                      <w:top w:val="single" w:sz="4" w:space="0" w:color="auto"/>
                      <w:left w:val="single" w:sz="4" w:space="0" w:color="auto"/>
                      <w:right w:val="single" w:sz="4" w:space="0" w:color="auto"/>
                    </w:tcBorders>
                    <w:shd w:val="clear" w:color="auto" w:fill="DEEAF6" w:themeFill="accent1" w:themeFillTint="33"/>
                    <w:vAlign w:val="center"/>
                  </w:tcPr>
                  <w:p>
                    <w:pPr>
                      <w:ind w:hanging="15"/>
                      <w:jc w:val="center"/>
                      <w:rPr>
                        <w:b/>
                        <w:sz w:val="18"/>
                        <w:szCs w:val="18"/>
                      </w:rPr>
                    </w:pPr>
                    <w:r>
                      <w:rPr>
                        <w:b/>
                        <w:sz w:val="18"/>
                        <w:szCs w:val="18"/>
                      </w:rPr>
                      <w:t>2</w:t>
                    </w:r>
                  </w:p>
                </w:tc>
                <w:tc>
                  <w:tcPr>
                    <w:tcW w:w="1985" w:type="dxa"/>
                    <w:tcBorders>
                      <w:top w:val="single" w:sz="4" w:space="0" w:color="auto"/>
                      <w:left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3</w:t>
                    </w:r>
                  </w:p>
                </w:tc>
                <w:tc>
                  <w:tcPr>
                    <w:tcW w:w="1417" w:type="dxa"/>
                    <w:tcBorders>
                      <w:top w:val="single" w:sz="4" w:space="0" w:color="auto"/>
                      <w:left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4</w:t>
                    </w: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1.1. Valstybės biudžeto lėšos</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18"/>
                        <w:szCs w:val="18"/>
                        <w:highlight w:val="yellow"/>
                      </w:rPr>
                    </w:pPr>
                    <w:r>
                      <w:rPr>
                        <w:sz w:val="18"/>
                        <w:szCs w:val="18"/>
                        <w:lang w:eastAsia="lt-LT"/>
                      </w:rPr>
                      <w:t>67 107 467</w:t>
                    </w: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lang w:eastAsia="lt-LT"/>
                      </w:rPr>
                      <w:t>1.1.1.1.1. Valstybės biudžeto lėšos</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18"/>
                        <w:szCs w:val="18"/>
                        <w:highlight w:val="yellow"/>
                      </w:rPr>
                    </w:pPr>
                    <w:r>
                      <w:rPr>
                        <w:sz w:val="18"/>
                        <w:szCs w:val="18"/>
                      </w:rPr>
                      <w:t>15 348 000</w:t>
                    </w:r>
                    <w:r>
                      <w:rPr>
                        <w:b/>
                        <w:sz w:val="18"/>
                        <w:szCs w:val="18"/>
                      </w:rPr>
                      <w:t>*</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lang w:eastAsia="lt-LT"/>
                      </w:rPr>
                      <w:t xml:space="preserve">1.1.1.1.2. Valstybės biudžeto lėšos, skirtos apmokėti bendrai finansuojamų iš ES fondų lėšų </w:t>
                    </w:r>
                    <w:r>
                      <w:rPr>
                        <w:rFonts w:eastAsia="Calibri"/>
                        <w:sz w:val="18"/>
                        <w:szCs w:val="18"/>
                      </w:rPr>
                      <w:t xml:space="preserve">projektų netinkamam </w:t>
                    </w:r>
                    <w:r>
                      <w:rPr>
                        <w:sz w:val="18"/>
                        <w:szCs w:val="18"/>
                        <w:lang w:eastAsia="lt-LT"/>
                      </w:rPr>
                      <w:t>finansuoti iš ES fondų lėšų pirkimo ir (arba) importo PVM</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18"/>
                        <w:szCs w:val="18"/>
                        <w:highlight w:val="yellow"/>
                      </w:rPr>
                    </w:pPr>
                    <w:r>
                      <w:rPr>
                        <w:sz w:val="18"/>
                        <w:szCs w:val="18"/>
                      </w:rPr>
                      <w:t>51 759 467</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18"/>
                        <w:szCs w:val="18"/>
                        <w:highlight w:val="yellow"/>
                      </w:rPr>
                    </w:pPr>
                  </w:p>
                  <w:p>
                    <w:pPr>
                      <w:jc w:val="center"/>
                      <w:rPr>
                        <w:bCs/>
                        <w:sz w:val="18"/>
                        <w:szCs w:val="18"/>
                        <w:highlight w:val="yellow"/>
                      </w:rPr>
                    </w:pPr>
                    <w:r>
                      <w:rPr>
                        <w:bCs/>
                        <w:sz w:val="18"/>
                        <w:szCs w:val="18"/>
                      </w:rPr>
                      <w:t>63 587 114</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lang w:eastAsia="lt-LT"/>
                      </w:rPr>
                    </w:pPr>
                    <w:r>
                      <w:rPr>
                        <w:sz w:val="18"/>
                        <w:szCs w:val="18"/>
                        <w:lang w:eastAsia="lt-LT"/>
                      </w:rPr>
                      <w:t>1.2.2.8.1. 2021–2027 m. ES fondų bendrojo finansavimo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kern w:val="36"/>
                        <w:sz w:val="18"/>
                        <w:szCs w:val="18"/>
                        <w:lang w:eastAsia="lt-LT"/>
                      </w:rPr>
                      <w:t>Sostinės regionas (Europos regioninės plėtros fondas (toliau – ERPF)</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63 587 114</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b/>
                        <w:bCs/>
                        <w:kern w:val="36"/>
                        <w:sz w:val="18"/>
                        <w:szCs w:val="18"/>
                        <w:lang w:eastAsia="lt-LT"/>
                      </w:rPr>
                    </w:pPr>
                    <w:r>
                      <w:rPr>
                        <w:sz w:val="18"/>
                        <w:szCs w:val="18"/>
                        <w:lang w:eastAsia="lt-LT"/>
                      </w:rPr>
                      <w:t>VVL regionas (ERPF)</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182 886 539</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lang w:eastAsia="lt-LT"/>
                      </w:rPr>
                      <w:t>1.3.2.8.1. 2021–2027 m. ES fondų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141 255 539</w:t>
                    </w: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lang w:eastAsia="lt-LT"/>
                      </w:rPr>
                    </w:pPr>
                    <w:r>
                      <w:rPr>
                        <w:sz w:val="18"/>
                        <w:szCs w:val="18"/>
                        <w:lang w:eastAsia="lt-LT"/>
                      </w:rPr>
                      <w:t>Sostinės regionas (ERPF)</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63 587 114</w:t>
                    </w: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lang w:eastAsia="lt-LT"/>
                      </w:rPr>
                    </w:pPr>
                    <w:r>
                      <w:rPr>
                        <w:sz w:val="18"/>
                        <w:szCs w:val="18"/>
                        <w:lang w:eastAsia="lt-LT"/>
                      </w:rPr>
                      <w:t>VVL regionas (ERPF)</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77 668 425</w:t>
                    </w: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lang w:eastAsia="lt-LT"/>
                      </w:rPr>
                    </w:pPr>
                    <w:r>
                      <w:rPr>
                        <w:sz w:val="18"/>
                        <w:szCs w:val="18"/>
                        <w:lang w:eastAsia="lt-LT"/>
                      </w:rPr>
                      <w:t>1.3.3.1.57. Ekonomikos gaivinimo ir atsparumo didinimo priemonės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41 631 000</w:t>
                    </w: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228"/>
                  <w:jc w:val="center"/>
                </w:trPr>
                <w:tc>
                  <w:tcPr>
                    <w:tcW w:w="4111" w:type="dxa"/>
                    <w:tcBorders>
                      <w:top w:val="single" w:sz="4" w:space="0" w:color="auto"/>
                      <w:left w:val="single" w:sz="4" w:space="0" w:color="auto"/>
                      <w:bottom w:val="single" w:sz="4" w:space="0" w:color="auto"/>
                      <w:right w:val="single" w:sz="4" w:space="0" w:color="auto"/>
                    </w:tcBorders>
                    <w:vAlign w:val="center"/>
                  </w:tcPr>
                  <w:p>
                    <w:pPr>
                      <w:spacing w:line="276" w:lineRule="auto"/>
                      <w:jc w:val="both"/>
                      <w:rPr>
                        <w:b/>
                        <w:sz w:val="18"/>
                        <w:szCs w:val="18"/>
                      </w:rPr>
                    </w:pPr>
                    <w:r>
                      <w:rPr>
                        <w:b/>
                        <w:bCs/>
                        <w:sz w:val="18"/>
                        <w:szCs w:val="18"/>
                      </w:rPr>
                      <w:t>1.4. Biudžetinių įstaigų pajamų įmokos ir kitos pajamos</w:t>
                    </w:r>
                  </w:p>
                </w:tc>
                <w:tc>
                  <w:tcPr>
                    <w:tcW w:w="2268" w:type="dxa"/>
                    <w:tcBorders>
                      <w:top w:val="single" w:sz="4" w:space="0" w:color="auto"/>
                      <w:left w:val="single" w:sz="4" w:space="0" w:color="auto"/>
                      <w:bottom w:val="single" w:sz="4" w:space="0" w:color="auto"/>
                      <w:right w:val="single" w:sz="4" w:space="0" w:color="auto"/>
                    </w:tcBorders>
                  </w:tcPr>
                  <w:p>
                    <w:pPr>
                      <w:jc w:val="center"/>
                      <w:rPr>
                        <w:b/>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2. Kitos lėšos</w:t>
                    </w:r>
                  </w:p>
                </w:tc>
                <w:tc>
                  <w:tcPr>
                    <w:tcW w:w="2268" w:type="dxa"/>
                    <w:tcBorders>
                      <w:top w:val="single" w:sz="4" w:space="0" w:color="auto"/>
                      <w:left w:val="single" w:sz="4" w:space="0" w:color="auto"/>
                      <w:bottom w:val="single" w:sz="4" w:space="0" w:color="auto"/>
                      <w:right w:val="single" w:sz="4" w:space="0" w:color="auto"/>
                    </w:tcBorders>
                  </w:tcPr>
                  <w:p>
                    <w:pPr>
                      <w:jc w:val="center"/>
                      <w:rPr>
                        <w:b/>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2.1.Savivaldybių biudžetų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2.2. Privačios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2.3. Kitos viešosios lėšos</w:t>
                    </w:r>
                  </w:p>
                </w:tc>
                <w:tc>
                  <w:tcPr>
                    <w:tcW w:w="2268" w:type="dxa"/>
                    <w:tcBorders>
                      <w:top w:val="single" w:sz="4" w:space="0" w:color="auto"/>
                      <w:left w:val="single" w:sz="4" w:space="0" w:color="auto"/>
                      <w:bottom w:val="single" w:sz="4" w:space="0" w:color="auto"/>
                      <w:right w:val="single" w:sz="4" w:space="0" w:color="auto"/>
                    </w:tcBorders>
                  </w:tcPr>
                  <w:p>
                    <w:pPr>
                      <w:rPr>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sz w:val="18"/>
                        <w:szCs w:val="18"/>
                      </w:rPr>
                    </w:pPr>
                    <w:r>
                      <w:rPr>
                        <w:b/>
                        <w:sz w:val="18"/>
                        <w:szCs w:val="18"/>
                      </w:rPr>
                      <w:t>IŠ VISO:</w:t>
                    </w:r>
                  </w:p>
                </w:tc>
                <w:tc>
                  <w:tcPr>
                    <w:tcW w:w="226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Cs/>
                        <w:sz w:val="18"/>
                        <w:szCs w:val="18"/>
                        <w:highlight w:val="yellow"/>
                      </w:rPr>
                    </w:pPr>
                    <w:r>
                      <w:rPr>
                        <w:bCs/>
                        <w:sz w:val="18"/>
                        <w:szCs w:val="18"/>
                      </w:rPr>
                      <w:t>313 581 120</w:t>
                    </w:r>
                  </w:p>
                </w:tc>
                <w:tc>
                  <w:tcPr>
                    <w:tcW w:w="1985"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sz w:val="18"/>
                        <w:szCs w:val="18"/>
                      </w:rPr>
                    </w:pPr>
                  </w:p>
                </w:tc>
                <w:tc>
                  <w:tcPr>
                    <w:tcW w:w="141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sz w:val="18"/>
                        <w:szCs w:val="18"/>
                      </w:rPr>
                    </w:pPr>
                  </w:p>
                </w:tc>
              </w:tr>
            </w:tbl>
            <w:p>
              <w:pPr>
                <w:ind w:right="253"/>
                <w:jc w:val="both"/>
                <w:rPr>
                  <w:color w:val="000000"/>
                  <w:szCs w:val="24"/>
                  <w:lang w:eastAsia="lt-LT"/>
                </w:rPr>
              </w:pPr>
            </w:p>
            <w:sdt>
              <w:sdtPr>
                <w:alias w:val="pastaba"/>
                <w:tag w:val="part_5d2c2a4672024b87a4b70925a10f2054"/>
                <w:lock w:val="sdtLocked"/>
                <w:richText/>
              </w:sdtPr>
              <w:sdtContent>
                <w:p>
                  <w:pPr>
                    <w:ind w:firstLine="567"/>
                    <w:jc w:val="both"/>
                    <w:rPr>
                      <w:color w:val="000000"/>
                      <w:szCs w:val="24"/>
                      <w:lang w:eastAsia="lt-LT"/>
                    </w:rPr>
                  </w:pPr>
                  <w:sdt>
                    <w:sdtPr>
                      <w:alias w:val="Pavadinimas"/>
                      <w:tag w:val="title_5d2c2a4672024b87a4b70925a10f2054"/>
                      <w:lock w:val="sdtLocked"/>
                      <w:richText/>
                    </w:sdtPr>
                    <w:sdtContent>
                      <w:r>
                        <w:rPr>
                          <w:b/>
                          <w:bCs/>
                          <w:color w:val="000000"/>
                          <w:szCs w:val="24"/>
                          <w:lang w:eastAsia="lt-LT"/>
                        </w:rPr>
                        <w:t>*Pastaba.</w:t>
                      </w:r>
                    </w:sdtContent>
                  </w:sdt>
                </w:p>
                <w:p>
                  <w:pPr>
                    <w:ind w:firstLine="567"/>
                    <w:jc w:val="both"/>
                    <w:rPr>
                      <w:color w:val="000000"/>
                      <w:szCs w:val="24"/>
                      <w:lang w:eastAsia="lt-LT"/>
                    </w:rPr>
                  </w:pPr>
                  <w:r>
                    <w:rPr>
                      <w:color w:val="000000"/>
                      <w:szCs w:val="24"/>
                      <w:lang w:eastAsia="lt-LT"/>
                    </w:rPr>
                    <w:t>15 348 tūkst. Eur suma bus mažinamos tęstinėms Švietimo, mokslo ir sporto ministerijos (toliau – ŠMSM) ir Lietuvos mokslo tarybos (toliau – LMT) priemonėms 2022–2024 metams suplanuotos valstybės biudžeto lėšos:</w:t>
                  </w:r>
                </w:p>
                <w:p>
                  <w:pPr>
                    <w:ind w:firstLine="567"/>
                    <w:jc w:val="both"/>
                    <w:rPr>
                      <w:color w:val="000000"/>
                      <w:szCs w:val="24"/>
                      <w:lang w:eastAsia="lt-LT"/>
                    </w:rPr>
                  </w:pPr>
                  <w:r>
                    <w:rPr>
                      <w:color w:val="000000"/>
                      <w:szCs w:val="24"/>
                      <w:lang w:eastAsia="lt-LT"/>
                    </w:rPr>
                    <w:t>Veiklos „1.1. Mokslo ir inovacijų misijų programos“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4 000 tūkst. Eur, 2024 m. – 4 000 tūkst. Eur.</w:t>
                  </w:r>
                </w:p>
                <w:p>
                  <w:pPr>
                    <w:ind w:firstLine="567"/>
                    <w:jc w:val="both"/>
                    <w:rPr>
                      <w:color w:val="000000"/>
                      <w:szCs w:val="24"/>
                      <w:lang w:eastAsia="lt-LT"/>
                    </w:rPr>
                  </w:pPr>
                  <w:r>
                    <w:rPr>
                      <w:color w:val="000000"/>
                      <w:szCs w:val="24"/>
                      <w:lang w:eastAsia="lt-LT"/>
                    </w:rPr>
                    <w:t>Veiklos „1.2. Valstybės MTEP užsakymai“ naujiems kvietimams iš patvirtintų valstybės biudžeto lėšų asignavimų tęstinei priemonei LMT 12-001-11-02-03 „Įgyvendinti programinį konkursinį MTEP finansavimą“ bus skirta 2023 m. – 2 000 tūkst. Eur, 2024 m. – 2 000 tūkst. Eur.</w:t>
                  </w:r>
                </w:p>
                <w:p>
                  <w:pPr>
                    <w:ind w:firstLine="567"/>
                    <w:jc w:val="both"/>
                    <w:rPr>
                      <w:color w:val="000000"/>
                      <w:szCs w:val="24"/>
                      <w:lang w:eastAsia="lt-LT"/>
                    </w:rPr>
                  </w:pPr>
                  <w:r>
                    <w:rPr>
                      <w:color w:val="000000"/>
                      <w:szCs w:val="24"/>
                      <w:lang w:eastAsia="lt-LT"/>
                    </w:rPr>
                    <w:t>Veiklos „1.3. Mokslininkų inicijuoti projektai“ naujiems kvietimams iš patvirtintų valstybės biudžeto lėšų asignavimų tęstinei priemonei LMT 12-001-11-02-03 „Įgyvendinti programinį konkursinį MTEP finansavimą“ bus skirta 2023 m. – 303 tūkst. Eur, 2024 m. – 655 tūkst. Eur.</w:t>
                  </w:r>
                </w:p>
                <w:p>
                  <w:pPr>
                    <w:ind w:firstLine="567"/>
                    <w:jc w:val="both"/>
                    <w:rPr>
                      <w:color w:val="000000"/>
                      <w:szCs w:val="24"/>
                      <w:lang w:eastAsia="lt-LT"/>
                    </w:rPr>
                  </w:pPr>
                  <w:r>
                    <w:rPr>
                      <w:color w:val="000000"/>
                      <w:szCs w:val="24"/>
                      <w:lang w:eastAsia="lt-LT"/>
                    </w:rPr>
                    <w:t>Veiklos „1.8. Technologinės plėtros projektai“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675 tūkst. Eur, 2024 m. – 675 tūkst. Eur.</w:t>
                  </w:r>
                </w:p>
                <w:p>
                  <w:pPr>
                    <w:ind w:firstLine="567"/>
                    <w:jc w:val="both"/>
                    <w:rPr>
                      <w:color w:val="000000"/>
                      <w:szCs w:val="24"/>
                      <w:lang w:eastAsia="lt-LT"/>
                    </w:rPr>
                  </w:pPr>
                  <w:r>
                    <w:rPr>
                      <w:color w:val="000000"/>
                      <w:szCs w:val="24"/>
                      <w:lang w:eastAsia="lt-LT"/>
                    </w:rPr>
                    <w:t>Veiklos „2.4. Tarptautiniai MTEP projektai“ naujiems dvišalių ir trišalių tarptautinių sutarčių ir tarptautinių projektų kvietimams iš patvirtintų valstybės biudžeto lėšų asignavimų tęstinei priemonei LMT 12-001-11-02-03 „Įgyvendinti programinį konkursinį MTEP finansavimą“ bus skirta 2023 m. – 0 tūkst. Eur, 2024 m. – 200 tūkst. Eur.</w:t>
                  </w:r>
                </w:p>
                <w:p>
                  <w:pPr>
                    <w:ind w:firstLine="567"/>
                    <w:jc w:val="both"/>
                    <w:rPr>
                      <w:sz w:val="22"/>
                      <w:szCs w:val="22"/>
                      <w:lang w:eastAsia="lt-LT"/>
                    </w:rPr>
                  </w:pPr>
                  <w:r>
                    <w:rPr>
                      <w:color w:val="000000"/>
                      <w:szCs w:val="24"/>
                      <w:lang w:eastAsia="lt-LT"/>
                    </w:rPr>
                    <w:t xml:space="preserve">Veiklos „2.4. Tarptautiniai MTEP projektai“ naujiems Europos partnerysčių ir iniciatyvų projektų kvietimams iš patvirtintų valstybės biudžeto lėšų asignavimų tęstinei priemonei ŠMSM       12-001-01-03-03 „Užtikrinti tarptautinių Lietuvos susitarimų ir įsipareigojimų MTEP srityje vykdymą bei dalyvavimą tarptautinėse MTEP programose (įskaitant „Eurostars 2“, „Eureka“, „Europos horizontas“, „Plastikos piratai“ ir kt.)“ bus skirta 2023 m. – 90 tūkst. Eur, 2024 m. – 750 tūkst. Eur.</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767ee09f7d11f0a34db2fbd35a03b2">
                <w:r w:rsidRPr="00532B9F">
                  <w:rPr>
                    <w:rFonts w:ascii="Times New Roman" w:eastAsia="MS Mincho" w:hAnsi="Times New Roman"/>
                    <w:sz w:val="20"/>
                    <w:i/>
                    <w:iCs/>
                    <w:color w:val="0000FF" w:themeColor="hyperlink"/>
                    <w:u w:val="single"/>
                  </w:rPr>
                  <w:t>V-1020</w:t>
                </w:r>
              </w:fldSimple>
              <w:r>
                <w:rPr>
                  <w:rFonts w:ascii="Times New Roman" w:eastAsia="MS Mincho" w:hAnsi="Times New Roman"/>
                  <w:sz w:val="20"/>
                  <w:i/>
                  <w:iCs/>
                </w:rPr>
                <w:t>,
2025-10-02,
paskelbta TAR 2025-10-02, i. k. 2025-16638            </w:t>
              </w:r>
            </w:p>
            <w:p/>
          </w:sdtContent>
        </w:sdt>
        <w:sdt>
          <w:sdtPr>
            <w:alias w:val="skyrius"/>
            <w:tag w:val="part_5647ca13df7c4c6e8464ae89ccac32dc"/>
            <w:lock w:val="sdtLocked"/>
            <w:richText/>
          </w:sdtPr>
          <w:sdtContent>
            <w:p>
              <w:pPr>
                <w:jc w:val="center"/>
                <w:rPr>
                  <w:b/>
                  <w:bCs/>
                </w:rPr>
              </w:pPr>
              <w:sdt>
                <w:sdtPr>
                  <w:alias w:val="Numeris"/>
                  <w:tag w:val="nr_5647ca13df7c4c6e8464ae89ccac32dc"/>
                  <w:lock w:val="sdtLocked"/>
                  <w:richText/>
                </w:sdtPr>
                <w:sdtContent>
                  <w:r>
                    <w:rPr>
                      <w:b/>
                      <w:bCs/>
                    </w:rPr>
                    <w:t>III</w:t>
                  </w:r>
                </w:sdtContent>
              </w:sdt>
              <w:r>
                <w:rPr>
                  <w:b/>
                  <w:bCs/>
                </w:rPr>
                <w:t xml:space="preserve"> SKYRIUS</w:t>
              </w:r>
            </w:p>
            <w:p>
              <w:pPr>
                <w:rPr>
                  <w:sz w:val="2"/>
                  <w:szCs w:val="2"/>
                </w:rPr>
              </w:pPr>
            </w:p>
            <w:p>
              <w:pPr>
                <w:jc w:val="center"/>
                <w:rPr>
                  <w:b/>
                  <w:bCs/>
                </w:rPr>
              </w:pPr>
              <w:sdt>
                <w:sdtPr>
                  <w:alias w:val="Pavadinimas"/>
                  <w:tag w:val="title_5647ca13df7c4c6e8464ae89ccac32dc"/>
                  <w:lock w:val="sdtLocked"/>
                  <w:richText/>
                </w:sdtPr>
                <w:sdtContent>
                  <w:r>
                    <w:rPr>
                      <w:b/>
                      <w:bCs/>
                    </w:rPr>
                    <w:t>PLĖTROS PROGRAMOS PAŽANGOS PRIEMONĖS VEIKLŲ SUVESTINĖ</w:t>
                  </w:r>
                </w:sdtContent>
              </w:sdt>
            </w:p>
            <w:p>
              <w:pPr>
                <w:jc w:val="center"/>
                <w:rPr>
                  <w:b/>
                  <w:bC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5"/>
                <w:gridCol w:w="380"/>
                <w:gridCol w:w="612"/>
                <w:gridCol w:w="1069"/>
                <w:gridCol w:w="715"/>
                <w:gridCol w:w="1170"/>
                <w:gridCol w:w="1061"/>
                <w:gridCol w:w="1061"/>
                <w:gridCol w:w="1079"/>
                <w:gridCol w:w="778"/>
                <w:gridCol w:w="1530"/>
                <w:gridCol w:w="1278"/>
                <w:gridCol w:w="1317"/>
                <w:gridCol w:w="1070"/>
              </w:tblGrid>
              <w:tr>
                <w:trPr>
                  <w:trHeight w:val="555"/>
                </w:trPr>
                <w:tc>
                  <w:tcPr>
                    <w:tcW w:w="322"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250" w:firstLine="250"/>
                      <w:jc w:val="center"/>
                      <w:rPr>
                        <w:b/>
                        <w:sz w:val="22"/>
                        <w:szCs w:val="22"/>
                      </w:rPr>
                    </w:pPr>
                    <w:r>
                      <w:rPr>
                        <w:b/>
                        <w:sz w:val="22"/>
                        <w:szCs w:val="22"/>
                      </w:rPr>
                      <w:t>Veikla</w:t>
                    </w:r>
                  </w:p>
                </w:tc>
                <w:tc>
                  <w:tcPr>
                    <w:tcW w:w="353" w:type="pct"/>
                    <w:gridSpan w:val="2"/>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Veiklos (poveiklės, projekto) tipas</w:t>
                    </w:r>
                  </w:p>
                </w:tc>
                <w:tc>
                  <w:tcPr>
                    <w:tcW w:w="381"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250" w:firstLine="132"/>
                      <w:jc w:val="center"/>
                      <w:rPr>
                        <w:b/>
                        <w:sz w:val="22"/>
                        <w:szCs w:val="22"/>
                      </w:rPr>
                    </w:pPr>
                    <w:r>
                      <w:rPr>
                        <w:b/>
                        <w:sz w:val="22"/>
                        <w:szCs w:val="22"/>
                      </w:rPr>
                      <w:t>Galimi pareiškėjai</w:t>
                    </w:r>
                  </w:p>
                </w:tc>
                <w:tc>
                  <w:tcPr>
                    <w:tcW w:w="255"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117"/>
                      <w:jc w:val="center"/>
                      <w:rPr>
                        <w:b/>
                        <w:sz w:val="22"/>
                        <w:szCs w:val="22"/>
                      </w:rPr>
                    </w:pPr>
                    <w:r>
                      <w:rPr>
                        <w:b/>
                        <w:sz w:val="22"/>
                        <w:szCs w:val="22"/>
                      </w:rPr>
                      <w:t>Projektų atrankos būdas</w:t>
                    </w:r>
                  </w:p>
                </w:tc>
                <w:tc>
                  <w:tcPr>
                    <w:tcW w:w="41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firstLine="27"/>
                      <w:jc w:val="center"/>
                      <w:rPr>
                        <w:b/>
                        <w:sz w:val="22"/>
                        <w:szCs w:val="22"/>
                      </w:rPr>
                    </w:pPr>
                    <w:r>
                      <w:rPr>
                        <w:b/>
                        <w:sz w:val="22"/>
                        <w:szCs w:val="22"/>
                      </w:rPr>
                      <w:t xml:space="preserve">Tiesiogiai </w:t>
                    </w:r>
                    <w:r>
                      <w:rPr>
                        <w:b/>
                        <w:sz w:val="20"/>
                      </w:rPr>
                      <w:t>prisidedama prie horizontaliųjų principų įgyvendinimo (DV; IN; LG; Neprisidedama)</w:t>
                    </w:r>
                  </w:p>
                </w:tc>
                <w:tc>
                  <w:tcPr>
                    <w:tcW w:w="378"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Finansavimo forma</w:t>
                    </w:r>
                  </w:p>
                </w:tc>
                <w:tc>
                  <w:tcPr>
                    <w:tcW w:w="378"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250" w:firstLine="250"/>
                      <w:jc w:val="center"/>
                      <w:rPr>
                        <w:b/>
                        <w:sz w:val="22"/>
                        <w:szCs w:val="22"/>
                      </w:rPr>
                    </w:pPr>
                    <w:r>
                      <w:rPr>
                        <w:b/>
                        <w:sz w:val="22"/>
                        <w:szCs w:val="22"/>
                      </w:rPr>
                      <w:t>Finansavimo suma, eurais</w:t>
                    </w:r>
                  </w:p>
                </w:tc>
                <w:tc>
                  <w:tcPr>
                    <w:tcW w:w="385"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firstLine="25"/>
                      <w:jc w:val="center"/>
                      <w:rPr>
                        <w:b/>
                        <w:sz w:val="22"/>
                        <w:szCs w:val="22"/>
                      </w:rPr>
                    </w:pPr>
                    <w:r>
                      <w:rPr>
                        <w:b/>
                        <w:sz w:val="22"/>
                        <w:szCs w:val="22"/>
                      </w:rPr>
                      <w:t xml:space="preserve">Finansavimo šaltinis </w:t>
                    </w:r>
                  </w:p>
                </w:tc>
                <w:tc>
                  <w:tcPr>
                    <w:tcW w:w="278"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57" w:firstLine="57"/>
                      <w:jc w:val="center"/>
                      <w:rPr>
                        <w:b/>
                        <w:sz w:val="22"/>
                        <w:szCs w:val="22"/>
                      </w:rPr>
                    </w:pPr>
                    <w:r>
                      <w:rPr>
                        <w:b/>
                        <w:sz w:val="22"/>
                        <w:szCs w:val="22"/>
                      </w:rPr>
                      <w:t>Europos Sąjungos lėšų fondas, regionas (Vidurio ir vakarų Lietuvos, Sostinės)</w:t>
                    </w:r>
                  </w:p>
                </w:tc>
                <w:tc>
                  <w:tcPr>
                    <w:tcW w:w="546"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57" w:firstLine="119"/>
                      <w:jc w:val="center"/>
                      <w:rPr>
                        <w:b/>
                        <w:sz w:val="22"/>
                        <w:szCs w:val="22"/>
                      </w:rPr>
                    </w:pPr>
                    <w:r>
                      <w:rPr>
                        <w:b/>
                        <w:sz w:val="22"/>
                        <w:szCs w:val="22"/>
                      </w:rPr>
                      <w:t>Rodiklio (rezultato, produkto) kodas, pavadinimas ir matavimo vnt.</w:t>
                    </w:r>
                  </w:p>
                </w:tc>
                <w:tc>
                  <w:tcPr>
                    <w:tcW w:w="456"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250" w:firstLine="136"/>
                      <w:jc w:val="center"/>
                      <w:rPr>
                        <w:b/>
                        <w:sz w:val="22"/>
                        <w:szCs w:val="22"/>
                      </w:rPr>
                    </w:pPr>
                    <w:r>
                      <w:rPr>
                        <w:b/>
                        <w:sz w:val="22"/>
                        <w:szCs w:val="22"/>
                      </w:rPr>
                      <w:t>Siektina galutinė rodiklio reikšmė</w:t>
                    </w:r>
                  </w:p>
                  <w:p>
                    <w:pPr>
                      <w:ind w:left="-250" w:firstLine="250"/>
                      <w:jc w:val="center"/>
                      <w:rPr>
                        <w:b/>
                        <w:sz w:val="22"/>
                        <w:szCs w:val="22"/>
                      </w:rPr>
                    </w:pPr>
                    <w:r>
                      <w:rPr>
                        <w:b/>
                        <w:sz w:val="22"/>
                        <w:szCs w:val="22"/>
                      </w:rPr>
                      <w:t>(ir metai)</w:t>
                    </w:r>
                  </w:p>
                </w:tc>
                <w:tc>
                  <w:tcPr>
                    <w:tcW w:w="469"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trike/>
                        <w:sz w:val="22"/>
                        <w:szCs w:val="22"/>
                      </w:rPr>
                    </w:pPr>
                    <w:r>
                      <w:rPr>
                        <w:b/>
                        <w:sz w:val="22"/>
                        <w:szCs w:val="22"/>
                      </w:rPr>
                      <w:t>Administruojan-čioji institucija</w:t>
                    </w:r>
                  </w:p>
                </w:tc>
                <w:tc>
                  <w:tcPr>
                    <w:tcW w:w="382"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Dalyvaujanti institucija</w:t>
                    </w:r>
                  </w:p>
                </w:tc>
              </w:tr>
              <w:tr>
                <w:trPr>
                  <w:trHeight w:val="288"/>
                </w:trPr>
                <w:tc>
                  <w:tcPr>
                    <w:tcW w:w="447" w:type="pct"/>
                    <w:gridSpan w:val="2"/>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1</w:t>
                    </w:r>
                  </w:p>
                </w:tc>
                <w:tc>
                  <w:tcPr>
                    <w:tcW w:w="228"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2</w:t>
                    </w:r>
                  </w:p>
                </w:tc>
                <w:tc>
                  <w:tcPr>
                    <w:tcW w:w="381"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3</w:t>
                    </w:r>
                  </w:p>
                </w:tc>
                <w:tc>
                  <w:tcPr>
                    <w:tcW w:w="255"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4</w:t>
                    </w:r>
                  </w:p>
                </w:tc>
                <w:tc>
                  <w:tcPr>
                    <w:tcW w:w="41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5</w:t>
                    </w:r>
                  </w:p>
                </w:tc>
                <w:tc>
                  <w:tcPr>
                    <w:tcW w:w="378"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6</w:t>
                    </w:r>
                  </w:p>
                </w:tc>
                <w:tc>
                  <w:tcPr>
                    <w:tcW w:w="378"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7</w:t>
                    </w:r>
                  </w:p>
                </w:tc>
                <w:tc>
                  <w:tcPr>
                    <w:tcW w:w="385"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8</w:t>
                    </w:r>
                  </w:p>
                </w:tc>
                <w:tc>
                  <w:tcPr>
                    <w:tcW w:w="278"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9</w:t>
                    </w:r>
                  </w:p>
                </w:tc>
                <w:tc>
                  <w:tcPr>
                    <w:tcW w:w="546"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10</w:t>
                    </w:r>
                  </w:p>
                </w:tc>
                <w:tc>
                  <w:tcPr>
                    <w:tcW w:w="456"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11</w:t>
                    </w:r>
                  </w:p>
                </w:tc>
                <w:tc>
                  <w:tcPr>
                    <w:tcW w:w="469"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12</w:t>
                    </w:r>
                  </w:p>
                </w:tc>
                <w:tc>
                  <w:tcPr>
                    <w:tcW w:w="382"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13</w:t>
                    </w:r>
                  </w:p>
                </w:tc>
              </w:tr>
              <w:tr>
                <w:trPr>
                  <w:trHeight w:val="1266"/>
                </w:trPr>
                <w:tc>
                  <w:tcPr>
                    <w:tcW w:w="447" w:type="pct"/>
                    <w:gridSpan w:val="2"/>
                    <w:tcBorders>
                      <w:top w:val="single" w:sz="4" w:space="0" w:color="auto"/>
                      <w:left w:val="single" w:sz="4" w:space="0" w:color="auto"/>
                      <w:bottom w:val="single" w:sz="4" w:space="0" w:color="auto"/>
                      <w:right w:val="single" w:sz="4" w:space="0" w:color="auto"/>
                    </w:tcBorders>
                    <w:hideMark/>
                  </w:tcPr>
                  <w:p>
                    <w:pPr>
                      <w:rPr>
                        <w:i/>
                        <w:sz w:val="22"/>
                        <w:szCs w:val="22"/>
                      </w:rPr>
                    </w:pPr>
                    <w:r>
                      <w:rPr>
                        <w:sz w:val="22"/>
                        <w:szCs w:val="22"/>
                      </w:rPr>
                      <w:t>1. MTEP vystymo paketas</w:t>
                    </w:r>
                  </w:p>
                </w:tc>
                <w:tc>
                  <w:tcPr>
                    <w:tcW w:w="22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8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 LMT</w:t>
                    </w:r>
                  </w:p>
                </w:tc>
                <w:tc>
                  <w:tcPr>
                    <w:tcW w:w="25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 P</w:t>
                    </w:r>
                  </w:p>
                </w:tc>
                <w:tc>
                  <w:tcPr>
                    <w:tcW w:w="41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3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378"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145 902 357;</w:t>
                    </w: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ind w:firstLine="57"/>
                      <w:textAlignment w:val="baseline"/>
                      <w:rPr>
                        <w:sz w:val="22"/>
                        <w:szCs w:val="22"/>
                        <w:lang w:eastAsia="lt-LT"/>
                      </w:rPr>
                    </w:pPr>
                    <w:r>
                      <w:rPr>
                        <w:sz w:val="22"/>
                        <w:szCs w:val="22"/>
                        <w:lang w:eastAsia="lt-LT"/>
                      </w:rPr>
                      <w:t>30 639 495</w:t>
                    </w:r>
                  </w:p>
                </w:tc>
                <w:tc>
                  <w:tcPr>
                    <w:tcW w:w="385"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 xml:space="preserve">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278" w:type="pct"/>
                    <w:tcBorders>
                      <w:top w:val="single" w:sz="4" w:space="0" w:color="auto"/>
                      <w:left w:val="single" w:sz="4" w:space="0" w:color="auto"/>
                      <w:bottom w:val="single" w:sz="4" w:space="0" w:color="auto"/>
                      <w:right w:val="single" w:sz="4" w:space="0" w:color="auto"/>
                    </w:tcBorders>
                  </w:tcPr>
                  <w:p>
                    <w:pPr>
                      <w:rPr>
                        <w:sz w:val="22"/>
                        <w:szCs w:val="22"/>
                      </w:rPr>
                    </w:pPr>
                  </w:p>
                </w:tc>
                <w:tc>
                  <w:tcPr>
                    <w:tcW w:w="546"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lang w:eastAsia="lt-LT"/>
                      </w:rPr>
                      <w:t>R-12-001-01-02-01-02</w:t>
                    </w:r>
                    <w:r>
                      <w:rPr>
                        <w:sz w:val="22"/>
                        <w:szCs w:val="22"/>
                      </w:rPr>
                      <w:t xml:space="preserve"> – Mokslo ir studijų institucijų pajamų už ūkio subjektų (įskaitant viešąjį sektorių) mokslinių tyrimų ir eksperimentinės plėtros užsakymus suma (tūkst. Eur</w:t>
                    </w:r>
                    <w:r>
                      <w:rPr>
                        <w:color w:val="000000"/>
                        <w:sz w:val="22"/>
                        <w:szCs w:val="22"/>
                        <w:lang w:eastAsia="lt-LT"/>
                      </w:rPr>
                      <w:t>)</w:t>
                    </w:r>
                  </w:p>
                  <w:p>
                    <w:pPr>
                      <w:rPr>
                        <w:sz w:val="22"/>
                        <w:szCs w:val="22"/>
                      </w:rPr>
                    </w:pPr>
                  </w:p>
                  <w:p>
                    <w:pPr>
                      <w:rPr>
                        <w:color w:val="000000"/>
                        <w:sz w:val="22"/>
                        <w:szCs w:val="22"/>
                      </w:rPr>
                    </w:pPr>
                    <w:r>
                      <w:rPr>
                        <w:sz w:val="22"/>
                        <w:szCs w:val="22"/>
                        <w:lang w:eastAsia="lt-LT"/>
                      </w:rPr>
                      <w:t>R-12-001-01-02-01-03-</w:t>
                    </w:r>
                    <w:r>
                      <w:rPr>
                        <w:sz w:val="22"/>
                        <w:szCs w:val="22"/>
                      </w:rPr>
                      <w:t xml:space="preserve">Publikacijų pagal </w:t>
                    </w:r>
                    <w:r>
                      <w:rPr>
                        <w:i/>
                        <w:iCs/>
                        <w:sz w:val="22"/>
                        <w:szCs w:val="22"/>
                      </w:rPr>
                      <w:t>CA WoS</w:t>
                    </w:r>
                    <w:r>
                      <w:rPr>
                        <w:sz w:val="22"/>
                        <w:szCs w:val="22"/>
                      </w:rPr>
                      <w:t xml:space="preserve"> duomenų bazę skaičius, vienetai (kaupiamuoju būdu)</w:t>
                    </w:r>
                  </w:p>
                </w:tc>
                <w:tc>
                  <w:tcPr>
                    <w:tcW w:w="456"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21 000 (2030)</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31 660 (2030)</w:t>
                    </w:r>
                  </w:p>
                </w:tc>
                <w:tc>
                  <w:tcPr>
                    <w:tcW w:w="469"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8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447"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1.1. Mokslo ir inovacijų misijų programos</w:t>
                    </w:r>
                  </w:p>
                </w:tc>
                <w:tc>
                  <w:tcPr>
                    <w:tcW w:w="22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8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5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41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3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3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8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278"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546"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456"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469"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38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EIM</w:t>
                    </w:r>
                  </w:p>
                </w:tc>
              </w:tr>
              <w:tr>
                <w:trPr>
                  <w:trHeight w:val="233"/>
                </w:trPr>
                <w:tc>
                  <w:tcPr>
                    <w:tcW w:w="447"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1.2. Valstybės MTEP užsakymai</w:t>
                    </w:r>
                  </w:p>
                </w:tc>
                <w:tc>
                  <w:tcPr>
                    <w:tcW w:w="22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8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5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41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3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3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8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278"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546"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456"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469"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38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447"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1.3. Mokslininkų inicijuoti projektai</w:t>
                    </w:r>
                  </w:p>
                </w:tc>
                <w:tc>
                  <w:tcPr>
                    <w:tcW w:w="22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8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5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41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3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3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85" w:type="pct"/>
                    <w:tcBorders>
                      <w:top w:val="single" w:sz="4" w:space="0" w:color="auto"/>
                      <w:left w:val="single" w:sz="4" w:space="0" w:color="auto"/>
                      <w:bottom w:val="single" w:sz="4" w:space="0" w:color="auto"/>
                      <w:right w:val="single" w:sz="4" w:space="0" w:color="auto"/>
                    </w:tcBorders>
                    <w:hideMark/>
                  </w:tcPr>
                  <w:p>
                    <w:pPr>
                      <w:jc w:val="center"/>
                      <w:rPr>
                        <w:bCs/>
                        <w:sz w:val="22"/>
                        <w:szCs w:val="22"/>
                      </w:rPr>
                    </w:pPr>
                    <w:r>
                      <w:rPr>
                        <w:bCs/>
                        <w:sz w:val="22"/>
                        <w:szCs w:val="22"/>
                      </w:rPr>
                      <w:t>-</w:t>
                    </w:r>
                  </w:p>
                </w:tc>
                <w:tc>
                  <w:tcPr>
                    <w:tcW w:w="278"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546"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456"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469"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38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447"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1.4. Skatinti vykdyti taikomuosius MTEP (Sostinė)</w:t>
                    </w:r>
                  </w:p>
                </w:tc>
                <w:tc>
                  <w:tcPr>
                    <w:tcW w:w="22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8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 xml:space="preserve">LMT </w:t>
                    </w:r>
                  </w:p>
                </w:tc>
                <w:tc>
                  <w:tcPr>
                    <w:tcW w:w="25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41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3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378"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22 000 000:</w:t>
                    </w:r>
                  </w:p>
                  <w:p>
                    <w:pPr>
                      <w:rPr>
                        <w:sz w:val="22"/>
                        <w:szCs w:val="22"/>
                      </w:rPr>
                    </w:pPr>
                    <w:r>
                      <w:rPr>
                        <w:sz w:val="22"/>
                        <w:szCs w:val="22"/>
                      </w:rPr>
                      <w:t xml:space="preserve">11 000  000 – </w:t>
                    </w:r>
                    <w:r>
                      <w:rPr>
                        <w:color w:val="000000"/>
                        <w:sz w:val="22"/>
                        <w:szCs w:val="22"/>
                        <w:lang w:eastAsia="lt-LT"/>
                      </w:rPr>
                      <w:t>ES fondų lėšos,</w:t>
                    </w:r>
                  </w:p>
                  <w:p>
                    <w:pPr>
                      <w:rPr>
                        <w:sz w:val="22"/>
                        <w:szCs w:val="22"/>
                      </w:rPr>
                    </w:pPr>
                    <w:r>
                      <w:rPr>
                        <w:sz w:val="22"/>
                        <w:szCs w:val="22"/>
                      </w:rPr>
                      <w:t>11 000 000 –</w:t>
                    </w:r>
                    <w:r>
                      <w:rPr>
                        <w:color w:val="000000"/>
                        <w:sz w:val="22"/>
                        <w:szCs w:val="22"/>
                        <w:lang w:eastAsia="lt-LT"/>
                      </w:rPr>
                      <w:t xml:space="preserve"> ES fondų BF lėšos</w:t>
                    </w:r>
                    <w:r>
                      <w:rPr>
                        <w:sz w:val="22"/>
                        <w:szCs w:val="22"/>
                      </w:rPr>
                      <w:t>;</w:t>
                    </w:r>
                  </w:p>
                  <w:p>
                    <w:pPr>
                      <w:rPr>
                        <w:sz w:val="22"/>
                        <w:szCs w:val="22"/>
                      </w:rPr>
                    </w:pPr>
                  </w:p>
                  <w:p>
                    <w:pPr>
                      <w:rPr>
                        <w:sz w:val="22"/>
                        <w:szCs w:val="22"/>
                      </w:rPr>
                    </w:pPr>
                    <w:r>
                      <w:rPr>
                        <w:sz w:val="22"/>
                        <w:szCs w:val="22"/>
                      </w:rPr>
                      <w:t>4 620 000</w:t>
                    </w:r>
                  </w:p>
                </w:tc>
                <w:tc>
                  <w:tcPr>
                    <w:tcW w:w="385"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 xml:space="preserve">metų ES fondų ir 2021–2027 metų ES fondų </w:t>
                    </w:r>
                    <w:r>
                      <w:rPr>
                        <w:sz w:val="22"/>
                        <w:szCs w:val="22"/>
                      </w:rPr>
                      <w:t>BF lėšos</w:t>
                    </w: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278"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46"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P-12-001-01-02-01-01 – Paramą gavusiose mokslinių tyrimų įstaigose dirbantys mokslininkai</w:t>
                    </w:r>
                    <w:r>
                      <w:rPr>
                        <w:sz w:val="22"/>
                        <w:szCs w:val="22"/>
                      </w:rPr>
                      <w:t xml:space="preserve">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P-12-001-01-02-01-02 – Bendruose mokslinių tyrimų projektuose dalyvaujančios mokslinių tyrimų organizacijos,</w:t>
                    </w:r>
                    <w:r>
                      <w:rPr>
                        <w:sz w:val="22"/>
                        <w:szCs w:val="22"/>
                      </w:rPr>
                      <w:t xml:space="preserve"> (mok</w:t>
                    </w:r>
                    <w:r>
                      <w:rPr>
                        <w:sz w:val="22"/>
                        <w:szCs w:val="22"/>
                        <w:lang w:eastAsia="en-GB"/>
                      </w:rPr>
                      <w:t>slinių tyrimų organizacijos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P-12-001-01-02-01-03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R-12-001-01-02-01-04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textAlignment w:val="baseline"/>
                      <w:rPr>
                        <w:sz w:val="22"/>
                        <w:szCs w:val="22"/>
                      </w:rPr>
                    </w:pPr>
                    <w:r>
                      <w:rPr>
                        <w:sz w:val="22"/>
                        <w:szCs w:val="22"/>
                        <w:lang w:eastAsia="lt-LT"/>
                      </w:rPr>
                      <w:t>R-12-001-01-02-01-05</w:t>
                    </w:r>
                    <w:r>
                      <w:rPr>
                        <w:sz w:val="22"/>
                        <w:szCs w:val="22"/>
                      </w:rPr>
                      <w:t xml:space="preserve"> – Remiamų projektų leidiniai (leidiniai</w:t>
                    </w:r>
                    <w:r>
                      <w:rPr>
                        <w:color w:val="000000"/>
                        <w:sz w:val="22"/>
                        <w:szCs w:val="22"/>
                        <w:lang w:eastAsia="lt-LT"/>
                      </w:rPr>
                      <w:t>)</w:t>
                    </w:r>
                  </w:p>
                  <w:p>
                    <w:pPr>
                      <w:rPr>
                        <w:sz w:val="22"/>
                        <w:szCs w:val="22"/>
                      </w:rPr>
                    </w:pPr>
                  </w:p>
                  <w:p>
                    <w:pPr>
                      <w:textAlignment w:val="baseline"/>
                      <w:rPr>
                        <w:sz w:val="22"/>
                        <w:szCs w:val="22"/>
                      </w:rPr>
                    </w:pPr>
                    <w:r>
                      <w:rPr>
                        <w:color w:val="000000"/>
                        <w:sz w:val="22"/>
                        <w:szCs w:val="22"/>
                      </w:rPr>
                      <w:t>P-12-001-01-02-01-19</w:t>
                    </w:r>
                    <w:r>
                      <w:rPr>
                        <w:sz w:val="22"/>
                        <w:szCs w:val="22"/>
                        <w:lang w:eastAsia="lt-LT"/>
                      </w:rPr>
                      <w:t xml:space="preserve"> </w:t>
                    </w:r>
                    <w:r>
                      <w:rPr>
                        <w:sz w:val="22"/>
                        <w:szCs w:val="22"/>
                      </w:rPr>
                      <w:t>–</w:t>
                    </w:r>
                    <w:r>
                      <w:rPr>
                        <w:sz w:val="22"/>
                        <w:szCs w:val="22"/>
                        <w:lang w:eastAsia="lt-LT"/>
                      </w:rPr>
                      <w:t xml:space="preserve"> Sukurti tarptautiniai kompetencijų centrai</w:t>
                    </w:r>
                    <w:r>
                      <w:rPr>
                        <w:sz w:val="22"/>
                        <w:szCs w:val="22"/>
                      </w:rPr>
                      <w:t xml:space="preserve"> (</w:t>
                    </w:r>
                    <w:r>
                      <w:rPr>
                        <w:sz w:val="22"/>
                        <w:szCs w:val="22"/>
                        <w:lang w:eastAsia="lt-LT"/>
                      </w:rPr>
                      <w:t>skaičius</w:t>
                    </w:r>
                    <w:r>
                      <w:rPr>
                        <w:color w:val="000000"/>
                        <w:sz w:val="22"/>
                        <w:szCs w:val="22"/>
                        <w:lang w:eastAsia="lt-LT"/>
                      </w:rPr>
                      <w:t>)</w:t>
                    </w:r>
                  </w:p>
                </w:tc>
                <w:tc>
                  <w:tcPr>
                    <w:tcW w:w="456"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110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3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4 000 000</w:t>
                    </w: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30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tc>
                <w:tc>
                  <w:tcPr>
                    <w:tcW w:w="469"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CPVA</w:t>
                    </w:r>
                  </w:p>
                </w:tc>
                <w:tc>
                  <w:tcPr>
                    <w:tcW w:w="38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447"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1.5. Skatinti vykdyti taikomuosius MTEP (VVL)</w:t>
                    </w:r>
                  </w:p>
                </w:tc>
                <w:tc>
                  <w:tcPr>
                    <w:tcW w:w="22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8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25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41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3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378"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15 586 340 (galima viršyti 4 413 660)</w:t>
                    </w:r>
                  </w:p>
                  <w:p>
                    <w:pPr>
                      <w:textAlignment w:val="baseline"/>
                      <w:rPr>
                        <w:sz w:val="22"/>
                        <w:szCs w:val="22"/>
                        <w:lang w:eastAsia="lt-LT"/>
                      </w:rPr>
                    </w:pPr>
                  </w:p>
                  <w:p>
                    <w:pPr>
                      <w:rPr>
                        <w:sz w:val="22"/>
                        <w:szCs w:val="22"/>
                      </w:rPr>
                    </w:pPr>
                  </w:p>
                  <w:p>
                    <w:pPr>
                      <w:rPr>
                        <w:sz w:val="22"/>
                        <w:szCs w:val="22"/>
                      </w:rPr>
                    </w:pPr>
                    <w:r>
                      <w:rPr>
                        <w:sz w:val="22"/>
                        <w:szCs w:val="22"/>
                      </w:rPr>
                      <w:t>3 273 131</w:t>
                    </w:r>
                  </w:p>
                </w:tc>
                <w:tc>
                  <w:tcPr>
                    <w:tcW w:w="385"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278"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46"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P-12-001-01-02-01-01 –Paramą gavusiose mokslinių tyrimų įstaigose dirbantys mokslininkai</w:t>
                    </w:r>
                    <w:r>
                      <w:rPr>
                        <w:sz w:val="22"/>
                        <w:szCs w:val="22"/>
                      </w:rPr>
                      <w:t xml:space="preserve">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P-12-001-01-02-01-02 – Bendruose mokslinių tyrimų projektuose dalyvaujančios mokslinių tyrimų organizacijos (</w:t>
                    </w:r>
                    <w:r>
                      <w:rPr>
                        <w:sz w:val="22"/>
                        <w:szCs w:val="22"/>
                        <w:lang w:eastAsia="en-GB"/>
                      </w:rPr>
                      <w:t>mokslinių tyrimų organizacijos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P-12-001-01-02-01-03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R-12-001-01-02-01-04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textAlignment w:val="baseline"/>
                      <w:rPr>
                        <w:sz w:val="22"/>
                        <w:szCs w:val="22"/>
                      </w:rPr>
                    </w:pPr>
                    <w:r>
                      <w:rPr>
                        <w:sz w:val="22"/>
                        <w:szCs w:val="22"/>
                        <w:lang w:eastAsia="lt-LT"/>
                      </w:rPr>
                      <w:t>R-12-001-01-02-01-05</w:t>
                    </w:r>
                    <w:r>
                      <w:rPr>
                        <w:sz w:val="22"/>
                        <w:szCs w:val="22"/>
                      </w:rPr>
                      <w:t xml:space="preserve"> – Remiamų projektų leidiniai (leidiniai</w:t>
                    </w:r>
                    <w:r>
                      <w:rPr>
                        <w:color w:val="000000"/>
                        <w:sz w:val="22"/>
                        <w:szCs w:val="22"/>
                        <w:lang w:eastAsia="lt-LT"/>
                      </w:rPr>
                      <w:t>)</w:t>
                    </w:r>
                  </w:p>
                  <w:p>
                    <w:pPr>
                      <w:rPr>
                        <w:sz w:val="22"/>
                        <w:szCs w:val="22"/>
                      </w:rPr>
                    </w:pPr>
                  </w:p>
                  <w:p>
                    <w:pPr>
                      <w:rPr>
                        <w:sz w:val="22"/>
                        <w:szCs w:val="22"/>
                      </w:rPr>
                    </w:pPr>
                    <w:r>
                      <w:rPr>
                        <w:color w:val="000000"/>
                        <w:sz w:val="22"/>
                        <w:szCs w:val="22"/>
                      </w:rPr>
                      <w:t>P-12-001-01-02-01-19</w:t>
                    </w:r>
                    <w:r>
                      <w:rPr>
                        <w:sz w:val="22"/>
                        <w:szCs w:val="22"/>
                        <w:lang w:eastAsia="lt-LT"/>
                      </w:rPr>
                      <w:t xml:space="preserve"> </w:t>
                    </w:r>
                    <w:r>
                      <w:rPr>
                        <w:sz w:val="22"/>
                        <w:szCs w:val="22"/>
                      </w:rPr>
                      <w:t>–</w:t>
                    </w:r>
                    <w:r>
                      <w:rPr>
                        <w:sz w:val="22"/>
                        <w:szCs w:val="22"/>
                        <w:lang w:eastAsia="lt-LT"/>
                      </w:rPr>
                      <w:t xml:space="preserve"> Sukurti tarptautiniai kompetencijų centrai</w:t>
                    </w:r>
                    <w:r>
                      <w:rPr>
                        <w:sz w:val="22"/>
                        <w:szCs w:val="22"/>
                      </w:rPr>
                      <w:t xml:space="preserve"> (</w:t>
                    </w:r>
                    <w:r>
                      <w:rPr>
                        <w:sz w:val="22"/>
                        <w:szCs w:val="22"/>
                        <w:lang w:eastAsia="lt-LT"/>
                      </w:rPr>
                      <w:t>skaičius</w:t>
                    </w:r>
                    <w:r>
                      <w:rPr>
                        <w:color w:val="000000"/>
                        <w:sz w:val="22"/>
                        <w:szCs w:val="22"/>
                        <w:lang w:eastAsia="lt-LT"/>
                      </w:rPr>
                      <w:t>)</w:t>
                    </w:r>
                  </w:p>
                </w:tc>
                <w:tc>
                  <w:tcPr>
                    <w:tcW w:w="456"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110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4 000 000</w:t>
                    </w: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30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 (2029)</w:t>
                    </w:r>
                  </w:p>
                </w:tc>
                <w:tc>
                  <w:tcPr>
                    <w:tcW w:w="469"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8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447"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1.6. Skatinti vykdyti taikomuosius MTEP (Sostinė)</w:t>
                    </w:r>
                  </w:p>
                </w:tc>
                <w:tc>
                  <w:tcPr>
                    <w:tcW w:w="22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81" w:type="pct"/>
                    <w:tcBorders>
                      <w:top w:val="single" w:sz="4" w:space="0" w:color="auto"/>
                      <w:left w:val="single" w:sz="4" w:space="0" w:color="auto"/>
                      <w:bottom w:val="single" w:sz="4" w:space="0" w:color="auto"/>
                      <w:right w:val="single" w:sz="4" w:space="0" w:color="auto"/>
                    </w:tcBorders>
                    <w:hideMark/>
                  </w:tcPr>
                  <w:p>
                    <w:pPr>
                      <w:ind w:firstLine="53"/>
                      <w:jc w:val="center"/>
                      <w:rPr>
                        <w:sz w:val="22"/>
                        <w:szCs w:val="22"/>
                      </w:rPr>
                    </w:pPr>
                    <w:r>
                      <w:rPr>
                        <w:sz w:val="22"/>
                        <w:szCs w:val="22"/>
                      </w:rPr>
                      <w:t>MSI</w:t>
                    </w:r>
                  </w:p>
                </w:tc>
                <w:tc>
                  <w:tcPr>
                    <w:tcW w:w="25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41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3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378" w:type="pct"/>
                    <w:tcBorders>
                      <w:top w:val="single" w:sz="4" w:space="0" w:color="auto"/>
                      <w:left w:val="single" w:sz="4" w:space="0" w:color="auto"/>
                      <w:bottom w:val="single" w:sz="4" w:space="0" w:color="auto"/>
                      <w:right w:val="single" w:sz="4" w:space="0" w:color="auto"/>
                    </w:tcBorders>
                  </w:tcPr>
                  <w:p>
                    <w:pPr>
                      <w:textAlignment w:val="baseline"/>
                      <w:rPr>
                        <w:sz w:val="22"/>
                        <w:szCs w:val="22"/>
                      </w:rPr>
                    </w:pPr>
                    <w:r>
                      <w:rPr>
                        <w:sz w:val="22"/>
                        <w:szCs w:val="22"/>
                      </w:rPr>
                      <w:t>34 667 478:</w:t>
                    </w:r>
                  </w:p>
                  <w:p>
                    <w:pPr>
                      <w:rPr>
                        <w:sz w:val="22"/>
                        <w:szCs w:val="22"/>
                      </w:rPr>
                    </w:pPr>
                    <w:r>
                      <w:rPr>
                        <w:sz w:val="22"/>
                        <w:szCs w:val="22"/>
                      </w:rPr>
                      <w:t xml:space="preserve">17 333 739  – </w:t>
                    </w:r>
                    <w:r>
                      <w:rPr>
                        <w:color w:val="000000"/>
                        <w:sz w:val="22"/>
                        <w:szCs w:val="22"/>
                        <w:lang w:eastAsia="lt-LT"/>
                      </w:rPr>
                      <w:t>ES fondų lėšos,</w:t>
                    </w:r>
                  </w:p>
                  <w:p>
                    <w:pPr>
                      <w:textAlignment w:val="baseline"/>
                      <w:rPr>
                        <w:sz w:val="22"/>
                        <w:szCs w:val="22"/>
                      </w:rPr>
                    </w:pPr>
                    <w:r>
                      <w:rPr>
                        <w:sz w:val="22"/>
                        <w:szCs w:val="22"/>
                      </w:rPr>
                      <w:t>17 333 739 –</w:t>
                    </w:r>
                    <w:r>
                      <w:rPr>
                        <w:color w:val="000000"/>
                        <w:sz w:val="22"/>
                        <w:szCs w:val="22"/>
                        <w:lang w:eastAsia="lt-LT"/>
                      </w:rPr>
                      <w:t xml:space="preserve"> ES fondų BF lėšos;</w:t>
                    </w:r>
                  </w:p>
                  <w:p>
                    <w:pPr>
                      <w:textAlignment w:val="baseline"/>
                      <w:rPr>
                        <w:sz w:val="22"/>
                        <w:szCs w:val="22"/>
                      </w:rPr>
                    </w:pPr>
                  </w:p>
                  <w:p>
                    <w:pPr>
                      <w:textAlignment w:val="baseline"/>
                      <w:rPr>
                        <w:sz w:val="22"/>
                        <w:szCs w:val="22"/>
                        <w:lang w:eastAsia="lt-LT"/>
                      </w:rPr>
                    </w:pPr>
                    <w:r>
                      <w:rPr>
                        <w:sz w:val="22"/>
                        <w:szCs w:val="22"/>
                      </w:rPr>
                      <w:t>7 280 170</w:t>
                    </w:r>
                  </w:p>
                </w:tc>
                <w:tc>
                  <w:tcPr>
                    <w:tcW w:w="385"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lėšos</w:t>
                    </w: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278"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46"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P-12-001-01-02-01-02</w:t>
                    </w:r>
                    <w:r>
                      <w:rPr>
                        <w:sz w:val="22"/>
                        <w:szCs w:val="22"/>
                        <w:lang w:eastAsia="lt-LT"/>
                      </w:rPr>
                      <w:t xml:space="preserve"> – Bendruose mokslinių tyrimų projektuose dalyvaujančios mokslinių tyrimų organizacijos</w:t>
                    </w:r>
                    <w:r>
                      <w:rPr>
                        <w:sz w:val="22"/>
                        <w:szCs w:val="22"/>
                      </w:rPr>
                      <w:t xml:space="preserve"> (</w:t>
                    </w:r>
                    <w:r>
                      <w:rPr>
                        <w:sz w:val="22"/>
                        <w:szCs w:val="22"/>
                        <w:lang w:eastAsia="en-GB"/>
                      </w:rPr>
                      <w:t>mokslinių tyrimų organizacijos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P-12-001-01-02-01-04</w:t>
                    </w:r>
                    <w:r>
                      <w:rPr>
                        <w:sz w:val="22"/>
                        <w:szCs w:val="22"/>
                        <w:lang w:eastAsia="lt-LT"/>
                      </w:rPr>
                      <w:t xml:space="preserve"> – Su mokslinių tyrimų organizacijomis bendradarbiaujančios įmonės</w:t>
                    </w:r>
                    <w:r>
                      <w:rPr>
                        <w:sz w:val="22"/>
                        <w:szCs w:val="22"/>
                      </w:rPr>
                      <w:t xml:space="preserve"> (</w:t>
                    </w:r>
                    <w:r>
                      <w:rPr>
                        <w:sz w:val="22"/>
                        <w:szCs w:val="22"/>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pPr>
                      <w:rPr>
                        <w:sz w:val="22"/>
                        <w:szCs w:val="22"/>
                      </w:rPr>
                    </w:pPr>
                  </w:p>
                  <w:p>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tc>
                <w:tc>
                  <w:tcPr>
                    <w:tcW w:w="456"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174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12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 xml:space="preserve">3 466 750 </w:t>
                    </w: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99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48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297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6 (2029)</w:t>
                    </w:r>
                  </w:p>
                </w:tc>
                <w:tc>
                  <w:tcPr>
                    <w:tcW w:w="469"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8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447"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1.7. Skatinti vykdyti taikomuosius MTEP (VVL)</w:t>
                    </w:r>
                  </w:p>
                </w:tc>
                <w:tc>
                  <w:tcPr>
                    <w:tcW w:w="22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8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5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41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3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378"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 xml:space="preserve">10 000 000 </w:t>
                    </w: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r>
                      <w:rPr>
                        <w:sz w:val="22"/>
                        <w:szCs w:val="22"/>
                        <w:lang w:eastAsia="lt-LT"/>
                      </w:rPr>
                      <w:t>2 100 000</w:t>
                    </w:r>
                  </w:p>
                </w:tc>
                <w:tc>
                  <w:tcPr>
                    <w:tcW w:w="385"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278"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46"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P-12-001-01-02-01-02</w:t>
                    </w:r>
                    <w:r>
                      <w:rPr>
                        <w:sz w:val="22"/>
                        <w:szCs w:val="22"/>
                        <w:lang w:eastAsia="lt-LT"/>
                      </w:rPr>
                      <w:t xml:space="preserve"> – Bendruose mokslinių tyrimų projektuose dalyvaujančios mokslinių tyrimų organizacijos</w:t>
                    </w:r>
                    <w:r>
                      <w:rPr>
                        <w:sz w:val="22"/>
                        <w:szCs w:val="22"/>
                      </w:rPr>
                      <w:t xml:space="preserve"> (</w:t>
                    </w:r>
                    <w:r>
                      <w:rPr>
                        <w:sz w:val="22"/>
                        <w:szCs w:val="22"/>
                        <w:lang w:eastAsia="en-GB"/>
                      </w:rPr>
                      <w:t>mokslinių tyrimų organizacijos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P-12-001-01-02-01-04</w:t>
                    </w:r>
                    <w:r>
                      <w:rPr>
                        <w:sz w:val="22"/>
                        <w:szCs w:val="22"/>
                        <w:lang w:eastAsia="lt-LT"/>
                      </w:rPr>
                      <w:t xml:space="preserve"> – Su mokslinių tyrimų organizacijomis bendradarbiaujančios įmonės</w:t>
                    </w:r>
                    <w:r>
                      <w:rPr>
                        <w:sz w:val="22"/>
                        <w:szCs w:val="22"/>
                      </w:rPr>
                      <w:t xml:space="preserve"> (</w:t>
                    </w:r>
                    <w:r>
                      <w:rPr>
                        <w:sz w:val="22"/>
                        <w:szCs w:val="22"/>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pPr>
                      <w:rPr>
                        <w:sz w:val="22"/>
                        <w:szCs w:val="22"/>
                      </w:rPr>
                    </w:pPr>
                  </w:p>
                  <w:p>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tc>
                <w:tc>
                  <w:tcPr>
                    <w:tcW w:w="456"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50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5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 xml:space="preserve">1  558 634 </w:t>
                    </w: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48(2029)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22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134(2029)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3 (2029)</w:t>
                    </w:r>
                  </w:p>
                </w:tc>
                <w:tc>
                  <w:tcPr>
                    <w:tcW w:w="469"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8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447" w:type="pct"/>
                    <w:gridSpan w:val="2"/>
                    <w:tcBorders>
                      <w:top w:val="single" w:sz="4" w:space="0" w:color="auto"/>
                      <w:left w:val="single" w:sz="4" w:space="0" w:color="auto"/>
                      <w:bottom w:val="single" w:sz="4" w:space="0" w:color="auto"/>
                      <w:right w:val="single" w:sz="4" w:space="0" w:color="auto"/>
                    </w:tcBorders>
                    <w:hideMark/>
                  </w:tcPr>
                  <w:p>
                    <w:pPr>
                      <w:rPr>
                        <w:sz w:val="22"/>
                        <w:szCs w:val="22"/>
                        <w:highlight w:val="yellow"/>
                      </w:rPr>
                    </w:pPr>
                    <w:r>
                      <w:rPr>
                        <w:sz w:val="22"/>
                        <w:szCs w:val="22"/>
                      </w:rPr>
                      <w:t>1.8. Technologinės plėtros projektai</w:t>
                    </w:r>
                  </w:p>
                </w:tc>
                <w:tc>
                  <w:tcPr>
                    <w:tcW w:w="22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8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5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41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v</w:t>
                    </w:r>
                  </w:p>
                </w:tc>
                <w:tc>
                  <w:tcPr>
                    <w:tcW w:w="3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378"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38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278"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p>
                </w:tc>
                <w:tc>
                  <w:tcPr>
                    <w:tcW w:w="546"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456"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469"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38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447"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1.9. Žinių perdavimo ir komercinimo sistemos stiprinimas (Sostinė)</w:t>
                    </w:r>
                  </w:p>
                </w:tc>
                <w:tc>
                  <w:tcPr>
                    <w:tcW w:w="22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8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25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41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3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378" w:type="pc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16 909 883:</w:t>
                    </w:r>
                  </w:p>
                  <w:p>
                    <w:pPr>
                      <w:rPr>
                        <w:sz w:val="22"/>
                        <w:szCs w:val="22"/>
                      </w:rPr>
                    </w:pPr>
                    <w:r>
                      <w:rPr>
                        <w:sz w:val="22"/>
                        <w:szCs w:val="22"/>
                      </w:rPr>
                      <w:t xml:space="preserve">13 478 629 – </w:t>
                    </w:r>
                    <w:r>
                      <w:rPr>
                        <w:color w:val="000000"/>
                        <w:sz w:val="22"/>
                        <w:szCs w:val="22"/>
                        <w:lang w:eastAsia="lt-LT"/>
                      </w:rPr>
                      <w:t>ES fondų lėšos,</w:t>
                    </w:r>
                  </w:p>
                  <w:p>
                    <w:pPr>
                      <w:rPr>
                        <w:sz w:val="22"/>
                        <w:szCs w:val="22"/>
                      </w:rPr>
                    </w:pPr>
                    <w:r>
                      <w:rPr>
                        <w:sz w:val="22"/>
                        <w:szCs w:val="22"/>
                      </w:rPr>
                      <w:t>3 431 254 –</w:t>
                    </w:r>
                    <w:r>
                      <w:rPr>
                        <w:color w:val="000000"/>
                        <w:sz w:val="22"/>
                        <w:szCs w:val="22"/>
                        <w:lang w:eastAsia="lt-LT"/>
                      </w:rPr>
                      <w:t xml:space="preserve"> ES fondų BF lėšos;</w:t>
                    </w:r>
                  </w:p>
                  <w:p>
                    <w:pPr>
                      <w:rPr>
                        <w:sz w:val="22"/>
                        <w:szCs w:val="22"/>
                      </w:rPr>
                    </w:pPr>
                  </w:p>
                  <w:p>
                    <w:pPr>
                      <w:rPr>
                        <w:sz w:val="22"/>
                        <w:szCs w:val="22"/>
                      </w:rPr>
                    </w:pPr>
                    <w:r>
                      <w:rPr>
                        <w:sz w:val="22"/>
                        <w:szCs w:val="22"/>
                      </w:rPr>
                      <w:t>3 551 075</w:t>
                    </w:r>
                  </w:p>
                </w:tc>
                <w:tc>
                  <w:tcPr>
                    <w:tcW w:w="385"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lang w:eastAsia="lt-LT"/>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 xml:space="preserve"> lėšos</w:t>
                    </w: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278"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46"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P-12-001-01-02-01-05</w:t>
                    </w:r>
                    <w:r>
                      <w:rPr>
                        <w:sz w:val="22"/>
                        <w:szCs w:val="22"/>
                        <w:lang w:eastAsia="lt-LT"/>
                      </w:rPr>
                      <w:t xml:space="preserve"> – Investicijas gavusių mokslo ir studijų institucijų skaičius</w:t>
                    </w:r>
                    <w:r>
                      <w:rPr>
                        <w:sz w:val="22"/>
                        <w:szCs w:val="22"/>
                      </w:rPr>
                      <w:t xml:space="preserve"> (</w:t>
                    </w:r>
                    <w:r>
                      <w:rPr>
                        <w:sz w:val="22"/>
                        <w:szCs w:val="22"/>
                        <w:lang w:eastAsia="lt-LT"/>
                      </w:rPr>
                      <w:t>skaičius</w:t>
                    </w:r>
                    <w:r>
                      <w:rPr>
                        <w:color w:val="000000"/>
                        <w:sz w:val="22"/>
                        <w:szCs w:val="22"/>
                        <w:lang w:eastAsia="lt-LT"/>
                      </w:rPr>
                      <w:t>)</w:t>
                    </w:r>
                  </w:p>
                  <w:p>
                    <w:pPr>
                      <w:textAlignment w:val="baseline"/>
                      <w:rPr>
                        <w:sz w:val="22"/>
                        <w:szCs w:val="22"/>
                        <w:lang w:eastAsia="lt-LT"/>
                      </w:rPr>
                    </w:pPr>
                  </w:p>
                  <w:p>
                    <w:pPr>
                      <w:rPr>
                        <w:sz w:val="22"/>
                        <w:szCs w:val="22"/>
                      </w:rPr>
                    </w:pPr>
                    <w:r>
                      <w:rPr>
                        <w:sz w:val="22"/>
                        <w:szCs w:val="22"/>
                      </w:rPr>
                      <w:t>R-12-001-01-02-01-08 – Investicijas gavusių mokslo ir studijų institucijų gautų mokslinių tyrimų ir eksperimentinės plėtros užsakymų skaičius (skaičius</w:t>
                    </w:r>
                    <w:r>
                      <w:rPr>
                        <w:color w:val="000000"/>
                        <w:sz w:val="22"/>
                        <w:szCs w:val="22"/>
                        <w:lang w:eastAsia="lt-LT"/>
                      </w:rPr>
                      <w:t>)</w:t>
                    </w:r>
                  </w:p>
                </w:tc>
                <w:tc>
                  <w:tcPr>
                    <w:tcW w:w="456"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3 977 840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r>
                      <w:rPr>
                        <w:sz w:val="22"/>
                        <w:szCs w:val="22"/>
                      </w:rPr>
                      <w:t>140 (2029)</w:t>
                    </w:r>
                  </w:p>
                </w:tc>
                <w:tc>
                  <w:tcPr>
                    <w:tcW w:w="469"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8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447"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1.10. Žinių perdavimo ir komercinimo sistemos stiprinimas (VVL)</w:t>
                    </w:r>
                  </w:p>
                </w:tc>
                <w:tc>
                  <w:tcPr>
                    <w:tcW w:w="22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8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25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41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3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378"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11 551 031</w:t>
                    </w:r>
                    <w:r>
                      <w:rPr>
                        <w:sz w:val="22"/>
                        <w:szCs w:val="22"/>
                        <w:lang w:eastAsia="lt-LT"/>
                      </w:rPr>
                      <w:t>;</w:t>
                    </w: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2 425 717</w:t>
                    </w:r>
                  </w:p>
                </w:tc>
                <w:tc>
                  <w:tcPr>
                    <w:tcW w:w="385"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lang w:eastAsia="lt-LT"/>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278"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46"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P-12-001-01-02-01-05</w:t>
                    </w:r>
                    <w:r>
                      <w:rPr>
                        <w:sz w:val="22"/>
                        <w:szCs w:val="22"/>
                        <w:lang w:eastAsia="lt-LT"/>
                      </w:rPr>
                      <w:t xml:space="preserve"> – Investicijas gavusių mokslo ir studijų institucijų skaičius</w:t>
                    </w:r>
                    <w:r>
                      <w:rPr>
                        <w:sz w:val="22"/>
                        <w:szCs w:val="22"/>
                      </w:rPr>
                      <w:t xml:space="preserve"> (</w:t>
                    </w:r>
                    <w:r>
                      <w:rPr>
                        <w:sz w:val="22"/>
                        <w:szCs w:val="22"/>
                        <w:lang w:eastAsia="lt-LT"/>
                      </w:rPr>
                      <w:t>skaičius</w:t>
                    </w:r>
                    <w:r>
                      <w:rPr>
                        <w:color w:val="000000"/>
                        <w:sz w:val="22"/>
                        <w:szCs w:val="22"/>
                        <w:lang w:eastAsia="lt-LT"/>
                      </w:rPr>
                      <w:t>)</w:t>
                    </w:r>
                  </w:p>
                  <w:p>
                    <w:pPr>
                      <w:textAlignment w:val="baseline"/>
                      <w:rPr>
                        <w:sz w:val="22"/>
                        <w:szCs w:val="22"/>
                        <w:lang w:eastAsia="lt-LT"/>
                      </w:rPr>
                    </w:pPr>
                  </w:p>
                  <w:p>
                    <w:pPr>
                      <w:rPr>
                        <w:sz w:val="22"/>
                        <w:szCs w:val="22"/>
                      </w:rPr>
                    </w:pPr>
                    <w:r>
                      <w:rPr>
                        <w:sz w:val="22"/>
                        <w:szCs w:val="22"/>
                      </w:rPr>
                      <w:t>R-12-001-01-02-01-08 – Investicijas gavusių mokslo ir studijų institucijų gautų mokslinių tyrimų ir eksperimentinės plėtros užsakymų skaičius (skaičius</w:t>
                    </w:r>
                    <w:r>
                      <w:rPr>
                        <w:color w:val="000000"/>
                        <w:sz w:val="22"/>
                        <w:szCs w:val="22"/>
                        <w:lang w:eastAsia="lt-LT"/>
                      </w:rPr>
                      <w:t>)</w:t>
                    </w:r>
                  </w:p>
                </w:tc>
                <w:tc>
                  <w:tcPr>
                    <w:tcW w:w="456"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2 386 710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6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r>
                      <w:rPr>
                        <w:sz w:val="22"/>
                        <w:szCs w:val="22"/>
                      </w:rPr>
                      <w:t>85 (2029)</w:t>
                    </w:r>
                  </w:p>
                </w:tc>
                <w:tc>
                  <w:tcPr>
                    <w:tcW w:w="469"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8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447"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1.11. Mokslo vadybos ir žinių komercinimo gebėjimų mokslo ir studijų institucijose stiprinimas (</w:t>
                    </w:r>
                    <w:r>
                      <w:rPr>
                        <w:i/>
                        <w:sz w:val="22"/>
                        <w:szCs w:val="22"/>
                      </w:rPr>
                      <w:t>spin-off</w:t>
                    </w:r>
                    <w:r>
                      <w:rPr>
                        <w:sz w:val="22"/>
                        <w:szCs w:val="22"/>
                      </w:rPr>
                      <w:t>) (Sostinė)</w:t>
                    </w:r>
                  </w:p>
                </w:tc>
                <w:tc>
                  <w:tcPr>
                    <w:tcW w:w="22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8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25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41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3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378"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23 254 094:</w:t>
                    </w:r>
                  </w:p>
                  <w:p>
                    <w:pPr>
                      <w:rPr>
                        <w:sz w:val="22"/>
                        <w:szCs w:val="22"/>
                      </w:rPr>
                    </w:pPr>
                    <w:r>
                      <w:rPr>
                        <w:sz w:val="22"/>
                        <w:szCs w:val="22"/>
                      </w:rPr>
                      <w:t>11 627 047</w:t>
                    </w:r>
                    <w:r>
                      <w:rPr>
                        <w:sz w:val="22"/>
                        <w:szCs w:val="22"/>
                        <w:lang w:eastAsia="lt-LT"/>
                      </w:rPr>
                      <w:t xml:space="preserve"> – ES fondų lėšos,</w:t>
                    </w:r>
                  </w:p>
                  <w:p>
                    <w:pPr>
                      <w:rPr>
                        <w:sz w:val="22"/>
                        <w:szCs w:val="22"/>
                      </w:rPr>
                    </w:pPr>
                    <w:r>
                      <w:rPr>
                        <w:sz w:val="22"/>
                        <w:szCs w:val="22"/>
                      </w:rPr>
                      <w:t>11 627 047</w:t>
                    </w:r>
                    <w:r>
                      <w:rPr>
                        <w:sz w:val="22"/>
                        <w:szCs w:val="22"/>
                        <w:lang w:eastAsia="lt-LT"/>
                      </w:rPr>
                      <w:t xml:space="preserve"> – </w:t>
                    </w:r>
                    <w:r>
                      <w:rPr>
                        <w:color w:val="000000"/>
                        <w:sz w:val="22"/>
                        <w:szCs w:val="22"/>
                        <w:lang w:eastAsia="lt-LT"/>
                      </w:rPr>
                      <w:t>ES fondų</w:t>
                    </w:r>
                    <w:r>
                      <w:rPr>
                        <w:sz w:val="22"/>
                        <w:szCs w:val="22"/>
                        <w:lang w:eastAsia="lt-LT"/>
                      </w:rPr>
                      <w:t xml:space="preserve"> BF lėšos;</w:t>
                    </w:r>
                  </w:p>
                  <w:p>
                    <w:pPr>
                      <w:rPr>
                        <w:sz w:val="22"/>
                        <w:szCs w:val="22"/>
                      </w:rPr>
                    </w:pPr>
                  </w:p>
                  <w:p>
                    <w:pPr>
                      <w:rPr>
                        <w:sz w:val="22"/>
                        <w:szCs w:val="22"/>
                      </w:rPr>
                    </w:pPr>
                    <w:r>
                      <w:rPr>
                        <w:sz w:val="22"/>
                        <w:szCs w:val="22"/>
                      </w:rPr>
                      <w:t>4 883 360</w:t>
                    </w:r>
                  </w:p>
                </w:tc>
                <w:tc>
                  <w:tcPr>
                    <w:tcW w:w="385"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lėšos</w:t>
                    </w: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278"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46" w:type="pct"/>
                    <w:tcBorders>
                      <w:top w:val="single" w:sz="4" w:space="0" w:color="auto"/>
                      <w:left w:val="single" w:sz="4" w:space="0" w:color="auto"/>
                      <w:bottom w:val="single" w:sz="4" w:space="0" w:color="auto"/>
                      <w:right w:val="single" w:sz="4" w:space="0" w:color="auto"/>
                    </w:tcBorders>
                  </w:tcPr>
                  <w:p>
                    <w:pPr>
                      <w:textAlignment w:val="baseline"/>
                      <w:rPr>
                        <w:color w:val="000000"/>
                        <w:sz w:val="22"/>
                        <w:szCs w:val="22"/>
                        <w:shd w:val="clear" w:color="auto" w:fill="FFFFFF"/>
                        <w:lang w:eastAsia="lt-LT"/>
                      </w:rPr>
                    </w:pPr>
                    <w:r>
                      <w:rPr>
                        <w:color w:val="000000"/>
                        <w:sz w:val="22"/>
                        <w:szCs w:val="22"/>
                        <w:shd w:val="clear" w:color="auto" w:fill="FFFFFF"/>
                      </w:rPr>
                      <w:t>P-12-001-01-02-01-06</w:t>
                    </w:r>
                    <w:r>
                      <w:rPr>
                        <w:sz w:val="22"/>
                        <w:szCs w:val="22"/>
                        <w:lang w:eastAsia="lt-LT"/>
                      </w:rPr>
                      <w:t xml:space="preserve"> – Paramą gavusios įmonės, </w:t>
                    </w:r>
                    <w:r>
                      <w:rPr>
                        <w:color w:val="000000"/>
                        <w:sz w:val="22"/>
                        <w:szCs w:val="22"/>
                        <w:shd w:val="clear" w:color="auto" w:fill="FFFFFF"/>
                        <w:lang w:eastAsia="lt-LT"/>
                      </w:rPr>
                      <w:t>iš kurių labai mažos, mažos, vidutinės ir didelės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P-12-001-01-02-01-07</w:t>
                    </w:r>
                    <w:r>
                      <w:rPr>
                        <w:sz w:val="22"/>
                        <w:szCs w:val="22"/>
                        <w:lang w:eastAsia="lt-LT"/>
                      </w:rPr>
                      <w:t xml:space="preserve"> – </w:t>
                    </w:r>
                    <w:r>
                      <w:rPr>
                        <w:color w:val="000000"/>
                        <w:sz w:val="22"/>
                        <w:szCs w:val="22"/>
                        <w:shd w:val="clear" w:color="auto" w:fill="FFFFFF"/>
                        <w:lang w:eastAsia="lt-LT"/>
                      </w:rPr>
                      <w:t>Paramą gavusios įmonės, iš kurių labai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P-12-001-01-02-01-08</w:t>
                    </w:r>
                    <w:r>
                      <w:rPr>
                        <w:color w:val="000000"/>
                        <w:sz w:val="22"/>
                        <w:szCs w:val="22"/>
                        <w:shd w:val="clear" w:color="auto" w:fill="FFFFFF"/>
                        <w:lang w:eastAsia="lt-LT"/>
                      </w:rPr>
                      <w:t xml:space="preserve"> – Paramą gavusios įmonės, iš kurių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P-12-001-01-02-01-09</w:t>
                    </w:r>
                    <w:r>
                      <w:rPr>
                        <w:color w:val="000000"/>
                        <w:sz w:val="22"/>
                        <w:szCs w:val="22"/>
                        <w:shd w:val="clear" w:color="auto" w:fill="FFFFFF"/>
                        <w:lang w:eastAsia="lt-LT"/>
                      </w:rPr>
                      <w:t xml:space="preserve"> – Paramą gavusios įmonės, iš kurių vidutinės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sz w:val="22"/>
                        <w:szCs w:val="22"/>
                        <w:lang w:eastAsia="lt-LT"/>
                      </w:rPr>
                    </w:pPr>
                    <w:r>
                      <w:rPr>
                        <w:color w:val="000000"/>
                        <w:sz w:val="22"/>
                        <w:szCs w:val="22"/>
                        <w:shd w:val="clear" w:color="auto" w:fill="FFFFFF"/>
                      </w:rPr>
                      <w:t>P-12-001-01-02-01-10</w:t>
                    </w:r>
                    <w:r>
                      <w:rPr>
                        <w:color w:val="000000"/>
                        <w:sz w:val="22"/>
                        <w:szCs w:val="22"/>
                        <w:shd w:val="clear" w:color="auto" w:fill="FFFFFF"/>
                        <w:lang w:eastAsia="lt-LT"/>
                      </w:rPr>
                      <w:t xml:space="preserve"> – Paramą gavusios įmonės, iš kurių didelės įmonės</w:t>
                    </w:r>
                    <w:r>
                      <w:rPr>
                        <w:sz w:val="22"/>
                        <w:szCs w:val="22"/>
                      </w:rPr>
                      <w:t xml:space="preserve"> (</w:t>
                    </w:r>
                    <w:r>
                      <w:rPr>
                        <w:color w:val="000000"/>
                        <w:sz w:val="22"/>
                        <w:szCs w:val="22"/>
                        <w:shd w:val="clear" w:color="auto" w:fill="FFFFFF"/>
                        <w:lang w:eastAsia="lt-LT"/>
                      </w:rPr>
                      <w:t>įmonės</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P-12-001-01-02-01-11</w:t>
                    </w:r>
                    <w:r>
                      <w:rPr>
                        <w:sz w:val="22"/>
                        <w:szCs w:val="22"/>
                        <w:lang w:eastAsia="lt-LT"/>
                      </w:rPr>
                      <w:t xml:space="preserve"> – Nefinansinę paramą gavusios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P-12-001-01-02-01-12</w:t>
                    </w:r>
                    <w:r>
                      <w:rPr>
                        <w:sz w:val="22"/>
                        <w:szCs w:val="22"/>
                        <w:lang w:eastAsia="lt-LT"/>
                      </w:rPr>
                      <w:t xml:space="preserve"> – Paramą gavusios naujos įmonės, </w:t>
                    </w:r>
                    <w:r>
                      <w:rPr>
                        <w:color w:val="000000"/>
                        <w:sz w:val="22"/>
                        <w:szCs w:val="22"/>
                        <w:shd w:val="clear" w:color="auto" w:fill="FFFFFF"/>
                        <w:lang w:eastAsia="lt-LT"/>
                      </w:rPr>
                      <w:t xml:space="preserve"> 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R-12-001-01-02-01-07</w:t>
                    </w:r>
                    <w:r>
                      <w:rPr>
                        <w:sz w:val="22"/>
                        <w:szCs w:val="22"/>
                        <w:lang w:eastAsia="lt-LT"/>
                      </w:rPr>
                      <w:t xml:space="preserve"> – Produktų ar procesų inovacijas diegiančios labai mažos, mažos ar vidutinės įmonės</w:t>
                    </w:r>
                    <w:r>
                      <w:rPr>
                        <w:sz w:val="22"/>
                        <w:szCs w:val="22"/>
                      </w:rPr>
                      <w:t xml:space="preserve"> (</w:t>
                    </w:r>
                    <w:r>
                      <w:rPr>
                        <w:sz w:val="22"/>
                        <w:szCs w:val="22"/>
                        <w:lang w:eastAsia="lt-LT"/>
                      </w:rPr>
                      <w:t>įmonės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R-12-001-01-02-01-04</w:t>
                    </w:r>
                    <w:r>
                      <w:rPr>
                        <w:sz w:val="22"/>
                        <w:szCs w:val="22"/>
                      </w:rPr>
                      <w:t xml:space="preserve"> – Pateiktos patentų paraiškos (patentų paraiškos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P-12-001-01-02-01-20</w:t>
                    </w:r>
                    <w:r>
                      <w:rPr>
                        <w:sz w:val="22"/>
                        <w:szCs w:val="22"/>
                      </w:rPr>
                      <w:t xml:space="preserve"> – Įgyvendintos preakceleravimo programos (skaičius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P-12-001-01-02-01-21</w:t>
                    </w:r>
                    <w:r>
                      <w:rPr>
                        <w:sz w:val="22"/>
                        <w:szCs w:val="22"/>
                      </w:rPr>
                      <w:t xml:space="preserve"> – Mentorystės programos veikla pasinaudoję dalyviai (skaičius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P-12-001-01-02-01-22</w:t>
                    </w:r>
                    <w:r>
                      <w:rPr>
                        <w:sz w:val="22"/>
                        <w:szCs w:val="22"/>
                      </w:rPr>
                      <w:t xml:space="preserve"> – Surengtos ekspertinės individualios ir grupinės konsultacijos (skaičius</w:t>
                    </w:r>
                    <w:r>
                      <w:rPr>
                        <w:color w:val="000000"/>
                        <w:sz w:val="22"/>
                        <w:szCs w:val="22"/>
                        <w:lang w:eastAsia="lt-LT"/>
                      </w:rPr>
                      <w:t>)</w:t>
                    </w:r>
                  </w:p>
                </w:tc>
                <w:tc>
                  <w:tcPr>
                    <w:tcW w:w="456"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120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47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8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6</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28</w:t>
                    </w:r>
                  </w:p>
                </w:tc>
                <w:tc>
                  <w:tcPr>
                    <w:tcW w:w="469"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8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447"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1.12. Mokslo vadybos ir žinių komercinimo gebėjimų mokslo ir studijų institucijose stiprinimas (</w:t>
                    </w:r>
                    <w:r>
                      <w:rPr>
                        <w:i/>
                        <w:sz w:val="22"/>
                        <w:szCs w:val="22"/>
                      </w:rPr>
                      <w:t>spin-off</w:t>
                    </w:r>
                    <w:r>
                      <w:rPr>
                        <w:sz w:val="22"/>
                        <w:szCs w:val="22"/>
                      </w:rPr>
                      <w:t>) (VVL)</w:t>
                    </w:r>
                  </w:p>
                </w:tc>
                <w:tc>
                  <w:tcPr>
                    <w:tcW w:w="22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8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25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41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3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378"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11 933 531</w:t>
                    </w:r>
                    <w:r>
                      <w:rPr>
                        <w:sz w:val="22"/>
                        <w:szCs w:val="22"/>
                        <w:lang w:eastAsia="lt-LT"/>
                      </w:rPr>
                      <w:t>;</w:t>
                    </w: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2 506 042</w:t>
                    </w:r>
                  </w:p>
                </w:tc>
                <w:tc>
                  <w:tcPr>
                    <w:tcW w:w="385"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278"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46" w:type="pct"/>
                    <w:tcBorders>
                      <w:top w:val="single" w:sz="4" w:space="0" w:color="auto"/>
                      <w:left w:val="single" w:sz="4" w:space="0" w:color="auto"/>
                      <w:bottom w:val="single" w:sz="4" w:space="0" w:color="auto"/>
                      <w:right w:val="single" w:sz="4" w:space="0" w:color="auto"/>
                    </w:tcBorders>
                  </w:tcPr>
                  <w:p>
                    <w:pPr>
                      <w:textAlignment w:val="baseline"/>
                      <w:rPr>
                        <w:color w:val="000000"/>
                        <w:sz w:val="22"/>
                        <w:szCs w:val="22"/>
                        <w:shd w:val="clear" w:color="auto" w:fill="FFFFFF"/>
                        <w:lang w:eastAsia="lt-LT"/>
                      </w:rPr>
                    </w:pPr>
                    <w:r>
                      <w:rPr>
                        <w:color w:val="000000"/>
                        <w:sz w:val="22"/>
                        <w:szCs w:val="22"/>
                        <w:shd w:val="clear" w:color="auto" w:fill="FFFFFF"/>
                      </w:rPr>
                      <w:t>P-12-001-01-02-01-06</w:t>
                    </w:r>
                    <w:r>
                      <w:rPr>
                        <w:sz w:val="22"/>
                        <w:szCs w:val="22"/>
                        <w:lang w:eastAsia="lt-LT"/>
                      </w:rPr>
                      <w:t xml:space="preserve"> – Paramą gavusios įmonės, </w:t>
                    </w:r>
                    <w:r>
                      <w:rPr>
                        <w:color w:val="000000"/>
                        <w:sz w:val="22"/>
                        <w:szCs w:val="22"/>
                        <w:shd w:val="clear" w:color="auto" w:fill="FFFFFF"/>
                        <w:lang w:eastAsia="lt-LT"/>
                      </w:rPr>
                      <w:t>iš kurių labai mažos, mažos, vidutinės ir didelės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P-12-001-01-02-01-07</w:t>
                    </w:r>
                    <w:r>
                      <w:rPr>
                        <w:sz w:val="22"/>
                        <w:szCs w:val="22"/>
                        <w:lang w:eastAsia="lt-LT"/>
                      </w:rPr>
                      <w:t xml:space="preserve"> – </w:t>
                    </w:r>
                    <w:r>
                      <w:rPr>
                        <w:color w:val="000000"/>
                        <w:sz w:val="22"/>
                        <w:szCs w:val="22"/>
                        <w:shd w:val="clear" w:color="auto" w:fill="FFFFFF"/>
                        <w:lang w:eastAsia="lt-LT"/>
                      </w:rPr>
                      <w:t>Paramą gavusios įmonės, iš kurių labai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P-12-001-01-02-01-08</w:t>
                    </w:r>
                    <w:r>
                      <w:rPr>
                        <w:color w:val="000000"/>
                        <w:sz w:val="22"/>
                        <w:szCs w:val="22"/>
                        <w:shd w:val="clear" w:color="auto" w:fill="FFFFFF"/>
                        <w:lang w:eastAsia="lt-LT"/>
                      </w:rPr>
                      <w:t xml:space="preserve"> – Paramą gavusios įmonės, iš kurių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P-12-001-01-02-01-09</w:t>
                    </w:r>
                    <w:r>
                      <w:rPr>
                        <w:color w:val="000000"/>
                        <w:sz w:val="22"/>
                        <w:szCs w:val="22"/>
                        <w:shd w:val="clear" w:color="auto" w:fill="FFFFFF"/>
                        <w:lang w:eastAsia="lt-LT"/>
                      </w:rPr>
                      <w:t xml:space="preserve"> – Paramą gavusios įmonės, iš kurių vidutinės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sz w:val="22"/>
                        <w:szCs w:val="22"/>
                        <w:lang w:eastAsia="lt-LT"/>
                      </w:rPr>
                    </w:pPr>
                    <w:r>
                      <w:rPr>
                        <w:color w:val="000000"/>
                        <w:sz w:val="22"/>
                        <w:szCs w:val="22"/>
                        <w:shd w:val="clear" w:color="auto" w:fill="FFFFFF"/>
                      </w:rPr>
                      <w:t>P-12-001-01-02-01-10</w:t>
                    </w:r>
                    <w:r>
                      <w:rPr>
                        <w:color w:val="000000"/>
                        <w:sz w:val="22"/>
                        <w:szCs w:val="22"/>
                        <w:shd w:val="clear" w:color="auto" w:fill="FFFFFF"/>
                        <w:lang w:eastAsia="lt-LT"/>
                      </w:rPr>
                      <w:t xml:space="preserve"> – Paramą gavusios įmonės, iš kurių didelės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P-12-001-01-02-01-11</w:t>
                    </w:r>
                    <w:r>
                      <w:rPr>
                        <w:sz w:val="22"/>
                        <w:szCs w:val="22"/>
                        <w:lang w:eastAsia="lt-LT"/>
                      </w:rPr>
                      <w:t xml:space="preserve"> – Nefinansinę paramą gavusios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P-12-001-01-02-01-12</w:t>
                    </w:r>
                    <w:r>
                      <w:rPr>
                        <w:sz w:val="22"/>
                        <w:szCs w:val="22"/>
                        <w:lang w:eastAsia="lt-LT"/>
                      </w:rPr>
                      <w:t xml:space="preserve"> – Paramą gavusios naujos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R-12-001-01-02-01-07</w:t>
                    </w:r>
                    <w:r>
                      <w:rPr>
                        <w:sz w:val="22"/>
                        <w:szCs w:val="22"/>
                        <w:lang w:eastAsia="lt-LT"/>
                      </w:rPr>
                      <w:t xml:space="preserve"> – Produktų ar procesų inovacijas diegiančios labai mažos, mažos ar vidutinės įmonės</w:t>
                    </w:r>
                    <w:r>
                      <w:rPr>
                        <w:sz w:val="22"/>
                        <w:szCs w:val="22"/>
                      </w:rPr>
                      <w:t xml:space="preserve"> (</w:t>
                    </w:r>
                    <w:r>
                      <w:rPr>
                        <w:sz w:val="22"/>
                        <w:szCs w:val="22"/>
                        <w:lang w:eastAsia="lt-LT"/>
                      </w:rPr>
                      <w:t>įmonės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R-12-001-01-02-01-04</w:t>
                    </w:r>
                    <w:r>
                      <w:rPr>
                        <w:sz w:val="22"/>
                        <w:szCs w:val="22"/>
                      </w:rPr>
                      <w:t xml:space="preserve"> – Pateiktos patentų paraiškos (patentų paraiškos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P-12-001-01-02-01-20</w:t>
                    </w:r>
                    <w:r>
                      <w:rPr>
                        <w:sz w:val="22"/>
                        <w:szCs w:val="22"/>
                      </w:rPr>
                      <w:t xml:space="preserve"> – Įgyvendintos preakceleravimo programos (skaičius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P-12-001-01-02-01-21</w:t>
                    </w:r>
                    <w:r>
                      <w:rPr>
                        <w:sz w:val="22"/>
                        <w:szCs w:val="22"/>
                      </w:rPr>
                      <w:t xml:space="preserve"> – Mentorystės programos veikla pasinaudoję dalyviai (skaičius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P-12-001-01-02-01-22</w:t>
                    </w:r>
                    <w:r>
                      <w:rPr>
                        <w:sz w:val="22"/>
                        <w:szCs w:val="22"/>
                      </w:rPr>
                      <w:t xml:space="preserve"> – Surengtos ekspertinės individualios ir grupinės konsultacijos (skaičius</w:t>
                    </w:r>
                    <w:r>
                      <w:rPr>
                        <w:color w:val="000000"/>
                        <w:sz w:val="22"/>
                        <w:szCs w:val="22"/>
                        <w:lang w:eastAsia="lt-LT"/>
                      </w:rPr>
                      <w:t>)</w:t>
                    </w:r>
                  </w:p>
                </w:tc>
                <w:tc>
                  <w:tcPr>
                    <w:tcW w:w="456"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50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50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50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18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12</w:t>
                    </w:r>
                  </w:p>
                </w:tc>
                <w:tc>
                  <w:tcPr>
                    <w:tcW w:w="469"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8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447" w:type="pct"/>
                    <w:gridSpan w:val="2"/>
                    <w:tcBorders>
                      <w:top w:val="single" w:sz="4" w:space="0" w:color="auto"/>
                      <w:left w:val="single" w:sz="4" w:space="0" w:color="auto"/>
                      <w:bottom w:val="single" w:sz="4" w:space="0" w:color="auto"/>
                      <w:right w:val="single" w:sz="4" w:space="0" w:color="auto"/>
                    </w:tcBorders>
                    <w:hideMark/>
                  </w:tcPr>
                  <w:p>
                    <w:pPr>
                      <w:rPr>
                        <w:sz w:val="22"/>
                        <w:szCs w:val="22"/>
                        <w:highlight w:val="yellow"/>
                      </w:rPr>
                    </w:pPr>
                    <w:r>
                      <w:rPr>
                        <w:sz w:val="22"/>
                        <w:szCs w:val="22"/>
                      </w:rPr>
                      <w:t>1.13. Atžalinių įmonių mentorystė</w:t>
                    </w:r>
                  </w:p>
                </w:tc>
                <w:tc>
                  <w:tcPr>
                    <w:tcW w:w="22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8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 MSI, atžalinės įmonės</w:t>
                    </w:r>
                  </w:p>
                </w:tc>
                <w:tc>
                  <w:tcPr>
                    <w:tcW w:w="25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41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3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3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8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278"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p>
                </w:tc>
                <w:tc>
                  <w:tcPr>
                    <w:tcW w:w="546"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456"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469"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38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447"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2. Tarptautiškumo skatinimo paketas</w:t>
                    </w:r>
                  </w:p>
                </w:tc>
                <w:tc>
                  <w:tcPr>
                    <w:tcW w:w="228"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8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 MSI, labai mažos, mažos, vidutinės įmonės (toliau – MVĮ), didelės įmonės (toliau – DĮ)</w:t>
                    </w:r>
                  </w:p>
                </w:tc>
                <w:tc>
                  <w:tcPr>
                    <w:tcW w:w="25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T,</w:t>
                    </w:r>
                  </w:p>
                  <w:p>
                    <w:pPr>
                      <w:jc w:val="center"/>
                      <w:rPr>
                        <w:sz w:val="22"/>
                        <w:szCs w:val="22"/>
                      </w:rPr>
                    </w:pPr>
                    <w:r>
                      <w:rPr>
                        <w:sz w:val="22"/>
                        <w:szCs w:val="22"/>
                      </w:rPr>
                      <w:t>P, K</w:t>
                    </w:r>
                  </w:p>
                </w:tc>
                <w:tc>
                  <w:tcPr>
                    <w:tcW w:w="41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3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378"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58 940 296;</w:t>
                    </w: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41 631 000;</w:t>
                    </w:r>
                  </w:p>
                  <w:p>
                    <w:pPr>
                      <w:rPr>
                        <w:sz w:val="22"/>
                        <w:szCs w:val="22"/>
                      </w:rPr>
                    </w:pPr>
                  </w:p>
                  <w:p>
                    <w:pPr>
                      <w:rPr>
                        <w:sz w:val="22"/>
                        <w:szCs w:val="22"/>
                      </w:rPr>
                    </w:pPr>
                    <w:r>
                      <w:rPr>
                        <w:sz w:val="22"/>
                        <w:szCs w:val="22"/>
                      </w:rPr>
                      <w:t>21 119 972</w:t>
                    </w:r>
                  </w:p>
                </w:tc>
                <w:tc>
                  <w:tcPr>
                    <w:tcW w:w="385"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lėšos</w:t>
                    </w:r>
                  </w:p>
                  <w:p>
                    <w:pPr>
                      <w:rPr>
                        <w:sz w:val="22"/>
                        <w:szCs w:val="22"/>
                      </w:rPr>
                    </w:pPr>
                  </w:p>
                  <w:p>
                    <w:pPr>
                      <w:rPr>
                        <w:sz w:val="22"/>
                        <w:szCs w:val="22"/>
                      </w:rPr>
                    </w:pPr>
                    <w:r>
                      <w:rPr>
                        <w:sz w:val="22"/>
                        <w:szCs w:val="22"/>
                      </w:rPr>
                      <w:t>EGADP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278" w:type="pct"/>
                    <w:tcBorders>
                      <w:top w:val="single" w:sz="4" w:space="0" w:color="auto"/>
                      <w:left w:val="single" w:sz="4" w:space="0" w:color="auto"/>
                      <w:bottom w:val="single" w:sz="4" w:space="0" w:color="auto"/>
                      <w:right w:val="single" w:sz="4" w:space="0" w:color="auto"/>
                    </w:tcBorders>
                  </w:tcPr>
                  <w:p>
                    <w:pPr>
                      <w:rPr>
                        <w:sz w:val="22"/>
                        <w:szCs w:val="22"/>
                      </w:rPr>
                    </w:pPr>
                  </w:p>
                </w:tc>
                <w:tc>
                  <w:tcPr>
                    <w:tcW w:w="546" w:type="pct"/>
                    <w:tcBorders>
                      <w:top w:val="single" w:sz="4" w:space="0" w:color="auto"/>
                      <w:left w:val="single" w:sz="4" w:space="0" w:color="auto"/>
                      <w:bottom w:val="single" w:sz="4" w:space="0" w:color="auto"/>
                      <w:right w:val="single" w:sz="4" w:space="0" w:color="auto"/>
                    </w:tcBorders>
                    <w:hideMark/>
                  </w:tcPr>
                  <w:p>
                    <w:pPr>
                      <w:rPr>
                        <w:sz w:val="22"/>
                        <w:szCs w:val="22"/>
                      </w:rPr>
                    </w:pPr>
                    <w:r>
                      <w:rPr>
                        <w:color w:val="000000"/>
                        <w:sz w:val="22"/>
                        <w:szCs w:val="22"/>
                        <w:shd w:val="clear" w:color="auto" w:fill="FFFFFF"/>
                      </w:rPr>
                      <w:t>R-12-001-01-02-01-01</w:t>
                    </w:r>
                    <w:r>
                      <w:rPr>
                        <w:sz w:val="22"/>
                        <w:szCs w:val="22"/>
                      </w:rPr>
                      <w:t>-Lietuvos dalyvių pasirašytų dotacijos sutarčių skaičius programos „Europos horizontas“ finansuojamuose projektuose (skaičius</w:t>
                    </w:r>
                    <w:r>
                      <w:rPr>
                        <w:color w:val="000000"/>
                        <w:sz w:val="22"/>
                        <w:szCs w:val="22"/>
                        <w:lang w:eastAsia="lt-LT"/>
                      </w:rPr>
                      <w:t>)</w:t>
                    </w:r>
                  </w:p>
                </w:tc>
                <w:tc>
                  <w:tcPr>
                    <w:tcW w:w="456" w:type="pct"/>
                    <w:tcBorders>
                      <w:top w:val="single" w:sz="4" w:space="0" w:color="auto"/>
                      <w:left w:val="single" w:sz="4" w:space="0" w:color="auto"/>
                      <w:bottom w:val="single" w:sz="4" w:space="0" w:color="auto"/>
                      <w:right w:val="single" w:sz="4" w:space="0" w:color="auto"/>
                    </w:tcBorders>
                    <w:hideMark/>
                  </w:tcPr>
                  <w:p>
                    <w:pPr>
                      <w:ind w:left="-111"/>
                      <w:jc w:val="center"/>
                      <w:rPr>
                        <w:sz w:val="22"/>
                        <w:szCs w:val="22"/>
                      </w:rPr>
                    </w:pPr>
                    <w:r>
                      <w:rPr>
                        <w:sz w:val="22"/>
                        <w:szCs w:val="22"/>
                      </w:rPr>
                      <w:t>605 (2030)</w:t>
                    </w:r>
                  </w:p>
                </w:tc>
                <w:tc>
                  <w:tcPr>
                    <w:tcW w:w="469"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82" w:type="pct"/>
                    <w:tcBorders>
                      <w:top w:val="single" w:sz="4" w:space="0" w:color="auto"/>
                      <w:left w:val="single" w:sz="4" w:space="0" w:color="auto"/>
                      <w:bottom w:val="single" w:sz="4" w:space="0" w:color="auto"/>
                      <w:right w:val="single" w:sz="4" w:space="0" w:color="auto"/>
                    </w:tcBorders>
                  </w:tcPr>
                  <w:p>
                    <w:pPr>
                      <w:jc w:val="center"/>
                      <w:rPr>
                        <w:sz w:val="22"/>
                        <w:szCs w:val="22"/>
                      </w:rPr>
                    </w:pPr>
                  </w:p>
                </w:tc>
              </w:tr>
              <w:tr>
                <w:trPr>
                  <w:trHeight w:val="233"/>
                </w:trPr>
                <w:tc>
                  <w:tcPr>
                    <w:tcW w:w="447" w:type="pct"/>
                    <w:gridSpan w:val="2"/>
                    <w:tcBorders>
                      <w:top w:val="single" w:sz="4" w:space="0" w:color="auto"/>
                      <w:left w:val="single" w:sz="4" w:space="0" w:color="auto"/>
                      <w:bottom w:val="single" w:sz="4" w:space="0" w:color="auto"/>
                      <w:right w:val="single" w:sz="4" w:space="0" w:color="auto"/>
                    </w:tcBorders>
                    <w:hideMark/>
                  </w:tcPr>
                  <w:p>
                    <w:pPr>
                      <w:ind w:right="-107"/>
                      <w:rPr>
                        <w:sz w:val="22"/>
                        <w:szCs w:val="22"/>
                      </w:rPr>
                    </w:pPr>
                    <w:r>
                      <w:rPr>
                        <w:sz w:val="22"/>
                        <w:szCs w:val="22"/>
                      </w:rPr>
                      <w:t>2.1. Programos „Europos horizontas“ akceleravimas</w:t>
                    </w:r>
                  </w:p>
                </w:tc>
                <w:tc>
                  <w:tcPr>
                    <w:tcW w:w="22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81" w:type="pct"/>
                    <w:tcBorders>
                      <w:top w:val="single" w:sz="4" w:space="0" w:color="auto"/>
                      <w:left w:val="single" w:sz="4" w:space="0" w:color="auto"/>
                      <w:bottom w:val="single" w:sz="4" w:space="0" w:color="auto"/>
                      <w:right w:val="single" w:sz="4" w:space="0" w:color="auto"/>
                    </w:tcBorders>
                    <w:hideMark/>
                  </w:tcPr>
                  <w:p>
                    <w:pPr>
                      <w:ind w:left="-118"/>
                      <w:jc w:val="center"/>
                      <w:rPr>
                        <w:sz w:val="22"/>
                        <w:szCs w:val="22"/>
                      </w:rPr>
                    </w:pPr>
                    <w:r>
                      <w:rPr>
                        <w:sz w:val="22"/>
                        <w:szCs w:val="22"/>
                      </w:rPr>
                      <w:t>LMT,MSI</w:t>
                    </w:r>
                    <w:r>
                      <w:rPr>
                        <w:sz w:val="22"/>
                        <w:szCs w:val="22"/>
                        <w:lang w:eastAsia="lt-LT"/>
                      </w:rPr>
                      <w:t xml:space="preserve">, </w:t>
                    </w:r>
                    <w:r>
                      <w:rPr>
                        <w:sz w:val="22"/>
                        <w:szCs w:val="22"/>
                      </w:rPr>
                      <w:t>MVĮ, DĮ</w:t>
                    </w:r>
                  </w:p>
                </w:tc>
                <w:tc>
                  <w:tcPr>
                    <w:tcW w:w="25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T,</w:t>
                    </w:r>
                  </w:p>
                  <w:p>
                    <w:pPr>
                      <w:jc w:val="center"/>
                      <w:rPr>
                        <w:sz w:val="22"/>
                        <w:szCs w:val="22"/>
                      </w:rPr>
                    </w:pPr>
                    <w:r>
                      <w:rPr>
                        <w:sz w:val="22"/>
                        <w:szCs w:val="22"/>
                      </w:rPr>
                      <w:t>P</w:t>
                    </w:r>
                  </w:p>
                </w:tc>
                <w:tc>
                  <w:tcPr>
                    <w:tcW w:w="41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3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378"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21 400 000;</w:t>
                    </w:r>
                  </w:p>
                  <w:p>
                    <w:pPr>
                      <w:rPr>
                        <w:sz w:val="22"/>
                        <w:szCs w:val="22"/>
                      </w:rPr>
                    </w:pPr>
                  </w:p>
                  <w:p>
                    <w:pPr>
                      <w:rPr>
                        <w:sz w:val="22"/>
                        <w:szCs w:val="22"/>
                      </w:rPr>
                    </w:pPr>
                  </w:p>
                  <w:p>
                    <w:pPr>
                      <w:rPr>
                        <w:sz w:val="22"/>
                        <w:szCs w:val="22"/>
                      </w:rPr>
                    </w:pPr>
                    <w:r>
                      <w:rPr>
                        <w:sz w:val="22"/>
                        <w:szCs w:val="22"/>
                      </w:rPr>
                      <w:t>4 494 000</w:t>
                    </w:r>
                  </w:p>
                </w:tc>
                <w:tc>
                  <w:tcPr>
                    <w:tcW w:w="385"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EGADP lėšos</w:t>
                    </w:r>
                  </w:p>
                  <w:p>
                    <w:pPr>
                      <w:rPr>
                        <w:sz w:val="22"/>
                        <w:szCs w:val="22"/>
                      </w:rPr>
                    </w:pPr>
                  </w:p>
                  <w:p>
                    <w:pPr>
                      <w:rPr>
                        <w:sz w:val="22"/>
                        <w:szCs w:val="22"/>
                      </w:rPr>
                    </w:pPr>
                    <w:r>
                      <w:rPr>
                        <w:sz w:val="22"/>
                        <w:szCs w:val="22"/>
                        <w:shd w:val="clear" w:color="auto" w:fill="FFFFFF"/>
                      </w:rPr>
                      <w:t xml:space="preserve">VB </w:t>
                    </w:r>
                    <w:r>
                      <w:rPr>
                        <w:sz w:val="22"/>
                        <w:szCs w:val="22"/>
                      </w:rPr>
                      <w:t>lėšos, skirtos apmokėti bendrai finansuojamų iš ES fondų lėšų projektų netinkamam finansuoti iš ES fondų lėšų pirkimo ir (arba) importo PVM</w:t>
                    </w:r>
                  </w:p>
                </w:tc>
                <w:tc>
                  <w:tcPr>
                    <w:tcW w:w="278" w:type="pct"/>
                    <w:tcBorders>
                      <w:top w:val="single" w:sz="4" w:space="0" w:color="auto"/>
                      <w:left w:val="single" w:sz="4" w:space="0" w:color="auto"/>
                      <w:bottom w:val="single" w:sz="4" w:space="0" w:color="auto"/>
                      <w:right w:val="single" w:sz="4" w:space="0" w:color="auto"/>
                    </w:tcBorders>
                  </w:tcPr>
                  <w:p>
                    <w:pPr>
                      <w:rPr>
                        <w:sz w:val="22"/>
                        <w:szCs w:val="22"/>
                      </w:rPr>
                    </w:pPr>
                  </w:p>
                </w:tc>
                <w:tc>
                  <w:tcPr>
                    <w:tcW w:w="546" w:type="pct"/>
                    <w:tcBorders>
                      <w:top w:val="single" w:sz="4" w:space="0" w:color="auto"/>
                      <w:left w:val="single" w:sz="4" w:space="0" w:color="auto"/>
                      <w:bottom w:val="single" w:sz="4" w:space="0" w:color="auto"/>
                      <w:right w:val="single" w:sz="4" w:space="0" w:color="auto"/>
                    </w:tcBorders>
                  </w:tcPr>
                  <w:p>
                    <w:pPr>
                      <w:rPr>
                        <w:sz w:val="22"/>
                        <w:szCs w:val="22"/>
                      </w:rPr>
                    </w:pPr>
                    <w:r>
                      <w:rPr>
                        <w:color w:val="000000"/>
                        <w:sz w:val="22"/>
                        <w:szCs w:val="22"/>
                        <w:shd w:val="clear" w:color="auto" w:fill="FFFFFF"/>
                      </w:rPr>
                      <w:t>P-12-001-01-02-01-13</w:t>
                    </w:r>
                    <w:r>
                      <w:rPr>
                        <w:sz w:val="22"/>
                        <w:szCs w:val="22"/>
                      </w:rPr>
                      <w:t xml:space="preserve"> – Programos „Europos horizontas“ įgyvendinimo spartinimo veiksmų plano rengimas ir priėmimas (vienetai</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P-12-001-01-02-01-15</w:t>
                    </w:r>
                    <w:r>
                      <w:rPr>
                        <w:sz w:val="22"/>
                        <w:szCs w:val="22"/>
                      </w:rPr>
                      <w:t xml:space="preserve"> – Sukurtas mokslo ir inovacijų srities pareigūnų veiklos modelis (vienetai</w:t>
                    </w:r>
                    <w:r>
                      <w:rPr>
                        <w:color w:val="000000"/>
                        <w:sz w:val="22"/>
                        <w:szCs w:val="22"/>
                        <w:lang w:eastAsia="lt-LT"/>
                      </w:rPr>
                      <w:t>)</w:t>
                    </w:r>
                  </w:p>
                  <w:p>
                    <w:pPr>
                      <w:rPr>
                        <w:sz w:val="22"/>
                        <w:szCs w:val="22"/>
                      </w:rPr>
                    </w:pPr>
                  </w:p>
                  <w:p>
                    <w:pPr>
                      <w:rPr>
                        <w:color w:val="000000"/>
                        <w:sz w:val="22"/>
                        <w:szCs w:val="22"/>
                        <w:lang w:eastAsia="lt-LT"/>
                      </w:rPr>
                    </w:pPr>
                    <w:r>
                      <w:rPr>
                        <w:color w:val="000000"/>
                        <w:sz w:val="22"/>
                        <w:szCs w:val="22"/>
                        <w:shd w:val="clear" w:color="auto" w:fill="FFFFFF"/>
                      </w:rPr>
                      <w:t>P-12-001-01-02-01-16</w:t>
                    </w:r>
                    <w:r>
                      <w:rPr>
                        <w:sz w:val="22"/>
                        <w:szCs w:val="22"/>
                      </w:rPr>
                      <w:t xml:space="preserve"> – Įsteigtos mokslo pareigūnų ir nacionalinių kontaktinių asmenų (NCP) pareigybės (vienetai</w:t>
                    </w:r>
                    <w:r>
                      <w:rPr>
                        <w:color w:val="000000"/>
                        <w:sz w:val="22"/>
                        <w:szCs w:val="22"/>
                        <w:lang w:eastAsia="lt-LT"/>
                      </w:rPr>
                      <w:t>)</w:t>
                    </w:r>
                  </w:p>
                  <w:p>
                    <w:pPr>
                      <w:rPr>
                        <w:color w:val="000000"/>
                        <w:sz w:val="22"/>
                        <w:szCs w:val="22"/>
                        <w:lang w:eastAsia="lt-LT"/>
                      </w:rPr>
                    </w:pPr>
                  </w:p>
                  <w:p>
                    <w:pPr>
                      <w:rPr>
                        <w:color w:val="000000"/>
                        <w:sz w:val="22"/>
                        <w:szCs w:val="22"/>
                        <w:lang w:eastAsia="lt-LT"/>
                      </w:rPr>
                    </w:pPr>
                  </w:p>
                  <w:p>
                    <w:pPr>
                      <w:rPr>
                        <w:color w:val="000000"/>
                        <w:sz w:val="22"/>
                        <w:szCs w:val="22"/>
                        <w:lang w:eastAsia="lt-LT"/>
                      </w:rPr>
                    </w:pPr>
                  </w:p>
                  <w:p>
                    <w:pPr>
                      <w:rPr>
                        <w:color w:val="000000"/>
                        <w:sz w:val="22"/>
                        <w:szCs w:val="22"/>
                        <w:lang w:eastAsia="lt-LT"/>
                      </w:rPr>
                    </w:pPr>
                  </w:p>
                  <w:p>
                    <w:pPr>
                      <w:rPr>
                        <w:sz w:val="22"/>
                        <w:szCs w:val="22"/>
                      </w:rPr>
                    </w:pPr>
                  </w:p>
                  <w:p>
                    <w:pPr>
                      <w:rPr>
                        <w:sz w:val="22"/>
                        <w:szCs w:val="22"/>
                      </w:rPr>
                    </w:pPr>
                  </w:p>
                  <w:p>
                    <w:pPr>
                      <w:rPr>
                        <w:sz w:val="22"/>
                        <w:szCs w:val="22"/>
                      </w:rPr>
                    </w:pPr>
                    <w:r>
                      <w:rPr>
                        <w:color w:val="000000"/>
                        <w:sz w:val="22"/>
                        <w:szCs w:val="22"/>
                        <w:shd w:val="clear" w:color="auto" w:fill="FFFFFF"/>
                      </w:rPr>
                      <w:t>P-12-001-01-02-01-14</w:t>
                    </w:r>
                    <w:r>
                      <w:rPr>
                        <w:sz w:val="22"/>
                        <w:szCs w:val="22"/>
                      </w:rPr>
                      <w:t xml:space="preserve"> – Mokslo ir studijų institucijų ir mažų ir vidutinių įmonių potencialiems programos „Europos horizontas“ pareiškėjams skirta finansinė parama projektams įgyvendinti ir konsultavimo paslaugoms teikti (vienetai</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R-12-001-01-02-01-09</w:t>
                    </w:r>
                    <w:r>
                      <w:rPr>
                        <w:sz w:val="22"/>
                        <w:szCs w:val="22"/>
                      </w:rPr>
                      <w:t xml:space="preserve">  – Paramą gavusiose mokslinių tyrimų įstaigose dirbantys mokslininkai (metinis etato ekvivalentas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R-12-001-01-02-01-10</w:t>
                    </w:r>
                    <w:r>
                      <w:rPr>
                        <w:sz w:val="22"/>
                        <w:szCs w:val="22"/>
                      </w:rPr>
                      <w:t xml:space="preserve"> – Paramą gavusios įmonės (įmonės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R-12-001-01-02-01-11</w:t>
                    </w:r>
                    <w:r>
                      <w:rPr>
                        <w:sz w:val="22"/>
                        <w:szCs w:val="22"/>
                      </w:rPr>
                      <w:t xml:space="preserve"> – Paramą gavusios įmonės, iš jų: mažos ir labai mažos (įmonės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R-12-001-01-02-01-12</w:t>
                    </w:r>
                    <w:r>
                      <w:rPr>
                        <w:sz w:val="22"/>
                        <w:szCs w:val="22"/>
                      </w:rPr>
                      <w:t xml:space="preserve"> – Paramą gavusios įmonės, iš jų: vidutinės, įmonės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R-12-001-01-02-01-13</w:t>
                    </w:r>
                    <w:r>
                      <w:rPr>
                        <w:sz w:val="22"/>
                        <w:szCs w:val="22"/>
                      </w:rPr>
                      <w:t xml:space="preserve"> – Paramą gavusios įmonės, iš jų didelės (įmonės</w:t>
                    </w:r>
                    <w:r>
                      <w:rPr>
                        <w:color w:val="000000"/>
                        <w:sz w:val="22"/>
                        <w:szCs w:val="22"/>
                        <w:lang w:eastAsia="lt-LT"/>
                      </w:rPr>
                      <w:t>)</w:t>
                    </w:r>
                  </w:p>
                </w:tc>
                <w:tc>
                  <w:tcPr>
                    <w:tcW w:w="456" w:type="pct"/>
                    <w:tcBorders>
                      <w:top w:val="single" w:sz="4" w:space="0" w:color="auto"/>
                      <w:left w:val="single" w:sz="4" w:space="0" w:color="auto"/>
                      <w:bottom w:val="single" w:sz="4" w:space="0" w:color="auto"/>
                      <w:right w:val="single" w:sz="4" w:space="0" w:color="auto"/>
                    </w:tcBorders>
                  </w:tcPr>
                  <w:p>
                    <w:pPr>
                      <w:ind w:left="-111"/>
                      <w:jc w:val="center"/>
                      <w:rPr>
                        <w:sz w:val="22"/>
                        <w:szCs w:val="22"/>
                      </w:rPr>
                    </w:pPr>
                    <w:r>
                      <w:rPr>
                        <w:sz w:val="22"/>
                        <w:szCs w:val="22"/>
                      </w:rPr>
                      <w:t>1 (2022 m. II ketv.)</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ind w:left="-111" w:firstLine="75"/>
                      <w:jc w:val="center"/>
                      <w:rPr>
                        <w:sz w:val="22"/>
                        <w:szCs w:val="22"/>
                      </w:rPr>
                    </w:pPr>
                    <w:r>
                      <w:rPr>
                        <w:sz w:val="22"/>
                        <w:szCs w:val="22"/>
                      </w:rPr>
                      <w:t>1 (2022 m. II ketv.)</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ind w:left="-111" w:right="-110"/>
                      <w:jc w:val="center"/>
                      <w:rPr>
                        <w:sz w:val="22"/>
                        <w:szCs w:val="22"/>
                      </w:rPr>
                    </w:pPr>
                    <w:r>
                      <w:rPr>
                        <w:sz w:val="22"/>
                        <w:szCs w:val="22"/>
                      </w:rPr>
                      <w:t xml:space="preserve">30 </w:t>
                    </w:r>
                    <w:r>
                      <w:rPr>
                        <w:sz w:val="22"/>
                        <w:szCs w:val="22"/>
                        <w:lang w:eastAsia="lt-LT"/>
                      </w:rPr>
                      <w:t xml:space="preserve">(2026 m. II ketv.) </w:t>
                    </w:r>
                    <w:r>
                      <w:rPr>
                        <w:sz w:val="22"/>
                        <w:szCs w:val="22"/>
                      </w:rPr>
                      <w:t>(15 mokslo ir inovacijų pareigūnų / patarėjų pozicijų ir 15 NCP pareigybių)</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ind w:left="-111"/>
                      <w:jc w:val="center"/>
                      <w:rPr>
                        <w:sz w:val="22"/>
                        <w:szCs w:val="22"/>
                      </w:rPr>
                    </w:pPr>
                    <w:r>
                      <w:rPr>
                        <w:sz w:val="22"/>
                        <w:szCs w:val="22"/>
                      </w:rPr>
                      <w:t>417 (2026 m. II ketv.)</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tc>
                <w:tc>
                  <w:tcPr>
                    <w:tcW w:w="469" w:type="pct"/>
                    <w:tcBorders>
                      <w:top w:val="single" w:sz="4" w:space="0" w:color="auto"/>
                      <w:left w:val="single" w:sz="4" w:space="0" w:color="auto"/>
                      <w:bottom w:val="single" w:sz="4" w:space="0" w:color="auto"/>
                      <w:right w:val="single" w:sz="4" w:space="0" w:color="auto"/>
                    </w:tcBorders>
                    <w:hideMark/>
                  </w:tcPr>
                  <w:p>
                    <w:pPr>
                      <w:ind w:right="-104"/>
                      <w:jc w:val="center"/>
                      <w:rPr>
                        <w:sz w:val="22"/>
                        <w:szCs w:val="22"/>
                      </w:rPr>
                    </w:pPr>
                    <w:r>
                      <w:rPr>
                        <w:sz w:val="22"/>
                        <w:szCs w:val="22"/>
                      </w:rPr>
                      <w:t>CPVA</w:t>
                    </w:r>
                  </w:p>
                </w:tc>
                <w:tc>
                  <w:tcPr>
                    <w:tcW w:w="38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EIM</w:t>
                    </w:r>
                  </w:p>
                </w:tc>
              </w:tr>
              <w:tr>
                <w:trPr>
                  <w:trHeight w:val="233"/>
                </w:trPr>
                <w:tc>
                  <w:tcPr>
                    <w:tcW w:w="447"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2.2. Didinti mokslo tarptautiškumo lygį (Sostinė)</w:t>
                    </w:r>
                  </w:p>
                </w:tc>
                <w:tc>
                  <w:tcPr>
                    <w:tcW w:w="22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8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 MSI</w:t>
                    </w:r>
                  </w:p>
                </w:tc>
                <w:tc>
                  <w:tcPr>
                    <w:tcW w:w="25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41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3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378"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23 232 493:</w:t>
                    </w:r>
                  </w:p>
                  <w:p>
                    <w:pPr>
                      <w:textAlignment w:val="baseline"/>
                      <w:rPr>
                        <w:sz w:val="22"/>
                        <w:szCs w:val="22"/>
                        <w:lang w:eastAsia="lt-LT"/>
                      </w:rPr>
                    </w:pPr>
                    <w:r>
                      <w:rPr>
                        <w:sz w:val="22"/>
                        <w:szCs w:val="22"/>
                        <w:lang w:eastAsia="lt-LT"/>
                      </w:rPr>
                      <w:t>8 660 759</w:t>
                    </w:r>
                    <w:r>
                      <w:rPr>
                        <w:sz w:val="22"/>
                        <w:szCs w:val="22"/>
                      </w:rPr>
                      <w:t xml:space="preserve"> – </w:t>
                    </w:r>
                    <w:r>
                      <w:rPr>
                        <w:color w:val="000000"/>
                        <w:sz w:val="22"/>
                        <w:szCs w:val="22"/>
                        <w:lang w:eastAsia="lt-LT"/>
                      </w:rPr>
                      <w:t>ES fondų lėšos,</w:t>
                    </w:r>
                  </w:p>
                  <w:p>
                    <w:pPr>
                      <w:textAlignment w:val="baseline"/>
                      <w:rPr>
                        <w:sz w:val="22"/>
                        <w:szCs w:val="22"/>
                        <w:lang w:eastAsia="lt-LT"/>
                      </w:rPr>
                    </w:pPr>
                    <w:r>
                      <w:rPr>
                        <w:sz w:val="22"/>
                        <w:szCs w:val="22"/>
                        <w:lang w:eastAsia="lt-LT"/>
                      </w:rPr>
                      <w:t>14 571 734</w:t>
                    </w:r>
                    <w:r>
                      <w:rPr>
                        <w:sz w:val="22"/>
                        <w:szCs w:val="22"/>
                      </w:rPr>
                      <w:t xml:space="preserve"> –</w:t>
                    </w:r>
                    <w:r>
                      <w:rPr>
                        <w:color w:val="000000"/>
                        <w:sz w:val="22"/>
                        <w:szCs w:val="22"/>
                        <w:lang w:eastAsia="lt-LT"/>
                      </w:rPr>
                      <w:t xml:space="preserve"> ES fondų BF lėšos;</w:t>
                    </w:r>
                  </w:p>
                  <w:p>
                    <w:pPr>
                      <w:textAlignment w:val="baseline"/>
                      <w:rPr>
                        <w:sz w:val="22"/>
                        <w:szCs w:val="22"/>
                        <w:lang w:eastAsia="lt-LT"/>
                      </w:rPr>
                    </w:pPr>
                  </w:p>
                  <w:p>
                    <w:pPr>
                      <w:textAlignment w:val="baseline"/>
                      <w:rPr>
                        <w:sz w:val="22"/>
                        <w:szCs w:val="22"/>
                        <w:lang w:eastAsia="lt-LT"/>
                      </w:rPr>
                    </w:pPr>
                    <w:r>
                      <w:rPr>
                        <w:sz w:val="22"/>
                        <w:szCs w:val="22"/>
                        <w:lang w:eastAsia="lt-LT"/>
                      </w:rPr>
                      <w:t>4 878 824</w:t>
                    </w:r>
                  </w:p>
                </w:tc>
                <w:tc>
                  <w:tcPr>
                    <w:tcW w:w="385"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 xml:space="preserve">2021–2027 </w:t>
                    </w:r>
                    <w:r>
                      <w:rPr>
                        <w:color w:val="000000"/>
                        <w:sz w:val="22"/>
                        <w:szCs w:val="22"/>
                        <w:lang w:eastAsia="lt-LT"/>
                      </w:rPr>
                      <w:t xml:space="preserve">metų ES fondų ir 2021–2027 metų ES fondų </w:t>
                    </w:r>
                    <w:r>
                      <w:rPr>
                        <w:sz w:val="22"/>
                        <w:szCs w:val="22"/>
                      </w:rPr>
                      <w:t>BF lėšos</w:t>
                    </w: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278"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46"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w:t>
                    </w:r>
                    <w:r>
                      <w:rPr>
                        <w:sz w:val="22"/>
                        <w:szCs w:val="22"/>
                        <w:lang w:eastAsia="lt-LT"/>
                      </w:rPr>
                      <w:t>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 </w:t>
                    </w:r>
                    <w:r>
                      <w:rPr>
                        <w:sz w:val="22"/>
                        <w:szCs w:val="22"/>
                      </w:rPr>
                      <w:t>(</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pPr>
                      <w:rPr>
                        <w:sz w:val="22"/>
                        <w:szCs w:val="22"/>
                      </w:rPr>
                    </w:pPr>
                  </w:p>
                  <w:p>
                    <w:pPr>
                      <w:rPr>
                        <w:color w:val="000000"/>
                        <w:sz w:val="22"/>
                        <w:szCs w:val="22"/>
                        <w:lang w:eastAsia="lt-LT"/>
                      </w:rPr>
                    </w:pPr>
                    <w:r>
                      <w:rPr>
                        <w:color w:val="000000"/>
                        <w:sz w:val="22"/>
                        <w:szCs w:val="22"/>
                        <w:shd w:val="clear" w:color="auto" w:fill="FFFFFF"/>
                      </w:rPr>
                      <w:t>P-12-001-01-02-01-17</w:t>
                    </w:r>
                    <w:r>
                      <w:rPr>
                        <w:color w:val="000000"/>
                        <w:sz w:val="22"/>
                        <w:szCs w:val="22"/>
                        <w:lang w:eastAsia="lt-LT"/>
                      </w:rPr>
                      <w:t xml:space="preserve"> – Asmenys, dalyvavę EURO HPC centro veiklose</w:t>
                    </w:r>
                    <w:r>
                      <w:rPr>
                        <w:sz w:val="22"/>
                        <w:szCs w:val="22"/>
                      </w:rPr>
                      <w:t xml:space="preserve"> (</w:t>
                    </w:r>
                    <w:r>
                      <w:rPr>
                        <w:color w:val="000000"/>
                        <w:sz w:val="22"/>
                        <w:szCs w:val="22"/>
                        <w:lang w:eastAsia="lt-LT"/>
                      </w:rPr>
                      <w:t>skaičius)</w:t>
                    </w:r>
                  </w:p>
                  <w:p>
                    <w:pPr>
                      <w:rPr>
                        <w:color w:val="000000"/>
                        <w:sz w:val="22"/>
                        <w:szCs w:val="22"/>
                        <w:lang w:eastAsia="lt-LT"/>
                      </w:rPr>
                    </w:pPr>
                  </w:p>
                  <w:p>
                    <w:pPr>
                      <w:rPr>
                        <w:color w:val="000000"/>
                        <w:sz w:val="22"/>
                        <w:szCs w:val="22"/>
                        <w:lang w:eastAsia="lt-LT"/>
                      </w:rPr>
                    </w:pPr>
                    <w:r>
                      <w:rPr>
                        <w:color w:val="000000"/>
                        <w:sz w:val="22"/>
                        <w:szCs w:val="22"/>
                        <w:shd w:val="clear" w:color="auto" w:fill="FFFFFF"/>
                      </w:rPr>
                      <w:t>P-12-001-01-02-01-18</w:t>
                    </w:r>
                    <w:r>
                      <w:rPr>
                        <w:color w:val="000000"/>
                        <w:sz w:val="22"/>
                        <w:szCs w:val="22"/>
                        <w:lang w:eastAsia="lt-LT"/>
                      </w:rPr>
                      <w:t xml:space="preserve"> – LINO renginiai / susitikimai apie ES tarptautines programas, iniciatyvas bei galimybes, aktualias Lietuvos mokslo ir inovacijų ekosistemai</w:t>
                    </w:r>
                    <w:r>
                      <w:rPr>
                        <w:sz w:val="22"/>
                        <w:szCs w:val="22"/>
                      </w:rPr>
                      <w:t xml:space="preserve"> (</w:t>
                    </w:r>
                    <w:r>
                      <w:rPr>
                        <w:color w:val="000000"/>
                        <w:sz w:val="22"/>
                        <w:szCs w:val="22"/>
                        <w:lang w:eastAsia="lt-LT"/>
                      </w:rPr>
                      <w:t>skaičius)</w:t>
                    </w:r>
                  </w:p>
                  <w:p>
                    <w:pPr>
                      <w:rPr>
                        <w:color w:val="000000"/>
                        <w:sz w:val="22"/>
                        <w:szCs w:val="22"/>
                        <w:lang w:eastAsia="lt-LT"/>
                      </w:rPr>
                    </w:pPr>
                  </w:p>
                  <w:p>
                    <w:pPr>
                      <w:rPr>
                        <w:color w:val="000000"/>
                        <w:sz w:val="22"/>
                        <w:szCs w:val="22"/>
                        <w:lang w:eastAsia="lt-LT"/>
                      </w:rPr>
                    </w:pPr>
                    <w:r>
                      <w:rPr>
                        <w:sz w:val="22"/>
                        <w:szCs w:val="22"/>
                      </w:rPr>
                      <w:t>P-12-001-01-02-01-23</w:t>
                    </w:r>
                  </w:p>
                  <w:p>
                    <w:pPr>
                      <w:ind w:left="21" w:hanging="360"/>
                      <w:rPr>
                        <w:sz w:val="22"/>
                        <w:szCs w:val="22"/>
                      </w:rPr>
                    </w:pPr>
                    <w:r>
                      <w:rPr>
                        <w:sz w:val="22"/>
                        <w:szCs w:val="22"/>
                      </w:rPr>
                      <w:t>–</w:t>
                      <w:tab/>
                    </w:r>
                    <w:r>
                      <w:rPr>
                        <w:bCs/>
                        <w:iCs/>
                        <w:sz w:val="22"/>
                        <w:szCs w:val="22"/>
                        <w:lang w:eastAsia="lt-LT"/>
                      </w:rPr>
                      <w:t>Išlaikytos nacionalinių kontaktinių asmenų pareigybės (vienetai)</w:t>
                    </w:r>
                  </w:p>
                </w:tc>
                <w:tc>
                  <w:tcPr>
                    <w:tcW w:w="456"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175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8 084 730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18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ind w:hanging="111"/>
                      <w:jc w:val="center"/>
                      <w:textAlignment w:val="baseline"/>
                      <w:rPr>
                        <w:sz w:val="22"/>
                        <w:szCs w:val="22"/>
                        <w:lang w:eastAsia="lt-LT"/>
                      </w:rPr>
                    </w:pPr>
                    <w:r>
                      <w:rPr>
                        <w:sz w:val="22"/>
                        <w:szCs w:val="22"/>
                        <w:lang w:eastAsia="lt-LT"/>
                      </w:rPr>
                      <w:t>28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ind w:left="-111" w:right="-105"/>
                      <w:jc w:val="center"/>
                      <w:rPr>
                        <w:sz w:val="22"/>
                        <w:szCs w:val="22"/>
                      </w:rPr>
                    </w:pPr>
                    <w:r>
                      <w:rPr>
                        <w:sz w:val="22"/>
                        <w:szCs w:val="22"/>
                      </w:rPr>
                      <w:t>95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ind w:left="-111" w:right="-247"/>
                      <w:jc w:val="center"/>
                      <w:rPr>
                        <w:sz w:val="22"/>
                        <w:szCs w:val="22"/>
                      </w:rPr>
                    </w:pPr>
                    <w:r>
                      <w:rPr>
                        <w:sz w:val="22"/>
                        <w:szCs w:val="22"/>
                      </w:rPr>
                      <w:t>260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ind w:right="-105"/>
                      <w:jc w:val="center"/>
                      <w:rPr>
                        <w:sz w:val="22"/>
                        <w:szCs w:val="22"/>
                      </w:rPr>
                    </w:pPr>
                    <w:r>
                      <w:rPr>
                        <w:sz w:val="22"/>
                        <w:szCs w:val="22"/>
                      </w:rPr>
                      <w:t>60 (2029)</w:t>
                    </w: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r>
                      <w:rPr>
                        <w:sz w:val="22"/>
                        <w:szCs w:val="22"/>
                      </w:rPr>
                      <w:t>11 (2029)</w:t>
                    </w:r>
                  </w:p>
                </w:tc>
                <w:tc>
                  <w:tcPr>
                    <w:tcW w:w="469"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CPVA</w:t>
                    </w:r>
                  </w:p>
                </w:tc>
                <w:tc>
                  <w:tcPr>
                    <w:tcW w:w="38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447"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2.3. Didinti mokslo tarptautiškumo lygį (VVL)</w:t>
                    </w:r>
                  </w:p>
                </w:tc>
                <w:tc>
                  <w:tcPr>
                    <w:tcW w:w="22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81"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 xml:space="preserve">LMT, MSI, </w:t>
                    </w:r>
                  </w:p>
                  <w:p>
                    <w:pPr>
                      <w:jc w:val="center"/>
                      <w:rPr>
                        <w:sz w:val="22"/>
                        <w:szCs w:val="22"/>
                      </w:rPr>
                    </w:pPr>
                  </w:p>
                </w:tc>
                <w:tc>
                  <w:tcPr>
                    <w:tcW w:w="25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41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3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378"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26 597 523;</w:t>
                    </w: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r>
                      <w:rPr>
                        <w:sz w:val="22"/>
                        <w:szCs w:val="22"/>
                        <w:lang w:eastAsia="lt-LT"/>
                      </w:rPr>
                      <w:t>5 585 480</w:t>
                    </w:r>
                  </w:p>
                </w:tc>
                <w:tc>
                  <w:tcPr>
                    <w:tcW w:w="385"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278"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46"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 (eurai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P-12-001-01-02-01-17</w:t>
                    </w:r>
                    <w:r>
                      <w:rPr>
                        <w:color w:val="000000"/>
                        <w:sz w:val="22"/>
                        <w:szCs w:val="22"/>
                        <w:lang w:eastAsia="lt-LT"/>
                      </w:rPr>
                      <w:t xml:space="preserve"> – Asmenys, dalyvavę EURO HPC centro veiklose, skaičius)</w:t>
                    </w:r>
                  </w:p>
                </w:tc>
                <w:tc>
                  <w:tcPr>
                    <w:tcW w:w="456" w:type="pct"/>
                    <w:tcBorders>
                      <w:top w:val="single" w:sz="4" w:space="0" w:color="auto"/>
                      <w:left w:val="single" w:sz="4" w:space="0" w:color="auto"/>
                      <w:bottom w:val="single" w:sz="4" w:space="0" w:color="auto"/>
                      <w:right w:val="single" w:sz="4" w:space="0" w:color="auto"/>
                    </w:tcBorders>
                  </w:tcPr>
                  <w:p>
                    <w:pPr>
                      <w:ind w:right="-105" w:hanging="111"/>
                      <w:jc w:val="center"/>
                      <w:textAlignment w:val="baseline"/>
                      <w:rPr>
                        <w:sz w:val="22"/>
                        <w:szCs w:val="22"/>
                        <w:lang w:eastAsia="lt-LT"/>
                      </w:rPr>
                    </w:pPr>
                    <w:r>
                      <w:rPr>
                        <w:sz w:val="22"/>
                        <w:szCs w:val="22"/>
                        <w:lang w:eastAsia="lt-LT"/>
                      </w:rPr>
                      <w:t>300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ind w:left="-111" w:right="-105"/>
                      <w:jc w:val="center"/>
                      <w:textAlignment w:val="baseline"/>
                      <w:rPr>
                        <w:sz w:val="22"/>
                        <w:szCs w:val="22"/>
                        <w:lang w:eastAsia="lt-LT"/>
                      </w:rPr>
                    </w:pPr>
                    <w:r>
                      <w:rPr>
                        <w:sz w:val="22"/>
                        <w:szCs w:val="22"/>
                        <w:lang w:eastAsia="lt-LT"/>
                      </w:rPr>
                      <w:t>3 453 080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ind w:left="-111" w:right="-105"/>
                      <w:jc w:val="center"/>
                      <w:textAlignment w:val="baseline"/>
                      <w:rPr>
                        <w:sz w:val="22"/>
                        <w:szCs w:val="22"/>
                        <w:lang w:eastAsia="lt-LT"/>
                      </w:rPr>
                    </w:pPr>
                    <w:r>
                      <w:rPr>
                        <w:sz w:val="22"/>
                        <w:szCs w:val="22"/>
                        <w:lang w:eastAsia="lt-LT"/>
                      </w:rPr>
                      <w:t>5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8 (2029)</w:t>
                    </w: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100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30 (2029)</w:t>
                    </w:r>
                  </w:p>
                </w:tc>
                <w:tc>
                  <w:tcPr>
                    <w:tcW w:w="469"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CPVA</w:t>
                    </w:r>
                  </w:p>
                </w:tc>
                <w:tc>
                  <w:tcPr>
                    <w:tcW w:w="38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447" w:type="pct"/>
                    <w:gridSpan w:val="2"/>
                    <w:tcBorders>
                      <w:top w:val="single" w:sz="4" w:space="0" w:color="auto"/>
                      <w:left w:val="single" w:sz="4" w:space="0" w:color="auto"/>
                      <w:bottom w:val="single" w:sz="4" w:space="0" w:color="auto"/>
                      <w:right w:val="single" w:sz="4" w:space="0" w:color="auto"/>
                    </w:tcBorders>
                    <w:hideMark/>
                  </w:tcPr>
                  <w:p>
                    <w:pPr>
                      <w:rPr>
                        <w:sz w:val="22"/>
                        <w:szCs w:val="22"/>
                        <w:highlight w:val="yellow"/>
                      </w:rPr>
                    </w:pPr>
                    <w:r>
                      <w:rPr>
                        <w:sz w:val="22"/>
                        <w:szCs w:val="22"/>
                      </w:rPr>
                      <w:t>2.4. Tarptautiniai MTEP projektai</w:t>
                    </w:r>
                  </w:p>
                </w:tc>
                <w:tc>
                  <w:tcPr>
                    <w:tcW w:w="22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8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5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41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3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378"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385"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278"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p>
                </w:tc>
                <w:tc>
                  <w:tcPr>
                    <w:tcW w:w="546"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456"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469"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LMT</w:t>
                    </w:r>
                  </w:p>
                </w:tc>
                <w:tc>
                  <w:tcPr>
                    <w:tcW w:w="38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447"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2.5. Didinti mokslo tarptautiškumo lygį (Sostinė)</w:t>
                    </w:r>
                  </w:p>
                </w:tc>
                <w:tc>
                  <w:tcPr>
                    <w:tcW w:w="228"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8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Lietuvos mokslinių tyrimų infrastruktūrų veikloje dalyvaujantys juridiniai asmenys</w:t>
                    </w:r>
                  </w:p>
                </w:tc>
                <w:tc>
                  <w:tcPr>
                    <w:tcW w:w="25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41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3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378"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7 110 280:</w:t>
                    </w:r>
                  </w:p>
                  <w:p>
                    <w:pPr>
                      <w:jc w:val="center"/>
                      <w:textAlignment w:val="baseline"/>
                      <w:rPr>
                        <w:sz w:val="22"/>
                        <w:szCs w:val="22"/>
                        <w:lang w:eastAsia="lt-LT"/>
                      </w:rPr>
                    </w:pPr>
                    <w:r>
                      <w:rPr>
                        <w:sz w:val="22"/>
                        <w:szCs w:val="22"/>
                        <w:lang w:eastAsia="lt-LT"/>
                      </w:rPr>
                      <w:t>1 593 966 – ES fondų lėšos,</w:t>
                    </w:r>
                  </w:p>
                  <w:p>
                    <w:pPr>
                      <w:jc w:val="center"/>
                      <w:textAlignment w:val="baseline"/>
                      <w:rPr>
                        <w:sz w:val="22"/>
                        <w:szCs w:val="22"/>
                        <w:lang w:eastAsia="lt-LT"/>
                      </w:rPr>
                    </w:pPr>
                    <w:r>
                      <w:rPr>
                        <w:sz w:val="22"/>
                        <w:szCs w:val="22"/>
                        <w:lang w:eastAsia="lt-LT"/>
                      </w:rPr>
                      <w:t>5 516 314 – ES fondų BF lėšos</w:t>
                    </w: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1 493 159</w:t>
                    </w:r>
                  </w:p>
                </w:tc>
                <w:tc>
                  <w:tcPr>
                    <w:tcW w:w="385" w:type="pct"/>
                    <w:tcBorders>
                      <w:top w:val="single" w:sz="4" w:space="0" w:color="auto"/>
                      <w:left w:val="single" w:sz="4" w:space="0" w:color="auto"/>
                      <w:bottom w:val="single" w:sz="4" w:space="0" w:color="auto"/>
                      <w:right w:val="single" w:sz="4" w:space="0" w:color="auto"/>
                    </w:tcBorders>
                    <w:hideMark/>
                  </w:tcPr>
                  <w:p>
                    <w:pPr>
                      <w:textAlignment w:val="baseline"/>
                      <w:rPr>
                        <w:sz w:val="22"/>
                        <w:szCs w:val="22"/>
                        <w:lang w:eastAsia="lt-LT"/>
                      </w:rPr>
                    </w:pPr>
                    <w:r>
                      <w:rPr>
                        <w:sz w:val="22"/>
                        <w:szCs w:val="22"/>
                        <w:lang w:eastAsia="lt-LT"/>
                      </w:rPr>
                      <w:t>2021–2027 metų ES fondų ir 2021–2027 metų ES fondų BF lėšos</w:t>
                    </w:r>
                  </w:p>
                  <w:p>
                    <w:pPr>
                      <w:textAlignment w:val="baseline"/>
                      <w:rPr>
                        <w:sz w:val="22"/>
                        <w:szCs w:val="22"/>
                        <w:lang w:eastAsia="lt-LT"/>
                      </w:rPr>
                    </w:pPr>
                  </w:p>
                  <w:p>
                    <w:pPr>
                      <w:textAlignment w:val="baseline"/>
                      <w:rPr>
                        <w:sz w:val="22"/>
                        <w:szCs w:val="22"/>
                        <w:lang w:eastAsia="lt-LT"/>
                      </w:rPr>
                    </w:pPr>
                    <w:r>
                      <w:rPr>
                        <w:sz w:val="22"/>
                        <w:szCs w:val="22"/>
                        <w:lang w:eastAsia="lt-LT"/>
                      </w:rPr>
                      <w:t>VB lėšos, skirtos apmokėti bendrai finansuojamų iš ES fondų lėšų projektų netinkamam finansuoti iš ES fondų lėšų pirkimo ir (arba) importo PVM</w:t>
                    </w:r>
                  </w:p>
                </w:tc>
                <w:tc>
                  <w:tcPr>
                    <w:tcW w:w="278"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46" w:type="pct"/>
                    <w:tcBorders>
                      <w:top w:val="single" w:sz="4" w:space="0" w:color="auto"/>
                      <w:left w:val="single" w:sz="4" w:space="0" w:color="auto"/>
                      <w:bottom w:val="single" w:sz="4" w:space="0" w:color="auto"/>
                      <w:right w:val="single" w:sz="4" w:space="0" w:color="auto"/>
                    </w:tcBorders>
                  </w:tcPr>
                  <w:p>
                    <w:pPr>
                      <w:textAlignment w:val="baseline"/>
                      <w:rPr>
                        <w:sz w:val="22"/>
                        <w:szCs w:val="22"/>
                        <w:shd w:val="clear" w:color="auto" w:fill="FFFFFF"/>
                      </w:rPr>
                    </w:pPr>
                    <w:r>
                      <w:rPr>
                        <w:sz w:val="22"/>
                        <w:szCs w:val="22"/>
                        <w:shd w:val="clear" w:color="auto" w:fill="FFFFFF"/>
                      </w:rPr>
                      <w:t>P-12-001-01-02-01-01 – Paramą gavusiose mokslinių tyrimų įstaigose dirbantys mokslininkai (vienų metų etato ekvivalentai)</w:t>
                    </w:r>
                  </w:p>
                  <w:p>
                    <w:pPr>
                      <w:textAlignment w:val="baseline"/>
                      <w:rPr>
                        <w:sz w:val="22"/>
                        <w:szCs w:val="22"/>
                        <w:shd w:val="clear" w:color="auto" w:fill="FFFFFF"/>
                      </w:rPr>
                    </w:pPr>
                  </w:p>
                  <w:p>
                    <w:pPr>
                      <w:textAlignment w:val="baseline"/>
                      <w:rPr>
                        <w:sz w:val="22"/>
                        <w:szCs w:val="22"/>
                        <w:shd w:val="clear" w:color="auto" w:fill="FFFFFF"/>
                      </w:rPr>
                    </w:pPr>
                    <w:r>
                      <w:rPr>
                        <w:sz w:val="22"/>
                        <w:szCs w:val="22"/>
                        <w:shd w:val="clear" w:color="auto" w:fill="FFFFFF"/>
                      </w:rPr>
                      <w:t>P-12-001-01-02-01-03 – Nominalioji mokslinių tyrimų ir inovacijų įrangos vertė (eurai)</w:t>
                    </w:r>
                  </w:p>
                  <w:p>
                    <w:pPr>
                      <w:textAlignment w:val="baseline"/>
                      <w:rPr>
                        <w:sz w:val="22"/>
                        <w:szCs w:val="22"/>
                        <w:shd w:val="clear" w:color="auto" w:fill="FFFFFF"/>
                      </w:rPr>
                    </w:pPr>
                  </w:p>
                  <w:p>
                    <w:pPr>
                      <w:textAlignment w:val="baseline"/>
                      <w:rPr>
                        <w:sz w:val="22"/>
                        <w:szCs w:val="22"/>
                        <w:shd w:val="clear" w:color="auto" w:fill="FFFFFF"/>
                      </w:rPr>
                    </w:pPr>
                    <w:r>
                      <w:rPr>
                        <w:sz w:val="22"/>
                        <w:szCs w:val="22"/>
                        <w:shd w:val="clear" w:color="auto" w:fill="FFFFFF"/>
                      </w:rPr>
                      <w:t>R-12-001-01-02-01-05 – Remiamų projektų leidiniai (leidiniai)</w:t>
                    </w:r>
                  </w:p>
                  <w:p>
                    <w:pPr>
                      <w:textAlignment w:val="baseline"/>
                      <w:rPr>
                        <w:sz w:val="22"/>
                        <w:szCs w:val="22"/>
                        <w:shd w:val="clear" w:color="auto" w:fill="FFFFFF"/>
                      </w:rPr>
                    </w:pPr>
                  </w:p>
                  <w:p>
                    <w:pPr>
                      <w:rPr>
                        <w:sz w:val="22"/>
                        <w:szCs w:val="22"/>
                        <w:lang w:eastAsia="lt-LT"/>
                      </w:rPr>
                    </w:pPr>
                  </w:p>
                </w:tc>
                <w:tc>
                  <w:tcPr>
                    <w:tcW w:w="456"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30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1 422 056</w:t>
                    </w:r>
                  </w:p>
                  <w:p>
                    <w:pPr>
                      <w:jc w:val="center"/>
                      <w:textAlignment w:val="baseline"/>
                      <w:rPr>
                        <w:sz w:val="22"/>
                        <w:szCs w:val="22"/>
                        <w:lang w:eastAsia="lt-LT"/>
                      </w:rPr>
                    </w:pPr>
                    <w:r>
                      <w:rPr>
                        <w:sz w:val="22"/>
                        <w:szCs w:val="22"/>
                        <w:lang w:eastAsia="lt-LT"/>
                      </w:rPr>
                      <w:t xml:space="preserve">(2029) </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53</w:t>
                    </w:r>
                  </w:p>
                  <w:p>
                    <w:pPr>
                      <w:jc w:val="center"/>
                      <w:textAlignment w:val="baseline"/>
                      <w:rPr>
                        <w:sz w:val="22"/>
                        <w:szCs w:val="22"/>
                        <w:lang w:eastAsia="lt-LT"/>
                      </w:rPr>
                    </w:pPr>
                    <w:r>
                      <w:rPr>
                        <w:sz w:val="22"/>
                        <w:szCs w:val="22"/>
                        <w:lang w:eastAsia="lt-LT"/>
                      </w:rPr>
                      <w:t>(2029)</w:t>
                    </w:r>
                  </w:p>
                </w:tc>
                <w:tc>
                  <w:tcPr>
                    <w:tcW w:w="469"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CPVA</w:t>
                    </w:r>
                  </w:p>
                </w:tc>
                <w:tc>
                  <w:tcPr>
                    <w:tcW w:w="382" w:type="pct"/>
                    <w:tcBorders>
                      <w:top w:val="single" w:sz="4" w:space="0" w:color="auto"/>
                      <w:left w:val="single" w:sz="4" w:space="0" w:color="auto"/>
                      <w:bottom w:val="single" w:sz="4" w:space="0" w:color="auto"/>
                      <w:right w:val="single" w:sz="4" w:space="0" w:color="auto"/>
                    </w:tcBorders>
                    <w:hideMark/>
                  </w:tcPr>
                  <w:p>
                    <w:pPr>
                      <w:jc w:val="center"/>
                      <w:rPr>
                        <w:color w:val="000000"/>
                        <w:sz w:val="22"/>
                        <w:szCs w:val="22"/>
                      </w:rPr>
                    </w:pPr>
                    <w:r>
                      <w:rPr>
                        <w:color w:val="000000"/>
                        <w:sz w:val="22"/>
                        <w:szCs w:val="22"/>
                      </w:rPr>
                      <w:t>-</w:t>
                    </w:r>
                  </w:p>
                </w:tc>
              </w:tr>
              <w:tr>
                <w:trPr>
                  <w:trHeight w:val="233"/>
                </w:trPr>
                <w:tc>
                  <w:tcPr>
                    <w:tcW w:w="447"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2.6. Didinti mokslo tarptautiškumo lygį (VVL)</w:t>
                    </w:r>
                  </w:p>
                </w:tc>
                <w:tc>
                  <w:tcPr>
                    <w:tcW w:w="228"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8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Lietuvos mokslinių tyrimų infrastruktūrų veikloje dalyvaujantys juridiniai asmenys</w:t>
                    </w:r>
                  </w:p>
                </w:tc>
                <w:tc>
                  <w:tcPr>
                    <w:tcW w:w="25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41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3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378"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2 000 000</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420 000</w:t>
                    </w:r>
                  </w:p>
                </w:tc>
                <w:tc>
                  <w:tcPr>
                    <w:tcW w:w="385" w:type="pct"/>
                    <w:tcBorders>
                      <w:top w:val="single" w:sz="4" w:space="0" w:color="auto"/>
                      <w:left w:val="single" w:sz="4" w:space="0" w:color="auto"/>
                      <w:bottom w:val="single" w:sz="4" w:space="0" w:color="auto"/>
                      <w:right w:val="single" w:sz="4" w:space="0" w:color="auto"/>
                    </w:tcBorders>
                    <w:hideMark/>
                  </w:tcPr>
                  <w:p>
                    <w:pPr>
                      <w:textAlignment w:val="baseline"/>
                      <w:rPr>
                        <w:sz w:val="22"/>
                        <w:szCs w:val="22"/>
                        <w:lang w:eastAsia="lt-LT"/>
                      </w:rPr>
                    </w:pPr>
                    <w:r>
                      <w:rPr>
                        <w:sz w:val="22"/>
                        <w:szCs w:val="22"/>
                        <w:lang w:eastAsia="lt-LT"/>
                      </w:rPr>
                      <w:t>2021–2027 metų ES fondų lėšos</w:t>
                    </w:r>
                  </w:p>
                  <w:p>
                    <w:pPr>
                      <w:textAlignment w:val="baseline"/>
                      <w:rPr>
                        <w:sz w:val="22"/>
                        <w:szCs w:val="22"/>
                        <w:lang w:eastAsia="lt-LT"/>
                      </w:rPr>
                    </w:pPr>
                  </w:p>
                  <w:p>
                    <w:pPr>
                      <w:textAlignment w:val="baseline"/>
                      <w:rPr>
                        <w:sz w:val="22"/>
                        <w:szCs w:val="22"/>
                        <w:lang w:eastAsia="lt-LT"/>
                      </w:rPr>
                    </w:pPr>
                    <w:r>
                      <w:rPr>
                        <w:sz w:val="22"/>
                        <w:szCs w:val="22"/>
                        <w:lang w:eastAsia="lt-LT"/>
                      </w:rPr>
                      <w:t>VB lėšos, skirtos apmokėti bendrai finansuojamų iš ES fondų lėšų projektų netinkamam finansuoti iš ES fondų lėšų pirkimo ir (arba) importo PVM</w:t>
                    </w:r>
                  </w:p>
                </w:tc>
                <w:tc>
                  <w:tcPr>
                    <w:tcW w:w="278"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46"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P-12-001-01-02-01-01 – Paramą gavusiose mokslinių tyrimų įstaigose dirbantys mokslininkai, vienų metų etato ekvivalentai)</w:t>
                    </w:r>
                  </w:p>
                  <w:p>
                    <w:pPr>
                      <w:textAlignment w:val="baseline"/>
                      <w:rPr>
                        <w:sz w:val="22"/>
                        <w:szCs w:val="22"/>
                        <w:lang w:eastAsia="lt-LT"/>
                      </w:rPr>
                    </w:pPr>
                  </w:p>
                  <w:p>
                    <w:pPr>
                      <w:textAlignment w:val="baseline"/>
                      <w:rPr>
                        <w:sz w:val="22"/>
                        <w:szCs w:val="22"/>
                        <w:lang w:eastAsia="lt-LT"/>
                      </w:rPr>
                    </w:pPr>
                    <w:r>
                      <w:rPr>
                        <w:sz w:val="22"/>
                        <w:szCs w:val="22"/>
                        <w:lang w:eastAsia="lt-LT"/>
                      </w:rPr>
                      <w:t>P-12-001-01-02-01-03 – Nominalioji mokslinių tyrimų ir inovacijų įrangos vertė (eurai)</w:t>
                    </w:r>
                  </w:p>
                  <w:p>
                    <w:pPr>
                      <w:textAlignment w:val="baseline"/>
                      <w:rPr>
                        <w:sz w:val="22"/>
                        <w:szCs w:val="22"/>
                        <w:lang w:eastAsia="lt-LT"/>
                      </w:rPr>
                    </w:pPr>
                  </w:p>
                  <w:p>
                    <w:pPr>
                      <w:rPr>
                        <w:sz w:val="22"/>
                        <w:szCs w:val="22"/>
                        <w:lang w:eastAsia="lt-LT"/>
                      </w:rPr>
                    </w:pPr>
                    <w:r>
                      <w:rPr>
                        <w:sz w:val="22"/>
                        <w:szCs w:val="22"/>
                        <w:lang w:eastAsia="lt-LT"/>
                      </w:rPr>
                      <w:t>R-12-001-01-02-01-05 – Remiamų projektų leidiniai (leidiniai)</w:t>
                    </w:r>
                  </w:p>
                </w:tc>
                <w:tc>
                  <w:tcPr>
                    <w:tcW w:w="456"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400 000</w:t>
                    </w:r>
                  </w:p>
                  <w:p>
                    <w:pPr>
                      <w:jc w:val="center"/>
                      <w:textAlignment w:val="baseline"/>
                      <w:rPr>
                        <w:sz w:val="22"/>
                        <w:szCs w:val="22"/>
                        <w:lang w:eastAsia="lt-LT"/>
                      </w:rPr>
                    </w:pPr>
                    <w:r>
                      <w:rPr>
                        <w:sz w:val="22"/>
                        <w:szCs w:val="22"/>
                        <w:lang w:eastAsia="lt-LT"/>
                      </w:rPr>
                      <w:t xml:space="preserve">(2029) </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15</w:t>
                    </w:r>
                  </w:p>
                  <w:p>
                    <w:pPr>
                      <w:jc w:val="center"/>
                      <w:textAlignment w:val="baseline"/>
                      <w:rPr>
                        <w:sz w:val="22"/>
                        <w:szCs w:val="22"/>
                        <w:lang w:eastAsia="lt-LT"/>
                      </w:rPr>
                    </w:pPr>
                    <w:r>
                      <w:rPr>
                        <w:sz w:val="22"/>
                        <w:szCs w:val="22"/>
                        <w:lang w:eastAsia="lt-LT"/>
                      </w:rPr>
                      <w:t>(2029)</w:t>
                    </w:r>
                  </w:p>
                </w:tc>
                <w:tc>
                  <w:tcPr>
                    <w:tcW w:w="469"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CPVA</w:t>
                    </w:r>
                  </w:p>
                </w:tc>
                <w:tc>
                  <w:tcPr>
                    <w:tcW w:w="382" w:type="pct"/>
                    <w:tcBorders>
                      <w:top w:val="single" w:sz="4" w:space="0" w:color="auto"/>
                      <w:left w:val="single" w:sz="4" w:space="0" w:color="auto"/>
                      <w:bottom w:val="single" w:sz="4" w:space="0" w:color="auto"/>
                      <w:right w:val="single" w:sz="4" w:space="0" w:color="auto"/>
                    </w:tcBorders>
                    <w:hideMark/>
                  </w:tcPr>
                  <w:p>
                    <w:pPr>
                      <w:jc w:val="center"/>
                      <w:rPr>
                        <w:color w:val="000000"/>
                        <w:sz w:val="22"/>
                        <w:szCs w:val="22"/>
                      </w:rPr>
                    </w:pPr>
                    <w:r>
                      <w:rPr>
                        <w:color w:val="000000"/>
                        <w:sz w:val="22"/>
                        <w:szCs w:val="22"/>
                      </w:rPr>
                      <w:t>-</w:t>
                    </w:r>
                  </w:p>
                </w:tc>
              </w:tr>
              <w:tr>
                <w:trPr>
                  <w:trHeight w:val="233"/>
                </w:trPr>
                <w:tc>
                  <w:tcPr>
                    <w:tcW w:w="447" w:type="pct"/>
                    <w:gridSpan w:val="2"/>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2.7. </w:t>
                    </w:r>
                    <w:r>
                      <w:rPr>
                        <w:szCs w:val="24"/>
                      </w:rPr>
                      <w:t>Parama laboratorijų įrangai ir MTEP infrastruktūrai atnaujinti</w:t>
                    </w:r>
                  </w:p>
                </w:tc>
                <w:tc>
                  <w:tcPr>
                    <w:tcW w:w="228"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I</w:t>
                    </w:r>
                  </w:p>
                </w:tc>
                <w:tc>
                  <w:tcPr>
                    <w:tcW w:w="381"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MSI</w:t>
                    </w:r>
                    <w:r>
                      <w:rPr>
                        <w:sz w:val="22"/>
                        <w:szCs w:val="22"/>
                        <w:lang w:eastAsia="lt-LT"/>
                      </w:rPr>
                      <w:t xml:space="preserve"> </w:t>
                    </w:r>
                  </w:p>
                </w:tc>
                <w:tc>
                  <w:tcPr>
                    <w:tcW w:w="255"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K</w:t>
                    </w:r>
                  </w:p>
                </w:tc>
                <w:tc>
                  <w:tcPr>
                    <w:tcW w:w="417"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IN</w:t>
                    </w:r>
                  </w:p>
                </w:tc>
                <w:tc>
                  <w:tcPr>
                    <w:tcW w:w="378"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D</w:t>
                    </w:r>
                  </w:p>
                </w:tc>
                <w:tc>
                  <w:tcPr>
                    <w:tcW w:w="378"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20 231 000;</w:t>
                    </w:r>
                  </w:p>
                  <w:p>
                    <w:pPr>
                      <w:rPr>
                        <w:sz w:val="22"/>
                        <w:szCs w:val="22"/>
                      </w:rPr>
                    </w:pPr>
                  </w:p>
                  <w:p>
                    <w:pPr>
                      <w:rPr>
                        <w:sz w:val="22"/>
                        <w:szCs w:val="22"/>
                      </w:rPr>
                    </w:pPr>
                    <w:r>
                      <w:rPr>
                        <w:sz w:val="22"/>
                        <w:szCs w:val="22"/>
                      </w:rPr>
                      <w:t>4 248 510</w:t>
                    </w:r>
                  </w:p>
                  <w:p>
                    <w:pPr>
                      <w:jc w:val="center"/>
                      <w:textAlignment w:val="baseline"/>
                      <w:rPr>
                        <w:sz w:val="22"/>
                        <w:szCs w:val="22"/>
                        <w:lang w:eastAsia="lt-LT"/>
                      </w:rPr>
                    </w:pPr>
                  </w:p>
                </w:tc>
                <w:tc>
                  <w:tcPr>
                    <w:tcW w:w="385"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EGADP lėšos</w:t>
                    </w:r>
                  </w:p>
                  <w:p>
                    <w:pPr>
                      <w:rPr>
                        <w:sz w:val="22"/>
                        <w:szCs w:val="22"/>
                      </w:rPr>
                    </w:pPr>
                  </w:p>
                  <w:p>
                    <w:pPr>
                      <w:jc w:val="center"/>
                      <w:textAlignment w:val="baseline"/>
                      <w:rPr>
                        <w:sz w:val="22"/>
                        <w:szCs w:val="22"/>
                        <w:lang w:eastAsia="lt-LT"/>
                      </w:rPr>
                    </w:pPr>
                    <w:r>
                      <w:rPr>
                        <w:sz w:val="22"/>
                        <w:szCs w:val="22"/>
                        <w:shd w:val="clear" w:color="auto" w:fill="FFFFFF"/>
                      </w:rPr>
                      <w:t xml:space="preserve">VB </w:t>
                    </w:r>
                    <w:r>
                      <w:rPr>
                        <w:sz w:val="22"/>
                        <w:szCs w:val="22"/>
                      </w:rPr>
                      <w:t>lėšos, skirtos apmokėti bendrai finansuojamų iš ES fondų lėšų projektų netinkamam finansuoti iš ES fondų lėšų pirkimo ir (arba) importo PVM</w:t>
                    </w:r>
                  </w:p>
                </w:tc>
                <w:tc>
                  <w:tcPr>
                    <w:tcW w:w="278"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rPr>
                    </w:pPr>
                  </w:p>
                </w:tc>
                <w:tc>
                  <w:tcPr>
                    <w:tcW w:w="546" w:type="pct"/>
                    <w:tcBorders>
                      <w:top w:val="single" w:sz="4" w:space="0" w:color="auto"/>
                      <w:left w:val="single" w:sz="4" w:space="0" w:color="auto"/>
                      <w:bottom w:val="single" w:sz="4" w:space="0" w:color="auto"/>
                      <w:right w:val="single" w:sz="4" w:space="0" w:color="auto"/>
                    </w:tcBorders>
                  </w:tcPr>
                  <w:p>
                    <w:pPr>
                      <w:rPr>
                        <w:sz w:val="22"/>
                        <w:szCs w:val="22"/>
                      </w:rPr>
                    </w:pPr>
                    <w:r>
                      <w:rPr>
                        <w:color w:val="000000"/>
                        <w:sz w:val="22"/>
                        <w:szCs w:val="22"/>
                        <w:shd w:val="clear" w:color="auto" w:fill="FFFFFF"/>
                      </w:rPr>
                      <w:t>P-12-001-01-02-01-14</w:t>
                    </w:r>
                    <w:r>
                      <w:rPr>
                        <w:sz w:val="22"/>
                        <w:szCs w:val="22"/>
                      </w:rPr>
                      <w:t xml:space="preserve"> – Mokslo ir studijų institucijų ir mažų ir vidutinių įmonių potencialiems programos „Europos horizontas“ pareiškėjams skirta finansinė parama projektams įgyvendinti ir konsultavimo paslaugoms teikti (vienetai</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R-12-001-01-02-01-09</w:t>
                    </w:r>
                    <w:r>
                      <w:rPr>
                        <w:sz w:val="22"/>
                        <w:szCs w:val="22"/>
                      </w:rPr>
                      <w:t xml:space="preserve">  – Paramą gavusiose mokslinių tyrimų įstaigose dirbantys mokslininkai (metinis etato ekvivalentas</w:t>
                    </w:r>
                    <w:r>
                      <w:rPr>
                        <w:color w:val="000000"/>
                        <w:sz w:val="22"/>
                        <w:szCs w:val="22"/>
                        <w:lang w:eastAsia="lt-LT"/>
                      </w:rPr>
                      <w:t>)</w:t>
                    </w:r>
                  </w:p>
                  <w:p>
                    <w:pPr>
                      <w:rPr>
                        <w:sz w:val="22"/>
                        <w:szCs w:val="22"/>
                      </w:rPr>
                    </w:pPr>
                  </w:p>
                  <w:p>
                    <w:pPr>
                      <w:suppressAutoHyphens/>
                      <w:jc w:val="center"/>
                      <w:rPr>
                        <w:iCs/>
                        <w:sz w:val="22"/>
                        <w:szCs w:val="22"/>
                      </w:rPr>
                    </w:pPr>
                    <w:r>
                      <w:rPr>
                        <w:iCs/>
                        <w:sz w:val="22"/>
                        <w:szCs w:val="22"/>
                      </w:rPr>
                      <w:t>Mokslo ir studijų institucijų finansuotų projektų pagal Europos Sąjungos bendrosios mokslinių tyrimų ir inovacijų programos „Europos horizontas“ kvietimus skaičiaus padidėjimas, lyginant su tuo pačiu Europos Sąjungos bendrosios mokslinių tyrimų ir inovacijų programos „Horizontas 2020“ įgyvendinimo laikotarpiu (skaičius)</w:t>
                    </w:r>
                  </w:p>
                  <w:p>
                    <w:pPr>
                      <w:rPr>
                        <w:sz w:val="22"/>
                        <w:szCs w:val="22"/>
                        <w:shd w:val="clear" w:color="auto" w:fill="FFFFFF"/>
                      </w:rPr>
                    </w:pPr>
                  </w:p>
                </w:tc>
                <w:tc>
                  <w:tcPr>
                    <w:tcW w:w="456" w:type="pct"/>
                    <w:tcBorders>
                      <w:top w:val="single" w:sz="4" w:space="0" w:color="auto"/>
                      <w:left w:val="single" w:sz="4" w:space="0" w:color="auto"/>
                      <w:bottom w:val="single" w:sz="4" w:space="0" w:color="auto"/>
                      <w:right w:val="single" w:sz="4" w:space="0" w:color="auto"/>
                    </w:tcBorders>
                  </w:tcPr>
                  <w:p>
                    <w:pPr>
                      <w:ind w:left="-111" w:right="-105"/>
                      <w:jc w:val="center"/>
                      <w:rPr>
                        <w:sz w:val="22"/>
                        <w:szCs w:val="22"/>
                      </w:rPr>
                    </w:pPr>
                    <w:r>
                      <w:rPr>
                        <w:sz w:val="22"/>
                        <w:szCs w:val="22"/>
                      </w:rPr>
                      <w:t>67 (2026 m. II ketv.)</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ind w:right="-105"/>
                      <w:jc w:val="center"/>
                      <w:textAlignment w:val="baseline"/>
                      <w:rPr>
                        <w:sz w:val="22"/>
                        <w:szCs w:val="22"/>
                      </w:rPr>
                    </w:pPr>
                    <w:r>
                      <w:rPr>
                        <w:sz w:val="22"/>
                        <w:szCs w:val="22"/>
                      </w:rPr>
                      <w:t xml:space="preserve">100 </w:t>
                    </w:r>
                    <w:r>
                      <w:rPr>
                        <w:iCs/>
                        <w:sz w:val="22"/>
                        <w:szCs w:val="22"/>
                      </w:rPr>
                      <w:t>(2026 m. IV ketv.)</w:t>
                    </w:r>
                  </w:p>
                  <w:p>
                    <w:pPr>
                      <w:jc w:val="center"/>
                      <w:textAlignment w:val="baseline"/>
                      <w:rPr>
                        <w:sz w:val="22"/>
                        <w:szCs w:val="22"/>
                        <w:lang w:eastAsia="lt-LT"/>
                      </w:rPr>
                    </w:pPr>
                  </w:p>
                </w:tc>
                <w:tc>
                  <w:tcPr>
                    <w:tcW w:w="469" w:type="pct"/>
                    <w:tcBorders>
                      <w:top w:val="single" w:sz="4" w:space="0" w:color="auto"/>
                      <w:left w:val="single" w:sz="4" w:space="0" w:color="auto"/>
                      <w:bottom w:val="single" w:sz="4" w:space="0" w:color="auto"/>
                      <w:right w:val="single" w:sz="4" w:space="0" w:color="auto"/>
                    </w:tcBorders>
                  </w:tcPr>
                  <w:p>
                    <w:pPr>
                      <w:ind w:hanging="111"/>
                      <w:jc w:val="center"/>
                      <w:rPr>
                        <w:sz w:val="22"/>
                        <w:szCs w:val="22"/>
                      </w:rPr>
                    </w:pPr>
                    <w:r>
                      <w:rPr>
                        <w:sz w:val="22"/>
                        <w:szCs w:val="22"/>
                      </w:rPr>
                      <w:t>CPVA</w:t>
                    </w:r>
                  </w:p>
                </w:tc>
                <w:tc>
                  <w:tcPr>
                    <w:tcW w:w="382" w:type="pct"/>
                    <w:tcBorders>
                      <w:top w:val="single" w:sz="4" w:space="0" w:color="auto"/>
                      <w:left w:val="single" w:sz="4" w:space="0" w:color="auto"/>
                      <w:bottom w:val="single" w:sz="4" w:space="0" w:color="auto"/>
                      <w:right w:val="single" w:sz="4" w:space="0" w:color="auto"/>
                    </w:tcBorders>
                  </w:tcPr>
                  <w:p>
                    <w:pPr>
                      <w:jc w:val="center"/>
                      <w:rPr>
                        <w:sz w:val="22"/>
                        <w:szCs w:val="22"/>
                      </w:rPr>
                    </w:pPr>
                  </w:p>
                </w:tc>
              </w:tr>
            </w:tbl>
            <w:p>
              <w:pPr>
                <w:ind w:firstLine="851"/>
                <w:jc w:val="center"/>
              </w:pPr>
            </w:p>
            <w:p>
              <w:pPr>
                <w:rPr>
                  <w:sz w:val="2"/>
                  <w:szCs w:val="2"/>
                </w:rPr>
              </w:pPr>
            </w:p>
            <w:sdt>
              <w:sdtPr>
                <w:alias w:val="pastaba"/>
                <w:tag w:val="part_fb0847fb2f9545d4abafe9c1d96e3067"/>
                <w:lock w:val="sdtLocked"/>
                <w:richText/>
              </w:sdtPr>
              <w:sdtContent>
                <w:p>
                  <w:pPr>
                    <w:ind w:firstLine="720"/>
                    <w:jc w:val="both"/>
                    <w:rPr>
                      <w:b/>
                      <w:bCs/>
                      <w:sz w:val="22"/>
                      <w:szCs w:val="22"/>
                    </w:rPr>
                  </w:pPr>
                  <w:sdt>
                    <w:sdtPr>
                      <w:alias w:val="Pavadinimas"/>
                      <w:tag w:val="title_fb0847fb2f9545d4abafe9c1d96e3067"/>
                      <w:lock w:val="sdtLocked"/>
                      <w:richText/>
                    </w:sdtPr>
                    <w:sdtContent>
                      <w:r>
                        <w:rPr>
                          <w:b/>
                          <w:bCs/>
                          <w:sz w:val="22"/>
                          <w:szCs w:val="22"/>
                        </w:rPr>
                        <w:t>Pastabos:</w:t>
                      </w:r>
                    </w:sdtContent>
                  </w:sdt>
                </w:p>
                <w:sdt>
                  <w:sdtPr>
                    <w:alias w:val="1 p."/>
                    <w:tag w:val="part_41e4077346d54c31ab4c80317f3c2f5c"/>
                    <w:lock w:val="sdtLocked"/>
                    <w:richText/>
                  </w:sdtPr>
                  <w:sdtContent>
                    <w:p>
                      <w:pPr>
                        <w:ind w:firstLine="720"/>
                        <w:jc w:val="both"/>
                        <w:rPr>
                          <w:sz w:val="22"/>
                          <w:szCs w:val="22"/>
                        </w:rPr>
                      </w:pPr>
                      <w:sdt>
                        <w:sdtPr>
                          <w:alias w:val="Numeris"/>
                          <w:tag w:val="nr_41e4077346d54c31ab4c80317f3c2f5c"/>
                          <w:lock w:val="sdtLocked"/>
                          <w:richText/>
                        </w:sdtPr>
                        <w:sdtContent>
                          <w:r>
                            <w:rPr>
                              <w:sz w:val="22"/>
                              <w:szCs w:val="22"/>
                            </w:rPr>
                            <w:t>1</w:t>
                          </w:r>
                        </w:sdtContent>
                      </w:sdt>
                      <w:r>
                        <w:rPr>
                          <w:sz w:val="22"/>
                          <w:szCs w:val="22"/>
                        </w:rPr>
                        <w:t xml:space="preserve">. Veikla „1.1. Mokslo ir inovacijų misijų programos“ visa apimtimi bus pradėta įgyvendinti gavus papildomą finansavimą (639 000 000,00 Eur (šešis šimtus trisdešimt devynis milijonus eurų, 00 ct)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inovatyvių produktų, santykis su skirtomis investicijomis projekto įgyvendinimo metu ir 3 metus po projekto veiklų įgyvendinimo – 120 proc., gyvybingų (generuojamos pajamos, pritrauktos investicijos ar pan.) atžalinių įmonių / startuolių skaičius – 144, konsorciumo dalyvių gautos lėšos iš dalyvavimo tarptautinėse finansavimo programose (ES ir kt.) pagal vykdomos misijos temą (skaičiuojamas proc. nuo investuotos sumos) – 10. </w:t>
                      </w:r>
                    </w:p>
                  </w:sdtContent>
                </w:sdt>
                <w:sdt>
                  <w:sdtPr>
                    <w:alias w:val="2 p."/>
                    <w:tag w:val="part_f4ca3842ef474610b3e39aa4e966ca1e"/>
                    <w:lock w:val="sdtLocked"/>
                    <w:richText/>
                  </w:sdtPr>
                  <w:sdtContent>
                    <w:p>
                      <w:pPr>
                        <w:ind w:firstLine="720"/>
                        <w:jc w:val="both"/>
                        <w:rPr>
                          <w:sz w:val="22"/>
                          <w:szCs w:val="22"/>
                        </w:rPr>
                      </w:pPr>
                      <w:sdt>
                        <w:sdtPr>
                          <w:alias w:val="Numeris"/>
                          <w:tag w:val="nr_f4ca3842ef474610b3e39aa4e966ca1e"/>
                          <w:lock w:val="sdtLocked"/>
                          <w:richText/>
                        </w:sdtPr>
                        <w:sdtContent>
                          <w:r>
                            <w:rPr>
                              <w:sz w:val="22"/>
                              <w:szCs w:val="22"/>
                            </w:rPr>
                            <w:t>2</w:t>
                          </w:r>
                        </w:sdtContent>
                      </w:sdt>
                      <w:r>
                        <w:rPr>
                          <w:sz w:val="22"/>
                          <w:szCs w:val="22"/>
                        </w:rPr>
                        <w:t xml:space="preserve">. Veikla „1.2. Valstybės MTEP užsakymai“ bus pradėta įgyvendinti gavus papildomą finansavimą (117 000 000,00 Eur (vieną šimtą septyniolika milijonų eurų, 00 ct) iš valstybės biudžeto ar kitų finansavimo šaltinių. Siekiamas rezultatas 2030 m.: įgyvendinti MTEP projektai – 420, paskelbtos publikacijos – 1 254, rezultatų, kurie sprendžia šaliai aktualias problemas, skaičius – 90. </w:t>
                      </w:r>
                    </w:p>
                  </w:sdtContent>
                </w:sdt>
                <w:sdt>
                  <w:sdtPr>
                    <w:alias w:val="3 p."/>
                    <w:tag w:val="part_25453e8ff72b4314aee6b943d8878f34"/>
                    <w:lock w:val="sdtLocked"/>
                    <w:richText/>
                  </w:sdtPr>
                  <w:sdtContent>
                    <w:p>
                      <w:pPr>
                        <w:ind w:firstLine="720"/>
                        <w:jc w:val="both"/>
                        <w:rPr>
                          <w:sz w:val="22"/>
                          <w:szCs w:val="22"/>
                        </w:rPr>
                      </w:pPr>
                      <w:sdt>
                        <w:sdtPr>
                          <w:alias w:val="Numeris"/>
                          <w:tag w:val="nr_25453e8ff72b4314aee6b943d8878f34"/>
                          <w:lock w:val="sdtLocked"/>
                          <w:richText/>
                        </w:sdtPr>
                        <w:sdtContent>
                          <w:r>
                            <w:rPr>
                              <w:sz w:val="22"/>
                              <w:szCs w:val="22"/>
                            </w:rPr>
                            <w:t>3</w:t>
                          </w:r>
                        </w:sdtContent>
                      </w:sdt>
                      <w:r>
                        <w:rPr>
                          <w:sz w:val="22"/>
                          <w:szCs w:val="22"/>
                        </w:rPr>
                        <w:t>. Veikla „1.3. Mokslininkų inicijuoti projektai“ visa apimtimi bus pradėta įgyvendinti gavus papildomą finansavimą (133 000 000, 00 Eur (vieną šimtą trisdešimt tris milijonų eurų, 00 ct) iš valstybės biudžeto tar kitų finansavimo šaltinių. Siekiamas rezultatas 2030 m.: įgyvendinti MTEP projektai – 665, paskelbtos publikacijos – 1 995.</w:t>
                      </w:r>
                    </w:p>
                  </w:sdtContent>
                </w:sdt>
                <w:sdt>
                  <w:sdtPr>
                    <w:alias w:val="4 p."/>
                    <w:tag w:val="part_eed54b69962b47578f0a8a24d3419223"/>
                    <w:lock w:val="sdtLocked"/>
                    <w:richText/>
                  </w:sdtPr>
                  <w:sdtContent>
                    <w:p>
                      <w:pPr>
                        <w:ind w:firstLine="720"/>
                        <w:jc w:val="both"/>
                        <w:rPr>
                          <w:sz w:val="22"/>
                          <w:szCs w:val="22"/>
                        </w:rPr>
                      </w:pPr>
                      <w:sdt>
                        <w:sdtPr>
                          <w:alias w:val="Numeris"/>
                          <w:tag w:val="nr_eed54b69962b47578f0a8a24d3419223"/>
                          <w:lock w:val="sdtLocked"/>
                          <w:richText/>
                        </w:sdtPr>
                        <w:sdtContent>
                          <w:r>
                            <w:rPr>
                              <w:sz w:val="22"/>
                              <w:szCs w:val="22"/>
                            </w:rPr>
                            <w:t>4</w:t>
                          </w:r>
                        </w:sdtContent>
                      </w:sdt>
                      <w:r>
                        <w:rPr>
                          <w:sz w:val="22"/>
                          <w:szCs w:val="22"/>
                        </w:rPr>
                        <w:t xml:space="preserve">. Veikla „1.8. Technologinės plėtros projektai“ visa apimtimi bus pradėta įgyvendinti gavus papildomą finansavimą (5 400 000,00  Eur (penkis milijonus keturis šimtus tūkstančių eurų, 00 ct) iš valstybės biudžeto ar kitų finansavimo šaltinių. Siekiamas rezultatas 2030 m.: įgyvendinti MTEP projektai – 60, sukurti prototipai – 60, pritraukta privataus verslo lėšų – 480 000,00 Eur (keturis šimtus aštuoniasdešimt tūkstančių eurų, 00 ct), iš projektų tematikų apgintų mokslų daktaro disertacijų – 30.</w:t>
                      </w:r>
                    </w:p>
                  </w:sdtContent>
                </w:sdt>
                <w:sdt>
                  <w:sdtPr>
                    <w:alias w:val="5 p."/>
                    <w:tag w:val="part_ca96daeadcdf413d963c4d1e7f03e51d"/>
                    <w:lock w:val="sdtLocked"/>
                    <w:richText/>
                  </w:sdtPr>
                  <w:sdtContent>
                    <w:p>
                      <w:pPr>
                        <w:ind w:firstLine="720"/>
                        <w:jc w:val="both"/>
                        <w:rPr>
                          <w:sz w:val="22"/>
                          <w:szCs w:val="22"/>
                          <w:lang w:eastAsia="lt-LT"/>
                        </w:rPr>
                      </w:pPr>
                      <w:sdt>
                        <w:sdtPr>
                          <w:alias w:val="Numeris"/>
                          <w:tag w:val="nr_ca96daeadcdf413d963c4d1e7f03e51d"/>
                          <w:lock w:val="sdtLocked"/>
                          <w:richText/>
                        </w:sdtPr>
                        <w:sdtContent>
                          <w:r>
                            <w:rPr>
                              <w:sz w:val="22"/>
                              <w:szCs w:val="22"/>
                              <w:lang w:eastAsia="lt-LT"/>
                            </w:rPr>
                            <w:t>5</w:t>
                          </w:r>
                        </w:sdtContent>
                      </w:sdt>
                      <w:r>
                        <w:rPr>
                          <w:sz w:val="22"/>
                          <w:szCs w:val="22"/>
                          <w:lang w:eastAsia="lt-LT"/>
                        </w:rPr>
                        <w:t xml:space="preserve">. Administruojančioji institucija, skelbdama kvietimą teikti projektų įgyvendinimo planus pagal veiklą </w:t>
                      </w:r>
                      <w:r>
                        <w:rPr>
                          <w:sz w:val="22"/>
                          <w:szCs w:val="22"/>
                        </w:rPr>
                        <w:t xml:space="preserve">„1.5. Skatinti vykdyti taikomuosius MTEP (VVL)“ </w:t>
                      </w:r>
                      <w:r>
                        <w:rPr>
                          <w:sz w:val="22"/>
                          <w:szCs w:val="22"/>
                          <w:lang w:eastAsia="lt-LT"/>
                        </w:rPr>
                        <w:t xml:space="preserve">ir prisiimdama įsipareigojimus pagal sudarytas projektų finansavimo sutartis, gali viršyti planuojamą skirti sumą 4 413 660,00 Eur (keturiais milijonais keturiais šimtais trylika tūkstančių šešiais šimtais šešiasdešimt eurų, 00 ct), kaip tai numatyta Lietuvos Respublikos Vyriausybės  2023 m. liepos 31 d. nutarimo Nr. 612 „Dėl 2021–2027 metų Europos Sąjungos fondų investicijų programos ir ekonomikos gaivinimo ir atsparumo didinimo plano „Naujos kartos Lietuva“ Lietuvai skirtų lėšų paskirstymo“ 2.6 papunktyje.</w:t>
                      </w:r>
                    </w:p>
                  </w:sdtContent>
                </w:sdt>
                <w:sdt>
                  <w:sdtPr>
                    <w:alias w:val="6 p."/>
                    <w:tag w:val="part_a476d3748a8545a983084809af4d826b"/>
                    <w:lock w:val="sdtLocked"/>
                    <w:richText/>
                  </w:sdtPr>
                  <w:sdtContent>
                    <w:p>
                      <w:pPr>
                        <w:ind w:firstLine="720"/>
                        <w:jc w:val="both"/>
                        <w:rPr>
                          <w:sz w:val="22"/>
                          <w:szCs w:val="22"/>
                        </w:rPr>
                      </w:pPr>
                      <w:sdt>
                        <w:sdtPr>
                          <w:alias w:val="Numeris"/>
                          <w:tag w:val="nr_a476d3748a8545a983084809af4d826b"/>
                          <w:lock w:val="sdtLocked"/>
                          <w:richText/>
                        </w:sdtPr>
                        <w:sdtContent>
                          <w:r>
                            <w:rPr>
                              <w:sz w:val="22"/>
                              <w:szCs w:val="22"/>
                            </w:rPr>
                            <w:t>6</w:t>
                          </w:r>
                        </w:sdtContent>
                      </w:sdt>
                      <w:r>
                        <w:rPr>
                          <w:sz w:val="22"/>
                          <w:szCs w:val="22"/>
                        </w:rPr>
                        <w:t xml:space="preserve">. Veikla „1.13. Atžalinių įmonių mentorystė“ visa apimtimi bus pradėta įgyvendinti gavus papildomą finansavimą (19 000 000,00 Eur (devyniolika milijonų eurų, 00 ct)  iš valstybės biudžeto ar kitų finansavimo šaltinių. Siekiamas rezultatas 2030 m.: įgyvendinti MTEP projektai – 100, MTEP veiklos produktas – 33.</w:t>
                      </w:r>
                    </w:p>
                  </w:sdtContent>
                </w:sdt>
                <w:sdt>
                  <w:sdtPr>
                    <w:alias w:val="7 p."/>
                    <w:tag w:val="part_3c07e509828c40449daba6b43f07e658"/>
                    <w:lock w:val="sdtLocked"/>
                    <w:richText/>
                  </w:sdtPr>
                  <w:sdtContent>
                    <w:p>
                      <w:pPr>
                        <w:ind w:firstLine="720"/>
                        <w:jc w:val="both"/>
                      </w:pPr>
                      <w:sdt>
                        <w:sdtPr>
                          <w:alias w:val="Numeris"/>
                          <w:tag w:val="nr_3c07e509828c40449daba6b43f07e658"/>
                          <w:lock w:val="sdtLocked"/>
                          <w:richText/>
                        </w:sdtPr>
                        <w:sdtContent>
                          <w:r>
                            <w:rPr>
                              <w:sz w:val="22"/>
                              <w:szCs w:val="22"/>
                            </w:rPr>
                            <w:t>7</w:t>
                          </w:r>
                        </w:sdtContent>
                      </w:sdt>
                      <w:r>
                        <w:rPr>
                          <w:sz w:val="22"/>
                          <w:szCs w:val="22"/>
                        </w:rPr>
                        <w:t>. Veikla „2.4. Tarptautiniai MTEP projektai“ visa apimtimi bus pradėta įgyvendinti gavus papildomą finansavimą (281 000 000, 00 Eur (du šimtai aštuoniasdešimt vieną milijoną eurų, 00 ct) iš valstybės biudžeto ar kitų finansavimo šaltinių. Siekiamas rezultatas 2030 m.: įgyvendinti MTEP projektai – 1 234, paskelbtos publikacijos – 4 588, MTEP veiklos produktas – 87, pateiktos tarptautinių patentų paraiškos – 33, įkurtos atžalinės įmonės – 16</w:t>
                      </w:r>
                      <w:r>
                        <w:rPr>
                          <w:sz w:val="20"/>
                        </w:rPr>
                        <w:t>.</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d0e10d9bf11ed9978886e85107ab2">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2023-04-13,
paskelbta TAR 2023-04-13, i. k. 2023-07142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31d40170011ee9f7ec2ffce8b47bc">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2023-06-29,
paskelbta TAR 2023-06-30, i. k. 2023-13271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4773967b4411efabdbb4a1fc8b0b63">
                <w:r w:rsidRPr="00532B9F">
                  <w:rPr>
                    <w:rFonts w:ascii="Times New Roman" w:eastAsia="MS Mincho" w:hAnsi="Times New Roman"/>
                    <w:sz w:val="20"/>
                    <w:i/>
                    <w:iCs/>
                    <w:color w:val="0000FF" w:themeColor="hyperlink"/>
                    <w:u w:val="single"/>
                  </w:rPr>
                  <w:t>V-1073</w:t>
                </w:r>
              </w:fldSimple>
              <w:r>
                <w:rPr>
                  <w:rFonts w:ascii="Times New Roman" w:eastAsia="MS Mincho" w:hAnsi="Times New Roman"/>
                  <w:sz w:val="20"/>
                  <w:i/>
                  <w:iCs/>
                </w:rPr>
                <w:t>,
2024-09-25,
paskelbta TAR 2024-09-25, i. k. 2024-16673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b5a2904034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2025-06-03,
paskelbta TAR 2025-06-03, i. k. 2025-09929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767ee09f7d11f0a34db2fbd35a03b2">
                <w:r w:rsidRPr="00532B9F">
                  <w:rPr>
                    <w:rFonts w:ascii="Times New Roman" w:eastAsia="MS Mincho" w:hAnsi="Times New Roman"/>
                    <w:sz w:val="20"/>
                    <w:i/>
                    <w:iCs/>
                    <w:color w:val="0000FF" w:themeColor="hyperlink"/>
                    <w:u w:val="single"/>
                  </w:rPr>
                  <w:t>V-1020</w:t>
                </w:r>
              </w:fldSimple>
              <w:r>
                <w:rPr>
                  <w:rFonts w:ascii="Times New Roman" w:eastAsia="MS Mincho" w:hAnsi="Times New Roman"/>
                  <w:sz w:val="20"/>
                  <w:i/>
                  <w:iCs/>
                </w:rPr>
                <w:t>,
2025-10-02,
paskelbta TAR 2025-10-02, i. k. 2025-16638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715a4235711f1a552c76556910e9c">
                <w:r w:rsidRPr="00532B9F">
                  <w:rPr>
                    <w:rFonts w:ascii="Times New Roman" w:eastAsia="MS Mincho" w:hAnsi="Times New Roman"/>
                    <w:sz w:val="20"/>
                    <w:i/>
                    <w:iCs/>
                    <w:color w:val="0000FF" w:themeColor="hyperlink"/>
                    <w:u w:val="single"/>
                  </w:rPr>
                  <w:t>V-209</w:t>
                </w:r>
              </w:fldSimple>
              <w:r>
                <w:rPr>
                  <w:rFonts w:ascii="Times New Roman" w:eastAsia="MS Mincho" w:hAnsi="Times New Roman"/>
                  <w:sz w:val="20"/>
                  <w:i/>
                  <w:iCs/>
                </w:rPr>
                <w:t>,
2026-03-19,
paskelbta TAR 2026-03-19, i. k. 2026-04283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eedd542f4711f180c9c618618421ed">
                <w:r w:rsidRPr="00532B9F">
                  <w:rPr>
                    <w:rFonts w:ascii="Times New Roman" w:eastAsia="MS Mincho" w:hAnsi="Times New Roman"/>
                    <w:sz w:val="20"/>
                    <w:i/>
                    <w:iCs/>
                    <w:color w:val="0000FF" w:themeColor="hyperlink"/>
                    <w:u w:val="single"/>
                  </w:rPr>
                  <w:t>V-254</w:t>
                </w:r>
              </w:fldSimple>
              <w:r>
                <w:rPr>
                  <w:rFonts w:ascii="Times New Roman" w:eastAsia="MS Mincho" w:hAnsi="Times New Roman"/>
                  <w:sz w:val="20"/>
                  <w:i/>
                  <w:iCs/>
                </w:rPr>
                <w:t>,
2026-04-03,
paskelbta TAR 2026-04-03, i. k. 2026-05577            </w:t>
              </w:r>
            </w:p>
            <w:p/>
          </w:sdtContent>
        </w:sdt>
        <w:sdt>
          <w:sdtPr>
            <w:alias w:val="pabaiga"/>
            <w:tag w:val="part_6baa4f206cfe47a78faa3f2677d2f7cb"/>
            <w:lock w:val="sdtLocked"/>
            <w:richText/>
          </w:sdtPr>
          <w:sdtContent>
            <w:p>
              <w:pPr>
                <w:jc w:val="center"/>
                <w:rPr>
                  <w:szCs w:val="24"/>
                </w:rPr>
              </w:pPr>
              <w:r>
                <w:rPr>
                  <w:bCs/>
                  <w:sz w:val="22"/>
                  <w:szCs w:val="22"/>
                </w:rPr>
                <w:t>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1+priedas++PFSA+(NCP+ir+mokslo+pat.)+22+12+29 (pagal V-59)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2394f0a78a11ed8df094f359a60216">
            <w:r w:rsidRPr="00532B9F">
              <w:rPr>
                <w:rFonts w:ascii="Times New Roman" w:eastAsia="MS Mincho" w:hAnsi="Times New Roman"/>
                <w:sz w:val="20"/>
                <w:i/>
                <w:iCs/>
                <w:color w:val="0000FF" w:themeColor="hyperlink"/>
                <w:u w:val="single"/>
              </w:rPr>
              <w:t>V-148</w:t>
            </w:r>
          </w:fldSimple>
          <w:r>
            <w:rPr>
              <w:rFonts w:ascii="Times New Roman" w:eastAsia="MS Mincho" w:hAnsi="Times New Roman"/>
              <w:sz w:val="20"/>
              <w:i/>
              <w:iCs/>
            </w:rPr>
            <w:t>,
2023-02-08,
paskelbta TAR 2023-02-08, i. k. 2023-02363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2d360443411efbdaea558de59136c">
            <w:r w:rsidRPr="00532B9F">
              <w:rPr>
                <w:rFonts w:ascii="Times New Roman" w:eastAsia="MS Mincho" w:hAnsi="Times New Roman"/>
                <w:sz w:val="20"/>
                <w:i/>
                <w:iCs/>
                <w:color w:val="0000FF" w:themeColor="hyperlink"/>
                <w:u w:val="single"/>
              </w:rPr>
              <w:t>V-778</w:t>
            </w:r>
          </w:fldSimple>
          <w:r>
            <w:rPr>
              <w:rFonts w:ascii="Times New Roman" w:eastAsia="MS Mincho" w:hAnsi="Times New Roman"/>
              <w:sz w:val="20"/>
              <w:i/>
              <w:iCs/>
            </w:rPr>
            <w:t>,
2024-07-17,
paskelbta TAR 2024-07-17, i. k. 2024-13166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65436f85b11f0ac2aa76febda78c1">
            <w:r w:rsidRPr="00532B9F">
              <w:rPr>
                <w:rFonts w:ascii="Times New Roman" w:eastAsia="MS Mincho" w:hAnsi="Times New Roman"/>
                <w:sz w:val="20"/>
                <w:i/>
                <w:iCs/>
                <w:color w:val="0000FF" w:themeColor="hyperlink"/>
                <w:u w:val="single"/>
              </w:rPr>
              <w:t>V-59</w:t>
            </w:r>
          </w:fldSimple>
          <w:r>
            <w:rPr>
              <w:rFonts w:ascii="Times New Roman" w:eastAsia="MS Mincho" w:hAnsi="Times New Roman"/>
              <w:sz w:val="20"/>
              <w:i/>
              <w:iCs/>
            </w:rPr>
            <w:t>,
2026-01-23,
paskelbta TAR 2026-01-23, i. k. 2026-00955        </w:t>
          </w:r>
        </w:p>
        <w:p/>
        <w:p>
          <w:pPr>
            <w:pStyle w:val="PlainText"/>
            <w:rPr>
              <w:rFonts w:ascii="Times New Roman" w:eastAsia="MS Mincho" w:hAnsi="Times New Roman"/>
              <w:sz w:val="20"/>
              <w:iCs/>
            </w:rPr>
          </w:pPr>
          <w:r>
            <w:rPr>
              <w:rFonts w:ascii="Times New Roman" w:eastAsia="MS Mincho" w:hAnsi="Times New Roman"/>
              <w:sz w:val="20"/>
              <w:iCs/>
            </w:rPr>
            <w:t>2+priedas++PFSA+(ERA)+22+12+29 (pagal V-147)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7a30b01fb811eeb233e8b04dc9bb3d">
            <w:r w:rsidRPr="00532B9F">
              <w:rPr>
                <w:rFonts w:ascii="Times New Roman" w:eastAsia="MS Mincho" w:hAnsi="Times New Roman"/>
                <w:sz w:val="20"/>
                <w:i/>
                <w:iCs/>
                <w:color w:val="0000FF" w:themeColor="hyperlink"/>
                <w:u w:val="single"/>
              </w:rPr>
              <w:t>V-958</w:t>
            </w:r>
          </w:fldSimple>
          <w:r>
            <w:rPr>
              <w:rFonts w:ascii="Times New Roman" w:eastAsia="MS Mincho" w:hAnsi="Times New Roman"/>
              <w:sz w:val="20"/>
              <w:i/>
              <w:iCs/>
            </w:rPr>
            <w:t>,
2023-07-11,
paskelbta TAR 2023-07-11, i. k. 2023-14340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da950c64711eea5a28c81c82193a8">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2024-02-08,
paskelbta TAR 2024-02-08, i. k. 2024-02331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f7700d9b411f08918e1adc7c5b1ec">
            <w:r w:rsidRPr="00532B9F">
              <w:rPr>
                <w:rFonts w:ascii="Times New Roman" w:eastAsia="MS Mincho" w:hAnsi="Times New Roman"/>
                <w:sz w:val="20"/>
                <w:i/>
                <w:iCs/>
                <w:color w:val="0000FF" w:themeColor="hyperlink"/>
                <w:u w:val="single"/>
              </w:rPr>
              <w:t>V-1253</w:t>
            </w:r>
          </w:fldSimple>
          <w:r>
            <w:rPr>
              <w:rFonts w:ascii="Times New Roman" w:eastAsia="MS Mincho" w:hAnsi="Times New Roman"/>
              <w:sz w:val="20"/>
              <w:i/>
              <w:iCs/>
            </w:rPr>
            <w:t>,
2025-12-15,
paskelbta TAR 2025-12-15, i. k. 2025-21481        </w:t>
          </w:r>
        </w:p>
        <w:p/>
        <w:p>
          <w:pPr>
            <w:pStyle w:val="PlainText"/>
            <w:rPr>
              <w:rFonts w:ascii="Times New Roman" w:eastAsia="MS Mincho" w:hAnsi="Times New Roman"/>
              <w:sz w:val="20"/>
              <w:iCs/>
            </w:rPr>
          </w:pPr>
          <w:r>
            <w:rPr>
              <w:rFonts w:ascii="Times New Roman" w:eastAsia="MS Mincho" w:hAnsi="Times New Roman"/>
              <w:sz w:val="20"/>
              <w:iCs/>
            </w:rPr>
            <w:t>3 priedas PFSA+Nr3+kofinansavimas (pagal įsakymą Nr. V-59)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6265120ef11f08fdabd4950271e2c">
            <w:r w:rsidRPr="00532B9F">
              <w:rPr>
                <w:rFonts w:ascii="Times New Roman" w:eastAsia="MS Mincho" w:hAnsi="Times New Roman"/>
                <w:sz w:val="20"/>
                <w:i/>
                <w:iCs/>
                <w:color w:val="0000FF" w:themeColor="hyperlink"/>
                <w:u w:val="single"/>
              </w:rPr>
              <w:t>V-461</w:t>
            </w:r>
          </w:fldSimple>
          <w:r>
            <w:rPr>
              <w:rFonts w:ascii="Times New Roman" w:eastAsia="MS Mincho" w:hAnsi="Times New Roman"/>
              <w:sz w:val="20"/>
              <w:i/>
              <w:iCs/>
            </w:rPr>
            <w:t>,
2025-04-24,
paskelbta TAR 2025-04-24, i. k. 2025-07167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337aa1a90411f0a34db2fbd35a03b2">
            <w:r w:rsidRPr="00532B9F">
              <w:rPr>
                <w:rFonts w:ascii="Times New Roman" w:eastAsia="MS Mincho" w:hAnsi="Times New Roman"/>
                <w:sz w:val="20"/>
                <w:i/>
                <w:iCs/>
                <w:color w:val="0000FF" w:themeColor="hyperlink"/>
                <w:u w:val="single"/>
              </w:rPr>
              <w:t>V-1051</w:t>
            </w:r>
          </w:fldSimple>
          <w:r>
            <w:rPr>
              <w:rFonts w:ascii="Times New Roman" w:eastAsia="MS Mincho" w:hAnsi="Times New Roman"/>
              <w:sz w:val="20"/>
              <w:i/>
              <w:iCs/>
            </w:rPr>
            <w:t>,
2025-10-14,
paskelbta TAR 2025-10-14, i. k. 2025-17141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65436f85b11f0ac2aa76febda78c1">
            <w:r w:rsidRPr="00532B9F">
              <w:rPr>
                <w:rFonts w:ascii="Times New Roman" w:eastAsia="MS Mincho" w:hAnsi="Times New Roman"/>
                <w:sz w:val="20"/>
                <w:i/>
                <w:iCs/>
                <w:color w:val="0000FF" w:themeColor="hyperlink"/>
                <w:u w:val="single"/>
              </w:rPr>
              <w:t>V-59</w:t>
            </w:r>
          </w:fldSimple>
          <w:r>
            <w:rPr>
              <w:rFonts w:ascii="Times New Roman" w:eastAsia="MS Mincho" w:hAnsi="Times New Roman"/>
              <w:sz w:val="20"/>
              <w:i/>
              <w:iCs/>
            </w:rPr>
            <w:t>,
2026-01-23,
paskelbta TAR 2026-01-23, i. k. 2026-00955        </w:t>
          </w:r>
        </w:p>
        <w:p/>
        <w:p>
          <w:pPr>
            <w:pStyle w:val="PlainText"/>
            <w:rPr>
              <w:rFonts w:ascii="Times New Roman" w:eastAsia="MS Mincho" w:hAnsi="Times New Roman"/>
              <w:sz w:val="20"/>
              <w:iCs/>
            </w:rPr>
          </w:pPr>
          <w:r>
            <w:rPr>
              <w:rFonts w:ascii="Times New Roman" w:eastAsia="MS Mincho" w:hAnsi="Times New Roman"/>
              <w:sz w:val="20"/>
              <w:iCs/>
            </w:rPr>
            <w:t>4 priedas PFSA (pagal V-588)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54dd63c7f11f0b070ee7f1ceefc75">
            <w:r w:rsidRPr="00532B9F">
              <w:rPr>
                <w:rFonts w:ascii="Times New Roman" w:eastAsia="MS Mincho" w:hAnsi="Times New Roman"/>
                <w:sz w:val="20"/>
                <w:i/>
                <w:iCs/>
                <w:color w:val="0000FF" w:themeColor="hyperlink"/>
                <w:u w:val="single"/>
              </w:rPr>
              <w:t>V-588</w:t>
            </w:r>
          </w:fldSimple>
          <w:r>
            <w:rPr>
              <w:rFonts w:ascii="Times New Roman" w:eastAsia="MS Mincho" w:hAnsi="Times New Roman"/>
              <w:sz w:val="20"/>
              <w:i/>
              <w:iCs/>
            </w:rPr>
            <w:t>,
2025-05-29,
paskelbta TAR 2025-05-29, i. k. 2025-09506        </w:t>
          </w:r>
        </w:p>
        <w:p/>
        <w:p>
          <w:pPr>
            <w:pStyle w:val="PlainText"/>
            <w:rPr>
              <w:rFonts w:ascii="Times New Roman" w:eastAsia="MS Mincho" w:hAnsi="Times New Roman"/>
              <w:sz w:val="20"/>
              <w:iCs/>
            </w:rPr>
          </w:pPr>
          <w:r>
            <w:rPr>
              <w:rFonts w:ascii="Times New Roman" w:eastAsia="MS Mincho" w:hAnsi="Times New Roman"/>
              <w:sz w:val="20"/>
              <w:iCs/>
            </w:rPr>
            <w:t>5 priedas PFSA (pagal įsakymą Nr. V-461)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0fc670381511ee9de9e7e0fd363afc">
            <w:r w:rsidRPr="00532B9F">
              <w:rPr>
                <w:rFonts w:ascii="Times New Roman" w:eastAsia="MS Mincho" w:hAnsi="Times New Roman"/>
                <w:sz w:val="20"/>
                <w:i/>
                <w:iCs/>
                <w:color w:val="0000FF" w:themeColor="hyperlink"/>
                <w:u w:val="single"/>
              </w:rPr>
              <w:t>V-1057</w:t>
            </w:r>
          </w:fldSimple>
          <w:r>
            <w:rPr>
              <w:rFonts w:ascii="Times New Roman" w:eastAsia="MS Mincho" w:hAnsi="Times New Roman"/>
              <w:sz w:val="20"/>
              <w:i/>
              <w:iCs/>
            </w:rPr>
            <w:t>,
2023-08-11,
paskelbta TAR 2023-08-11, i. k. 2023-16147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6265120ef11f08fdabd4950271e2c">
            <w:r w:rsidRPr="00532B9F">
              <w:rPr>
                <w:rFonts w:ascii="Times New Roman" w:eastAsia="MS Mincho" w:hAnsi="Times New Roman"/>
                <w:sz w:val="20"/>
                <w:i/>
                <w:iCs/>
                <w:color w:val="0000FF" w:themeColor="hyperlink"/>
                <w:u w:val="single"/>
              </w:rPr>
              <w:t>V-461</w:t>
            </w:r>
          </w:fldSimple>
          <w:r>
            <w:rPr>
              <w:rFonts w:ascii="Times New Roman" w:eastAsia="MS Mincho" w:hAnsi="Times New Roman"/>
              <w:sz w:val="20"/>
              <w:i/>
              <w:iCs/>
            </w:rPr>
            <w:t>,
2025-04-24,
paskelbta TAR 2025-04-24, i. k. 2025-07167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f7700d9b411f08918e1adc7c5b1ec">
            <w:r w:rsidRPr="00532B9F">
              <w:rPr>
                <w:rFonts w:ascii="Times New Roman" w:eastAsia="MS Mincho" w:hAnsi="Times New Roman"/>
                <w:sz w:val="20"/>
                <w:i/>
                <w:iCs/>
                <w:color w:val="0000FF" w:themeColor="hyperlink"/>
                <w:u w:val="single"/>
              </w:rPr>
              <w:t>V-1253</w:t>
            </w:r>
          </w:fldSimple>
          <w:r>
            <w:rPr>
              <w:rFonts w:ascii="Times New Roman" w:eastAsia="MS Mincho" w:hAnsi="Times New Roman"/>
              <w:sz w:val="20"/>
              <w:i/>
              <w:iCs/>
            </w:rPr>
            <w:t>,
2025-12-15,
paskelbta TAR 2025-12-15, i. k. 2025-21481        </w:t>
          </w:r>
        </w:p>
        <w:p/>
        <w:p>
          <w:pPr>
            <w:pStyle w:val="PlainText"/>
            <w:rPr>
              <w:rFonts w:ascii="Times New Roman" w:eastAsia="MS Mincho" w:hAnsi="Times New Roman"/>
              <w:sz w:val="20"/>
              <w:iCs/>
            </w:rPr>
          </w:pPr>
          <w:r>
            <w:rPr>
              <w:rFonts w:ascii="Times New Roman" w:eastAsia="MS Mincho" w:hAnsi="Times New Roman"/>
              <w:sz w:val="20"/>
              <w:iCs/>
            </w:rPr>
            <w:t>6 priedas (pagal įsakymą Nr. V-59)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d0e10d9bf11ed9978886e85107ab2">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2023-04-13,
paskelbta TAR 2023-04-13, i. k. 2023-07142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6265120ef11f08fdabd4950271e2c">
            <w:r w:rsidRPr="00532B9F">
              <w:rPr>
                <w:rFonts w:ascii="Times New Roman" w:eastAsia="MS Mincho" w:hAnsi="Times New Roman"/>
                <w:sz w:val="20"/>
                <w:i/>
                <w:iCs/>
                <w:color w:val="0000FF" w:themeColor="hyperlink"/>
                <w:u w:val="single"/>
              </w:rPr>
              <w:t>V-461</w:t>
            </w:r>
          </w:fldSimple>
          <w:r>
            <w:rPr>
              <w:rFonts w:ascii="Times New Roman" w:eastAsia="MS Mincho" w:hAnsi="Times New Roman"/>
              <w:sz w:val="20"/>
              <w:i/>
              <w:iCs/>
            </w:rPr>
            <w:t>,
2025-04-24,
paskelbta TAR 2025-04-24, i. k. 2025-07167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337aa1a90411f0a34db2fbd35a03b2">
            <w:r w:rsidRPr="00532B9F">
              <w:rPr>
                <w:rFonts w:ascii="Times New Roman" w:eastAsia="MS Mincho" w:hAnsi="Times New Roman"/>
                <w:sz w:val="20"/>
                <w:i/>
                <w:iCs/>
                <w:color w:val="0000FF" w:themeColor="hyperlink"/>
                <w:u w:val="single"/>
              </w:rPr>
              <w:t>V-1051</w:t>
            </w:r>
          </w:fldSimple>
          <w:r>
            <w:rPr>
              <w:rFonts w:ascii="Times New Roman" w:eastAsia="MS Mincho" w:hAnsi="Times New Roman"/>
              <w:sz w:val="20"/>
              <w:i/>
              <w:iCs/>
            </w:rPr>
            <w:t>,
2025-10-14,
paskelbta TAR 2025-10-14, i. k. 2025-17141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65436f85b11f0ac2aa76febda78c1">
            <w:r w:rsidRPr="00532B9F">
              <w:rPr>
                <w:rFonts w:ascii="Times New Roman" w:eastAsia="MS Mincho" w:hAnsi="Times New Roman"/>
                <w:sz w:val="20"/>
                <w:i/>
                <w:iCs/>
                <w:color w:val="0000FF" w:themeColor="hyperlink"/>
                <w:u w:val="single"/>
              </w:rPr>
              <w:t>V-59</w:t>
            </w:r>
          </w:fldSimple>
          <w:r>
            <w:rPr>
              <w:rFonts w:ascii="Times New Roman" w:eastAsia="MS Mincho" w:hAnsi="Times New Roman"/>
              <w:sz w:val="20"/>
              <w:i/>
              <w:iCs/>
            </w:rPr>
            <w:t>,
2026-01-23,
paskelbta TAR 2026-01-23, i. k. 2026-00955        </w:t>
          </w:r>
        </w:p>
        <w:p/>
        <w:p>
          <w:pPr>
            <w:pStyle w:val="PlainText"/>
            <w:rPr>
              <w:rFonts w:ascii="Times New Roman" w:eastAsia="MS Mincho" w:hAnsi="Times New Roman"/>
              <w:sz w:val="20"/>
              <w:iCs/>
            </w:rPr>
          </w:pPr>
          <w:r>
            <w:rPr>
              <w:rFonts w:ascii="Times New Roman" w:eastAsia="MS Mincho" w:hAnsi="Times New Roman"/>
              <w:sz w:val="20"/>
              <w:iCs/>
            </w:rPr>
            <w:t>7 priedas PFSA_EuroHPC (pagal V-254)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99308414fc11f08fdabd4950271e2c">
            <w:r w:rsidRPr="00532B9F">
              <w:rPr>
                <w:rFonts w:ascii="Times New Roman" w:eastAsia="MS Mincho" w:hAnsi="Times New Roman"/>
                <w:sz w:val="20"/>
                <w:i/>
                <w:iCs/>
                <w:color w:val="0000FF" w:themeColor="hyperlink"/>
                <w:u w:val="single"/>
              </w:rPr>
              <w:t>V-390</w:t>
            </w:r>
          </w:fldSimple>
          <w:r>
            <w:rPr>
              <w:rFonts w:ascii="Times New Roman" w:eastAsia="MS Mincho" w:hAnsi="Times New Roman"/>
              <w:sz w:val="20"/>
              <w:i/>
              <w:iCs/>
            </w:rPr>
            <w:t>,
2025-04-09,
paskelbta TAR 2025-04-09, i. k. 2025-06209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eedd542f4711f180c9c618618421ed">
            <w:r w:rsidRPr="00532B9F">
              <w:rPr>
                <w:rFonts w:ascii="Times New Roman" w:eastAsia="MS Mincho" w:hAnsi="Times New Roman"/>
                <w:sz w:val="20"/>
                <w:i/>
                <w:iCs/>
                <w:color w:val="0000FF" w:themeColor="hyperlink"/>
                <w:u w:val="single"/>
              </w:rPr>
              <w:t>V-254</w:t>
            </w:r>
          </w:fldSimple>
          <w:r>
            <w:rPr>
              <w:rFonts w:ascii="Times New Roman" w:eastAsia="MS Mincho" w:hAnsi="Times New Roman"/>
              <w:sz w:val="20"/>
              <w:i/>
              <w:iCs/>
            </w:rPr>
            <w:t>,
2026-04-03,
paskelbta TAR 2026-04-03, i. k. 2026-05577        </w:t>
          </w:r>
        </w:p>
        <w:p/>
        <w:p>
          <w:pPr>
            <w:pStyle w:val="PlainText"/>
            <w:rPr>
              <w:rFonts w:ascii="Times New Roman" w:eastAsia="MS Mincho" w:hAnsi="Times New Roman"/>
              <w:sz w:val="20"/>
              <w:iCs/>
            </w:rPr>
          </w:pPr>
          <w:r>
            <w:rPr>
              <w:rFonts w:ascii="Times New Roman" w:eastAsia="MS Mincho" w:hAnsi="Times New Roman"/>
              <w:sz w:val="20"/>
              <w:iCs/>
            </w:rPr>
            <w:t>8 priedas PFSA (pagal V-360)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31d40170011ee9f7ec2ffce8b47bc">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2023-06-29,
paskelbta TAR 2023-06-30, i. k. 2023-13271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ff31b40c0b11f08e9f87c0d053bf09">
            <w:r w:rsidRPr="00532B9F">
              <w:rPr>
                <w:rFonts w:ascii="Times New Roman" w:eastAsia="MS Mincho" w:hAnsi="Times New Roman"/>
                <w:sz w:val="20"/>
                <w:i/>
                <w:iCs/>
                <w:color w:val="0000FF" w:themeColor="hyperlink"/>
                <w:u w:val="single"/>
              </w:rPr>
              <w:t>V-360</w:t>
            </w:r>
          </w:fldSimple>
          <w:r>
            <w:rPr>
              <w:rFonts w:ascii="Times New Roman" w:eastAsia="MS Mincho" w:hAnsi="Times New Roman"/>
              <w:sz w:val="20"/>
              <w:i/>
              <w:iCs/>
            </w:rPr>
            <w:t>,
2025-03-28,
paskelbta TAR 2025-03-31, i. k. 2025-05451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f7700d9b411f08918e1adc7c5b1ec">
            <w:r w:rsidRPr="00532B9F">
              <w:rPr>
                <w:rFonts w:ascii="Times New Roman" w:eastAsia="MS Mincho" w:hAnsi="Times New Roman"/>
                <w:sz w:val="20"/>
                <w:i/>
                <w:iCs/>
                <w:color w:val="0000FF" w:themeColor="hyperlink"/>
                <w:u w:val="single"/>
              </w:rPr>
              <w:t>V-1253</w:t>
            </w:r>
          </w:fldSimple>
          <w:r>
            <w:rPr>
              <w:rFonts w:ascii="Times New Roman" w:eastAsia="MS Mincho" w:hAnsi="Times New Roman"/>
              <w:sz w:val="20"/>
              <w:i/>
              <w:iCs/>
            </w:rPr>
            <w:t>,
2025-12-15,
paskelbta TAR 2025-12-15, i. k. 2025-21481        </w:t>
          </w:r>
        </w:p>
        <w:p/>
        <w:p>
          <w:pPr>
            <w:pStyle w:val="PlainText"/>
            <w:rPr>
              <w:rFonts w:ascii="Times New Roman" w:eastAsia="MS Mincho" w:hAnsi="Times New Roman"/>
              <w:sz w:val="20"/>
              <w:iCs/>
            </w:rPr>
          </w:pPr>
          <w:r>
            <w:rPr>
              <w:rFonts w:ascii="Times New Roman" w:eastAsia="MS Mincho" w:hAnsi="Times New Roman"/>
              <w:sz w:val="20"/>
              <w:iCs/>
            </w:rPr>
            <w:t>9 priedas (pagal V-59)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1d9ee006b011efbcbfb318996800a8">
            <w:r w:rsidRPr="00532B9F">
              <w:rPr>
                <w:rFonts w:ascii="Times New Roman" w:eastAsia="MS Mincho" w:hAnsi="Times New Roman"/>
                <w:sz w:val="20"/>
                <w:i/>
                <w:iCs/>
                <w:color w:val="0000FF" w:themeColor="hyperlink"/>
                <w:u w:val="single"/>
              </w:rPr>
              <w:t>V-477</w:t>
            </w:r>
          </w:fldSimple>
          <w:r>
            <w:rPr>
              <w:rFonts w:ascii="Times New Roman" w:eastAsia="MS Mincho" w:hAnsi="Times New Roman"/>
              <w:sz w:val="20"/>
              <w:i/>
              <w:iCs/>
            </w:rPr>
            <w:t>,
2024-04-30,
paskelbta TAR 2024-04-30, i. k. 2024-08000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d11a04b0e11efbdaea558de59136c">
            <w:r w:rsidRPr="00532B9F">
              <w:rPr>
                <w:rFonts w:ascii="Times New Roman" w:eastAsia="MS Mincho" w:hAnsi="Times New Roman"/>
                <w:sz w:val="20"/>
                <w:i/>
                <w:iCs/>
                <w:color w:val="0000FF" w:themeColor="hyperlink"/>
                <w:u w:val="single"/>
              </w:rPr>
              <w:t>V-832</w:t>
            </w:r>
          </w:fldSimple>
          <w:r>
            <w:rPr>
              <w:rFonts w:ascii="Times New Roman" w:eastAsia="MS Mincho" w:hAnsi="Times New Roman"/>
              <w:sz w:val="20"/>
              <w:i/>
              <w:iCs/>
            </w:rPr>
            <w:t>,
2024-07-26,
paskelbta TAR 2024-07-26, i. k. 2024-13706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337aa1a90411f0a34db2fbd35a03b2">
            <w:r w:rsidRPr="00532B9F">
              <w:rPr>
                <w:rFonts w:ascii="Times New Roman" w:eastAsia="MS Mincho" w:hAnsi="Times New Roman"/>
                <w:sz w:val="20"/>
                <w:i/>
                <w:iCs/>
                <w:color w:val="0000FF" w:themeColor="hyperlink"/>
                <w:u w:val="single"/>
              </w:rPr>
              <w:t>V-1051</w:t>
            </w:r>
          </w:fldSimple>
          <w:r>
            <w:rPr>
              <w:rFonts w:ascii="Times New Roman" w:eastAsia="MS Mincho" w:hAnsi="Times New Roman"/>
              <w:sz w:val="20"/>
              <w:i/>
              <w:iCs/>
            </w:rPr>
            <w:t>,
2025-10-14,
paskelbta TAR 2025-10-14, i. k. 2025-17141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65436f85b11f0ac2aa76febda78c1">
            <w:r w:rsidRPr="00532B9F">
              <w:rPr>
                <w:rFonts w:ascii="Times New Roman" w:eastAsia="MS Mincho" w:hAnsi="Times New Roman"/>
                <w:sz w:val="20"/>
                <w:i/>
                <w:iCs/>
                <w:color w:val="0000FF" w:themeColor="hyperlink"/>
                <w:u w:val="single"/>
              </w:rPr>
              <w:t>V-59</w:t>
            </w:r>
          </w:fldSimple>
          <w:r>
            <w:rPr>
              <w:rFonts w:ascii="Times New Roman" w:eastAsia="MS Mincho" w:hAnsi="Times New Roman"/>
              <w:sz w:val="20"/>
              <w:i/>
              <w:iCs/>
            </w:rPr>
            <w:t>,
2026-01-23,
paskelbta TAR 2026-01-23, i. k. 2026-00955        </w:t>
          </w:r>
        </w:p>
        <w:p/>
        <w:p>
          <w:pPr>
            <w:pStyle w:val="PlainText"/>
            <w:rPr>
              <w:rFonts w:ascii="Times New Roman" w:eastAsia="MS Mincho" w:hAnsi="Times New Roman"/>
              <w:sz w:val="20"/>
              <w:iCs/>
            </w:rPr>
          </w:pPr>
          <w:r>
            <w:rPr>
              <w:rFonts w:ascii="Times New Roman" w:eastAsia="MS Mincho" w:hAnsi="Times New Roman"/>
              <w:sz w:val="20"/>
              <w:iCs/>
            </w:rPr>
            <w:t>10 priedas (pagal  V-512)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afce6df9811ef84c3a3cb4f439b27">
            <w:r w:rsidRPr="00532B9F">
              <w:rPr>
                <w:rFonts w:ascii="Times New Roman" w:eastAsia="MS Mincho" w:hAnsi="Times New Roman"/>
                <w:sz w:val="20"/>
                <w:i/>
                <w:iCs/>
                <w:color w:val="0000FF" w:themeColor="hyperlink"/>
                <w:u w:val="single"/>
              </w:rPr>
              <w:t>V-120</w:t>
            </w:r>
          </w:fldSimple>
          <w:r>
            <w:rPr>
              <w:rFonts w:ascii="Times New Roman" w:eastAsia="MS Mincho" w:hAnsi="Times New Roman"/>
              <w:sz w:val="20"/>
              <w:i/>
              <w:iCs/>
            </w:rPr>
            <w:t>,
2025-01-31,
paskelbta TAR 2025-01-31, i. k. 2025-01394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b602312eea11f08fdabd4950271e2c">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2025-05-12,
paskelbta TAR 2025-05-12, i. k. 2025-08383        </w:t>
          </w:r>
        </w:p>
        <w:p/>
        <w:p>
          <w:pPr>
            <w:pStyle w:val="PlainText"/>
            <w:rPr>
              <w:rFonts w:ascii="Times New Roman" w:eastAsia="MS Mincho" w:hAnsi="Times New Roman"/>
              <w:sz w:val="20"/>
              <w:iCs/>
            </w:rPr>
          </w:pPr>
          <w:r>
            <w:rPr>
              <w:rFonts w:ascii="Times New Roman" w:eastAsia="MS Mincho" w:hAnsi="Times New Roman"/>
              <w:sz w:val="20"/>
              <w:iCs/>
            </w:rPr>
            <w:t>11 priedas (pagal V-1020)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5a6a0b22d11ef88c08519262548c4">
            <w:r w:rsidRPr="00532B9F">
              <w:rPr>
                <w:rFonts w:ascii="Times New Roman" w:eastAsia="MS Mincho" w:hAnsi="Times New Roman"/>
                <w:sz w:val="20"/>
                <w:i/>
                <w:iCs/>
                <w:color w:val="0000FF" w:themeColor="hyperlink"/>
                <w:u w:val="single"/>
              </w:rPr>
              <w:t>V-1378</w:t>
            </w:r>
          </w:fldSimple>
          <w:r>
            <w:rPr>
              <w:rFonts w:ascii="Times New Roman" w:eastAsia="MS Mincho" w:hAnsi="Times New Roman"/>
              <w:sz w:val="20"/>
              <w:i/>
              <w:iCs/>
            </w:rPr>
            <w:t>,
2024-12-04,
paskelbta TAR 2024-12-04, i. k. 2024-21452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767ee09f7d11f0a34db2fbd35a03b2">
            <w:r w:rsidRPr="00532B9F">
              <w:rPr>
                <w:rFonts w:ascii="Times New Roman" w:eastAsia="MS Mincho" w:hAnsi="Times New Roman"/>
                <w:sz w:val="20"/>
                <w:i/>
                <w:iCs/>
                <w:color w:val="0000FF" w:themeColor="hyperlink"/>
                <w:u w:val="single"/>
              </w:rPr>
              <w:t>V-1020</w:t>
            </w:r>
          </w:fldSimple>
          <w:r>
            <w:rPr>
              <w:rFonts w:ascii="Times New Roman" w:eastAsia="MS Mincho" w:hAnsi="Times New Roman"/>
              <w:sz w:val="20"/>
              <w:i/>
              <w:iCs/>
            </w:rPr>
            <w:t>,
2025-10-02,
paskelbta TAR 2025-10-02, i. k. 2025-16638        </w:t>
          </w:r>
        </w:p>
        <w:p/>
        <w:p>
          <w:pPr>
            <w:pStyle w:val="PlainText"/>
            <w:rPr>
              <w:rFonts w:ascii="Times New Roman" w:eastAsia="MS Mincho" w:hAnsi="Times New Roman"/>
              <w:sz w:val="20"/>
              <w:iCs/>
            </w:rPr>
          </w:pPr>
          <w:r>
            <w:rPr>
              <w:rFonts w:ascii="Times New Roman" w:eastAsia="MS Mincho" w:hAnsi="Times New Roman"/>
              <w:sz w:val="20"/>
              <w:iCs/>
            </w:rPr>
            <w:t>12 priedas (pagal V-299)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13 priedas (pagal V-59)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84b16d49d11efa5ddd96c482819f5">
            <w:r w:rsidRPr="00532B9F">
              <w:rPr>
                <w:rFonts w:ascii="Times New Roman" w:eastAsia="MS Mincho" w:hAnsi="Times New Roman"/>
                <w:sz w:val="20"/>
                <w:i/>
                <w:iCs/>
                <w:color w:val="0000FF" w:themeColor="hyperlink"/>
                <w:u w:val="single"/>
              </w:rPr>
              <w:t>V-51</w:t>
            </w:r>
          </w:fldSimple>
          <w:r>
            <w:rPr>
              <w:rFonts w:ascii="Times New Roman" w:eastAsia="MS Mincho" w:hAnsi="Times New Roman"/>
              <w:sz w:val="20"/>
              <w:i/>
              <w:iCs/>
            </w:rPr>
            <w:t>,
2025-01-17,
paskelbta TAR 2025-01-17, i. k. 2025-00533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b5a2904034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2025-06-03,
paskelbta TAR 2025-06-03, i. k. 2025-09929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65436f85b11f0ac2aa76febda78c1">
            <w:r w:rsidRPr="00532B9F">
              <w:rPr>
                <w:rFonts w:ascii="Times New Roman" w:eastAsia="MS Mincho" w:hAnsi="Times New Roman"/>
                <w:sz w:val="20"/>
                <w:i/>
                <w:iCs/>
                <w:color w:val="0000FF" w:themeColor="hyperlink"/>
                <w:u w:val="single"/>
              </w:rPr>
              <w:t>V-59</w:t>
            </w:r>
          </w:fldSimple>
          <w:r>
            <w:rPr>
              <w:rFonts w:ascii="Times New Roman" w:eastAsia="MS Mincho" w:hAnsi="Times New Roman"/>
              <w:sz w:val="20"/>
              <w:i/>
              <w:iCs/>
            </w:rPr>
            <w:t>,
2026-01-23,
paskelbta TAR 2026-01-23, i. k. 2026-00955        </w:t>
          </w:r>
        </w:p>
        <w:p/>
        <w:p>
          <w:pPr>
            <w:pStyle w:val="PlainText"/>
            <w:rPr>
              <w:rFonts w:ascii="Times New Roman" w:eastAsia="MS Mincho" w:hAnsi="Times New Roman"/>
              <w:sz w:val="20"/>
              <w:iCs/>
            </w:rPr>
          </w:pPr>
          <w:r>
            <w:rPr>
              <w:rFonts w:ascii="Times New Roman" w:eastAsia="MS Mincho" w:hAnsi="Times New Roman"/>
              <w:sz w:val="20"/>
              <w:iCs/>
            </w:rPr>
            <w:t>14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7788643a3211f0b070ee7f1ceefc75">
            <w:r w:rsidRPr="00532B9F">
              <w:rPr>
                <w:rFonts w:ascii="Times New Roman" w:eastAsia="MS Mincho" w:hAnsi="Times New Roman"/>
                <w:sz w:val="20"/>
                <w:i/>
                <w:iCs/>
                <w:color w:val="0000FF" w:themeColor="hyperlink"/>
                <w:u w:val="single"/>
              </w:rPr>
              <w:t>V-579</w:t>
            </w:r>
          </w:fldSimple>
          <w:r>
            <w:rPr>
              <w:rFonts w:ascii="Times New Roman" w:eastAsia="MS Mincho" w:hAnsi="Times New Roman"/>
              <w:sz w:val="20"/>
              <w:i/>
              <w:iCs/>
            </w:rPr>
            <w:t>,
2025-05-26,
paskelbta TAR 2025-05-26, i. k. 2025-09295        </w:t>
          </w:r>
        </w:p>
        <w:p/>
        <w:p>
          <w:pPr>
            <w:pStyle w:val="PlainText"/>
            <w:rPr>
              <w:rFonts w:ascii="Times New Roman" w:eastAsia="MS Mincho" w:hAnsi="Times New Roman"/>
              <w:sz w:val="20"/>
              <w:iCs/>
            </w:rPr>
          </w:pPr>
          <w:r>
            <w:rPr>
              <w:rFonts w:ascii="Times New Roman" w:eastAsia="MS Mincho" w:hAnsi="Times New Roman"/>
              <w:sz w:val="20"/>
              <w:iCs/>
            </w:rPr>
            <w:t>15 priedas (pagal V-620)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24b44041ef11f0b070ee7f1ceefc75">
            <w:r w:rsidRPr="00532B9F">
              <w:rPr>
                <w:rFonts w:ascii="Times New Roman" w:eastAsia="MS Mincho" w:hAnsi="Times New Roman"/>
                <w:sz w:val="20"/>
                <w:i/>
                <w:iCs/>
                <w:color w:val="0000FF" w:themeColor="hyperlink"/>
                <w:u w:val="single"/>
              </w:rPr>
              <w:t>V-620</w:t>
            </w:r>
          </w:fldSimple>
          <w:r>
            <w:rPr>
              <w:rFonts w:ascii="Times New Roman" w:eastAsia="MS Mincho" w:hAnsi="Times New Roman"/>
              <w:sz w:val="20"/>
              <w:i/>
              <w:iCs/>
            </w:rPr>
            <w:t>,
2025-06-05,
paskelbta TAR 2025-06-05, i. k. 2025-10275        </w:t>
          </w:r>
        </w:p>
        <w:p/>
        <w:p>
          <w:pPr>
            <w:pStyle w:val="PlainText"/>
            <w:rPr>
              <w:rFonts w:ascii="Times New Roman" w:eastAsia="MS Mincho" w:hAnsi="Times New Roman"/>
              <w:sz w:val="20"/>
              <w:iCs/>
            </w:rPr>
          </w:pPr>
          <w:r>
            <w:rPr>
              <w:rFonts w:ascii="Times New Roman" w:eastAsia="MS Mincho" w:hAnsi="Times New Roman"/>
              <w:sz w:val="20"/>
              <w:iCs/>
            </w:rPr>
            <w:t>16 priedas (pagal V-1020)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aca668d2911ef92b19bb92dd76d17">
            <w:r w:rsidRPr="00532B9F">
              <w:rPr>
                <w:rFonts w:ascii="Times New Roman" w:eastAsia="MS Mincho" w:hAnsi="Times New Roman"/>
                <w:sz w:val="20"/>
                <w:i/>
                <w:iCs/>
                <w:color w:val="0000FF" w:themeColor="hyperlink"/>
                <w:u w:val="single"/>
              </w:rPr>
              <w:t>V-1173</w:t>
            </w:r>
          </w:fldSimple>
          <w:r>
            <w:rPr>
              <w:rFonts w:ascii="Times New Roman" w:eastAsia="MS Mincho" w:hAnsi="Times New Roman"/>
              <w:sz w:val="20"/>
              <w:i/>
              <w:iCs/>
            </w:rPr>
            <w:t>,
2024-10-18,
paskelbta TAR 2024-10-18, i. k. 2024-18172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6b1644b3db11ef88c08519262548c4">
            <w:r w:rsidRPr="00532B9F">
              <w:rPr>
                <w:rFonts w:ascii="Times New Roman" w:eastAsia="MS Mincho" w:hAnsi="Times New Roman"/>
                <w:sz w:val="20"/>
                <w:i/>
                <w:iCs/>
                <w:color w:val="0000FF" w:themeColor="hyperlink"/>
                <w:u w:val="single"/>
              </w:rPr>
              <w:t>V-1389</w:t>
            </w:r>
          </w:fldSimple>
          <w:r>
            <w:rPr>
              <w:rFonts w:ascii="Times New Roman" w:eastAsia="MS Mincho" w:hAnsi="Times New Roman"/>
              <w:sz w:val="20"/>
              <w:i/>
              <w:iCs/>
            </w:rPr>
            <w:t>,
2024-12-06,
paskelbta TAR 2024-12-06, i. k. 2024-21694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9c0e08e3311f0a8bbd1e98310677d">
            <w:r w:rsidRPr="00532B9F">
              <w:rPr>
                <w:rFonts w:ascii="Times New Roman" w:eastAsia="MS Mincho" w:hAnsi="Times New Roman"/>
                <w:sz w:val="20"/>
                <w:i/>
                <w:iCs/>
                <w:color w:val="0000FF" w:themeColor="hyperlink"/>
                <w:u w:val="single"/>
              </w:rPr>
              <w:t>V-934</w:t>
            </w:r>
          </w:fldSimple>
          <w:r>
            <w:rPr>
              <w:rFonts w:ascii="Times New Roman" w:eastAsia="MS Mincho" w:hAnsi="Times New Roman"/>
              <w:sz w:val="20"/>
              <w:i/>
              <w:iCs/>
            </w:rPr>
            <w:t>,
2025-09-10,
paskelbta TAR 2025-09-10, i. k. 2025-15226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767ee09f7d11f0a34db2fbd35a03b2">
            <w:r w:rsidRPr="00532B9F">
              <w:rPr>
                <w:rFonts w:ascii="Times New Roman" w:eastAsia="MS Mincho" w:hAnsi="Times New Roman"/>
                <w:sz w:val="20"/>
                <w:i/>
                <w:iCs/>
                <w:color w:val="0000FF" w:themeColor="hyperlink"/>
                <w:u w:val="single"/>
              </w:rPr>
              <w:t>V-1020</w:t>
            </w:r>
          </w:fldSimple>
          <w:r>
            <w:rPr>
              <w:rFonts w:ascii="Times New Roman" w:eastAsia="MS Mincho" w:hAnsi="Times New Roman"/>
              <w:sz w:val="20"/>
              <w:i/>
              <w:iCs/>
            </w:rPr>
            <w:t>,
2025-10-02,
paskelbta TAR 2025-10-02, i. k. 2025-16638        </w:t>
          </w:r>
        </w:p>
        <w:p/>
        <w:p>
          <w:pPr>
            <w:pStyle w:val="PlainText"/>
            <w:rPr>
              <w:rFonts w:ascii="Times New Roman" w:eastAsia="MS Mincho" w:hAnsi="Times New Roman"/>
              <w:sz w:val="20"/>
              <w:iCs/>
            </w:rPr>
          </w:pPr>
          <w:r>
            <w:rPr>
              <w:rFonts w:ascii="Times New Roman" w:eastAsia="MS Mincho" w:hAnsi="Times New Roman"/>
              <w:sz w:val="20"/>
              <w:iCs/>
            </w:rPr>
            <w:t>17 priedas (pagal V-59)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767ee09f7d11f0a34db2fbd35a03b2">
            <w:r w:rsidRPr="00532B9F">
              <w:rPr>
                <w:rFonts w:ascii="Times New Roman" w:eastAsia="MS Mincho" w:hAnsi="Times New Roman"/>
                <w:sz w:val="20"/>
                <w:i/>
                <w:iCs/>
                <w:color w:val="0000FF" w:themeColor="hyperlink"/>
                <w:u w:val="single"/>
              </w:rPr>
              <w:t>V-1020</w:t>
            </w:r>
          </w:fldSimple>
          <w:r>
            <w:rPr>
              <w:rFonts w:ascii="Times New Roman" w:eastAsia="MS Mincho" w:hAnsi="Times New Roman"/>
              <w:sz w:val="20"/>
              <w:i/>
              <w:iCs/>
            </w:rPr>
            <w:t>,
2025-10-02,
paskelbta TAR 2025-10-02, i. k. 2025-16638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65436f85b11f0ac2aa76febda78c1">
            <w:r w:rsidRPr="00532B9F">
              <w:rPr>
                <w:rFonts w:ascii="Times New Roman" w:eastAsia="MS Mincho" w:hAnsi="Times New Roman"/>
                <w:sz w:val="20"/>
                <w:i/>
                <w:iCs/>
                <w:color w:val="0000FF" w:themeColor="hyperlink"/>
                <w:u w:val="single"/>
              </w:rPr>
              <w:t>V-59</w:t>
            </w:r>
          </w:fldSimple>
          <w:r>
            <w:rPr>
              <w:rFonts w:ascii="Times New Roman" w:eastAsia="MS Mincho" w:hAnsi="Times New Roman"/>
              <w:sz w:val="20"/>
              <w:i/>
              <w:iCs/>
            </w:rPr>
            <w:t>,
2026-01-23,
paskelbta TAR 2026-01-23, i. k. 2026-00955        </w:t>
          </w:r>
        </w:p>
        <w:p/>
        <w:p>
          <w:pPr>
            <w:pStyle w:val="PlainText"/>
            <w:rPr>
              <w:rFonts w:ascii="Times New Roman" w:eastAsia="MS Mincho" w:hAnsi="Times New Roman"/>
              <w:sz w:val="20"/>
              <w:iCs/>
            </w:rPr>
          </w:pPr>
          <w:r>
            <w:rPr>
              <w:rFonts w:ascii="Times New Roman" w:eastAsia="MS Mincho" w:hAnsi="Times New Roman"/>
              <w:sz w:val="20"/>
              <w:iCs/>
            </w:rPr>
            <w:t>18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4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5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6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7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8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19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20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715a4235711f1a552c76556910e9c">
            <w:r w:rsidRPr="00532B9F">
              <w:rPr>
                <w:rFonts w:ascii="Times New Roman" w:eastAsia="MS Mincho" w:hAnsi="Times New Roman"/>
                <w:sz w:val="20"/>
                <w:i/>
                <w:iCs/>
                <w:color w:val="0000FF" w:themeColor="hyperlink"/>
                <w:u w:val="single"/>
              </w:rPr>
              <w:t>V-209</w:t>
            </w:r>
          </w:fldSimple>
          <w:r>
            <w:rPr>
              <w:rFonts w:ascii="Times New Roman" w:eastAsia="MS Mincho" w:hAnsi="Times New Roman"/>
              <w:sz w:val="20"/>
              <w:i/>
              <w:iCs/>
            </w:rPr>
            <w:t>,
2026-03-19,
paskelbta TAR 2026-03-19, i. k. 2026-04283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39108b2c11ed8df094f359a60216">
            <w:r w:rsidRPr="00532B9F">
              <w:rPr>
                <w:rFonts w:ascii="Times New Roman" w:eastAsia="MS Mincho" w:hAnsi="Times New Roman"/>
                <w:sz w:val="20"/>
                <w:iCs/>
                <w:color w:val="0000FF" w:themeColor="hyperlink"/>
                <w:u w:val="single"/>
              </w:rPr>
              <w:t>V-4</w:t>
            </w:r>
          </w:fldSimple>
          <w:r>
            <w:rPr>
              <w:rFonts w:ascii="Times New Roman" w:eastAsia="MS Mincho" w:hAnsi="Times New Roman"/>
              <w:sz w:val="20"/>
              <w:iCs/>
            </w:rPr>
            <w:t>,
2023-01-03,
paskelbta TAR 2023-01-03, i. k. 2023-00079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2394f0a78a11ed8df094f359a60216">
            <w:r w:rsidRPr="00532B9F">
              <w:rPr>
                <w:rFonts w:ascii="Times New Roman" w:eastAsia="MS Mincho" w:hAnsi="Times New Roman"/>
                <w:sz w:val="20"/>
                <w:iCs/>
                <w:color w:val="0000FF" w:themeColor="hyperlink"/>
                <w:u w:val="single"/>
              </w:rPr>
              <w:t>V-148</w:t>
            </w:r>
          </w:fldSimple>
          <w:r>
            <w:rPr>
              <w:rFonts w:ascii="Times New Roman" w:eastAsia="MS Mincho" w:hAnsi="Times New Roman"/>
              <w:sz w:val="20"/>
              <w:iCs/>
            </w:rPr>
            <w:t>,
2023-02-08,
paskelbta TAR 2023-02-08, i. k. 2023-02363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a519a0b28e11ed8df094f359a60216">
            <w:r w:rsidRPr="00532B9F">
              <w:rPr>
                <w:rFonts w:ascii="Times New Roman" w:eastAsia="MS Mincho" w:hAnsi="Times New Roman"/>
                <w:sz w:val="20"/>
                <w:iCs/>
                <w:color w:val="0000FF" w:themeColor="hyperlink"/>
                <w:u w:val="single"/>
              </w:rPr>
              <w:t>V-205</w:t>
            </w:r>
          </w:fldSimple>
          <w:r>
            <w:rPr>
              <w:rFonts w:ascii="Times New Roman" w:eastAsia="MS Mincho" w:hAnsi="Times New Roman"/>
              <w:sz w:val="20"/>
              <w:iCs/>
            </w:rPr>
            <w:t>,
2023-02-22,
paskelbta TAR 2023-02-22, i. k. 2023-03104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631db0c3d911ed97b2975f7dad7488">
            <w:r w:rsidRPr="00532B9F">
              <w:rPr>
                <w:rFonts w:ascii="Times New Roman" w:eastAsia="MS Mincho" w:hAnsi="Times New Roman"/>
                <w:sz w:val="20"/>
                <w:iCs/>
                <w:color w:val="0000FF" w:themeColor="hyperlink"/>
                <w:u w:val="single"/>
              </w:rPr>
              <w:t>V-347</w:t>
            </w:r>
          </w:fldSimple>
          <w:r>
            <w:rPr>
              <w:rFonts w:ascii="Times New Roman" w:eastAsia="MS Mincho" w:hAnsi="Times New Roman"/>
              <w:sz w:val="20"/>
              <w:iCs/>
            </w:rPr>
            <w:t>,
2023-03-16,
paskelbta TAR 2023-03-16, i. k. 2023-04671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bd0e10d9bf11ed9978886e85107ab2">
            <w:r w:rsidRPr="00532B9F">
              <w:rPr>
                <w:rFonts w:ascii="Times New Roman" w:eastAsia="MS Mincho" w:hAnsi="Times New Roman"/>
                <w:sz w:val="20"/>
                <w:iCs/>
                <w:color w:val="0000FF" w:themeColor="hyperlink"/>
                <w:u w:val="single"/>
              </w:rPr>
              <w:t>V-512</w:t>
            </w:r>
          </w:fldSimple>
          <w:r>
            <w:rPr>
              <w:rFonts w:ascii="Times New Roman" w:eastAsia="MS Mincho" w:hAnsi="Times New Roman"/>
              <w:sz w:val="20"/>
              <w:iCs/>
            </w:rPr>
            <w:t>,
2023-04-13,
paskelbta TAR 2023-04-13, i. k. 2023-07142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41d0c005f011ee9978886e85107ab2">
            <w:r w:rsidRPr="00532B9F">
              <w:rPr>
                <w:rFonts w:ascii="Times New Roman" w:eastAsia="MS Mincho" w:hAnsi="Times New Roman"/>
                <w:sz w:val="20"/>
                <w:iCs/>
                <w:color w:val="0000FF" w:themeColor="hyperlink"/>
                <w:u w:val="single"/>
              </w:rPr>
              <w:t>V-813</w:t>
            </w:r>
          </w:fldSimple>
          <w:r>
            <w:rPr>
              <w:rFonts w:ascii="Times New Roman" w:eastAsia="MS Mincho" w:hAnsi="Times New Roman"/>
              <w:sz w:val="20"/>
              <w:iCs/>
            </w:rPr>
            <w:t>,
2023-06-08,
paskelbta TAR 2023-06-08, i. k. 2023-11449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c31d40170011ee9f7ec2ffce8b47bc">
            <w:r w:rsidRPr="00532B9F">
              <w:rPr>
                <w:rFonts w:ascii="Times New Roman" w:eastAsia="MS Mincho" w:hAnsi="Times New Roman"/>
                <w:sz w:val="20"/>
                <w:iCs/>
                <w:color w:val="0000FF" w:themeColor="hyperlink"/>
                <w:u w:val="single"/>
              </w:rPr>
              <w:t>V-924</w:t>
            </w:r>
          </w:fldSimple>
          <w:r>
            <w:rPr>
              <w:rFonts w:ascii="Times New Roman" w:eastAsia="MS Mincho" w:hAnsi="Times New Roman"/>
              <w:sz w:val="20"/>
              <w:iCs/>
            </w:rPr>
            <w:t>,
2023-06-29,
paskelbta TAR 2023-06-30, i. k. 2023-13271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7a30b01fb811eeb233e8b04dc9bb3d">
            <w:r w:rsidRPr="00532B9F">
              <w:rPr>
                <w:rFonts w:ascii="Times New Roman" w:eastAsia="MS Mincho" w:hAnsi="Times New Roman"/>
                <w:sz w:val="20"/>
                <w:iCs/>
                <w:color w:val="0000FF" w:themeColor="hyperlink"/>
                <w:u w:val="single"/>
              </w:rPr>
              <w:t>V-958</w:t>
            </w:r>
          </w:fldSimple>
          <w:r>
            <w:rPr>
              <w:rFonts w:ascii="Times New Roman" w:eastAsia="MS Mincho" w:hAnsi="Times New Roman"/>
              <w:sz w:val="20"/>
              <w:iCs/>
            </w:rPr>
            <w:t>,
2023-07-11,
paskelbta TAR 2023-07-11, i. k. 2023-14340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d5bbc035aa11ee9de9e7e0fd363afc">
            <w:r w:rsidRPr="00532B9F">
              <w:rPr>
                <w:rFonts w:ascii="Times New Roman" w:eastAsia="MS Mincho" w:hAnsi="Times New Roman"/>
                <w:sz w:val="20"/>
                <w:iCs/>
                <w:color w:val="0000FF" w:themeColor="hyperlink"/>
                <w:u w:val="single"/>
              </w:rPr>
              <w:t>V-1049</w:t>
            </w:r>
          </w:fldSimple>
          <w:r>
            <w:rPr>
              <w:rFonts w:ascii="Times New Roman" w:eastAsia="MS Mincho" w:hAnsi="Times New Roman"/>
              <w:sz w:val="20"/>
              <w:iCs/>
            </w:rPr>
            <w:t>,
2023-08-08,
paskelbta TAR 2023-08-08, i. k. 2023-15963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0fc670381511ee9de9e7e0fd363afc">
            <w:r w:rsidRPr="00532B9F">
              <w:rPr>
                <w:rFonts w:ascii="Times New Roman" w:eastAsia="MS Mincho" w:hAnsi="Times New Roman"/>
                <w:sz w:val="20"/>
                <w:iCs/>
                <w:color w:val="0000FF" w:themeColor="hyperlink"/>
                <w:u w:val="single"/>
              </w:rPr>
              <w:t>V-1057</w:t>
            </w:r>
          </w:fldSimple>
          <w:r>
            <w:rPr>
              <w:rFonts w:ascii="Times New Roman" w:eastAsia="MS Mincho" w:hAnsi="Times New Roman"/>
              <w:sz w:val="20"/>
              <w:iCs/>
            </w:rPr>
            <w:t>,
2023-08-11,
paskelbta TAR 2023-08-11, i. k. 2023-16147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2f3a0047ec11ee9de9e7e0fd363afc">
            <w:r w:rsidRPr="00532B9F">
              <w:rPr>
                <w:rFonts w:ascii="Times New Roman" w:eastAsia="MS Mincho" w:hAnsi="Times New Roman"/>
                <w:sz w:val="20"/>
                <w:iCs/>
                <w:color w:val="0000FF" w:themeColor="hyperlink"/>
                <w:u w:val="single"/>
              </w:rPr>
              <w:t>V-1122</w:t>
            </w:r>
          </w:fldSimple>
          <w:r>
            <w:rPr>
              <w:rFonts w:ascii="Times New Roman" w:eastAsia="MS Mincho" w:hAnsi="Times New Roman"/>
              <w:sz w:val="20"/>
              <w:iCs/>
            </w:rPr>
            <w:t>,
2023-08-31,
paskelbta TAR 2023-08-31, i. k. 2023-17185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e892704baa11ee9de9e7e0fd363afc">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2023-09-05,
paskelbta TAR 2023-09-05, i. k. 2023-17504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27856109b4811eea5a28c81c82193a8">
            <w:r w:rsidRPr="00532B9F">
              <w:rPr>
                <w:rFonts w:ascii="Times New Roman" w:eastAsia="MS Mincho" w:hAnsi="Times New Roman"/>
                <w:sz w:val="20"/>
                <w:iCs/>
                <w:color w:val="0000FF" w:themeColor="hyperlink"/>
                <w:u w:val="single"/>
              </w:rPr>
              <w:t>V-1571</w:t>
            </w:r>
          </w:fldSimple>
          <w:r>
            <w:rPr>
              <w:rFonts w:ascii="Times New Roman" w:eastAsia="MS Mincho" w:hAnsi="Times New Roman"/>
              <w:sz w:val="20"/>
              <w:iCs/>
            </w:rPr>
            <w:t>,
2023-12-15,
paskelbta TAR 2023-12-15, i. k. 2023-24331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a2abf09f4411eea5a28c81c82193a8">
            <w:r w:rsidRPr="00532B9F">
              <w:rPr>
                <w:rFonts w:ascii="Times New Roman" w:eastAsia="MS Mincho" w:hAnsi="Times New Roman"/>
                <w:sz w:val="20"/>
                <w:iCs/>
                <w:color w:val="0000FF" w:themeColor="hyperlink"/>
                <w:u w:val="single"/>
              </w:rPr>
              <w:t>V-1586</w:t>
            </w:r>
          </w:fldSimple>
          <w:r>
            <w:rPr>
              <w:rFonts w:ascii="Times New Roman" w:eastAsia="MS Mincho" w:hAnsi="Times New Roman"/>
              <w:sz w:val="20"/>
              <w:iCs/>
            </w:rPr>
            <w:t>,
2023-12-20,
paskelbta TAR 2023-12-20, i. k. 2023-24718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3da950c64711eea5a28c81c82193a8">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2024-02-08,
paskelbta TAR 2024-02-08, i. k. 2024-02331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747970e29011eead77e967e3995264">
            <w:r w:rsidRPr="00532B9F">
              <w:rPr>
                <w:rFonts w:ascii="Times New Roman" w:eastAsia="MS Mincho" w:hAnsi="Times New Roman"/>
                <w:sz w:val="20"/>
                <w:iCs/>
                <w:color w:val="0000FF" w:themeColor="hyperlink"/>
                <w:u w:val="single"/>
              </w:rPr>
              <w:t>V-299</w:t>
            </w:r>
          </w:fldSimple>
          <w:r>
            <w:rPr>
              <w:rFonts w:ascii="Times New Roman" w:eastAsia="MS Mincho" w:hAnsi="Times New Roman"/>
              <w:sz w:val="20"/>
              <w:iCs/>
            </w:rPr>
            <w:t>,
2024-03-15,
paskelbta TAR 2024-03-15, i. k. 2024-04729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61d9ee006b011efbcbfb318996800a8">
            <w:r w:rsidRPr="00532B9F">
              <w:rPr>
                <w:rFonts w:ascii="Times New Roman" w:eastAsia="MS Mincho" w:hAnsi="Times New Roman"/>
                <w:sz w:val="20"/>
                <w:iCs/>
                <w:color w:val="0000FF" w:themeColor="hyperlink"/>
                <w:u w:val="single"/>
              </w:rPr>
              <w:t>V-477</w:t>
            </w:r>
          </w:fldSimple>
          <w:r>
            <w:rPr>
              <w:rFonts w:ascii="Times New Roman" w:eastAsia="MS Mincho" w:hAnsi="Times New Roman"/>
              <w:sz w:val="20"/>
              <w:iCs/>
            </w:rPr>
            <w:t>,
2024-04-30,
paskelbta TAR 2024-04-30, i. k. 2024-08000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d866a042cb11efbdaea558de59136c">
            <w:r w:rsidRPr="00532B9F">
              <w:rPr>
                <w:rFonts w:ascii="Times New Roman" w:eastAsia="MS Mincho" w:hAnsi="Times New Roman"/>
                <w:sz w:val="20"/>
                <w:iCs/>
                <w:color w:val="0000FF" w:themeColor="hyperlink"/>
                <w:u w:val="single"/>
              </w:rPr>
              <w:t>V-775</w:t>
            </w:r>
          </w:fldSimple>
          <w:r>
            <w:rPr>
              <w:rFonts w:ascii="Times New Roman" w:eastAsia="MS Mincho" w:hAnsi="Times New Roman"/>
              <w:sz w:val="20"/>
              <w:iCs/>
            </w:rPr>
            <w:t>,
2024-07-15,
paskelbta TAR 2024-07-16, i. k. 2024-13084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12d360443411efbdaea558de59136c">
            <w:r w:rsidRPr="00532B9F">
              <w:rPr>
                <w:rFonts w:ascii="Times New Roman" w:eastAsia="MS Mincho" w:hAnsi="Times New Roman"/>
                <w:sz w:val="20"/>
                <w:iCs/>
                <w:color w:val="0000FF" w:themeColor="hyperlink"/>
                <w:u w:val="single"/>
              </w:rPr>
              <w:t>V-778</w:t>
            </w:r>
          </w:fldSimple>
          <w:r>
            <w:rPr>
              <w:rFonts w:ascii="Times New Roman" w:eastAsia="MS Mincho" w:hAnsi="Times New Roman"/>
              <w:sz w:val="20"/>
              <w:iCs/>
            </w:rPr>
            <w:t>,
2024-07-17,
paskelbta TAR 2024-07-17, i. k. 2024-13166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d11a04b0e11efbdaea558de59136c">
            <w:r w:rsidRPr="00532B9F">
              <w:rPr>
                <w:rFonts w:ascii="Times New Roman" w:eastAsia="MS Mincho" w:hAnsi="Times New Roman"/>
                <w:sz w:val="20"/>
                <w:iCs/>
                <w:color w:val="0000FF" w:themeColor="hyperlink"/>
                <w:u w:val="single"/>
              </w:rPr>
              <w:t>V-832</w:t>
            </w:r>
          </w:fldSimple>
          <w:r>
            <w:rPr>
              <w:rFonts w:ascii="Times New Roman" w:eastAsia="MS Mincho" w:hAnsi="Times New Roman"/>
              <w:sz w:val="20"/>
              <w:iCs/>
            </w:rPr>
            <w:t>,
2024-07-26,
paskelbta TAR 2024-07-26, i. k. 2024-13706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ed02a0564d11efbdaea558de59136c">
            <w:r w:rsidRPr="00532B9F">
              <w:rPr>
                <w:rFonts w:ascii="Times New Roman" w:eastAsia="MS Mincho" w:hAnsi="Times New Roman"/>
                <w:sz w:val="20"/>
                <w:iCs/>
                <w:color w:val="0000FF" w:themeColor="hyperlink"/>
                <w:u w:val="single"/>
              </w:rPr>
              <w:t>V-850</w:t>
            </w:r>
          </w:fldSimple>
          <w:r>
            <w:rPr>
              <w:rFonts w:ascii="Times New Roman" w:eastAsia="MS Mincho" w:hAnsi="Times New Roman"/>
              <w:sz w:val="20"/>
              <w:iCs/>
            </w:rPr>
            <w:t>,
2024-08-09,
paskelbta TAR 2024-08-09, i. k. 2024-14397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ea0400648311efafbb8694c098bac5">
            <w:r w:rsidRPr="00532B9F">
              <w:rPr>
                <w:rFonts w:ascii="Times New Roman" w:eastAsia="MS Mincho" w:hAnsi="Times New Roman"/>
                <w:sz w:val="20"/>
                <w:iCs/>
                <w:color w:val="0000FF" w:themeColor="hyperlink"/>
                <w:u w:val="single"/>
              </w:rPr>
              <w:t>V-914</w:t>
            </w:r>
          </w:fldSimple>
          <w:r>
            <w:rPr>
              <w:rFonts w:ascii="Times New Roman" w:eastAsia="MS Mincho" w:hAnsi="Times New Roman"/>
              <w:sz w:val="20"/>
              <w:iCs/>
            </w:rPr>
            <w:t>,
2024-08-27,
paskelbta TAR 2024-08-27, i. k. 2024-14915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4773967b4411efabdbb4a1fc8b0b63">
            <w:r w:rsidRPr="00532B9F">
              <w:rPr>
                <w:rFonts w:ascii="Times New Roman" w:eastAsia="MS Mincho" w:hAnsi="Times New Roman"/>
                <w:sz w:val="20"/>
                <w:iCs/>
                <w:color w:val="0000FF" w:themeColor="hyperlink"/>
                <w:u w:val="single"/>
              </w:rPr>
              <w:t>V-1073</w:t>
            </w:r>
          </w:fldSimple>
          <w:r>
            <w:rPr>
              <w:rFonts w:ascii="Times New Roman" w:eastAsia="MS Mincho" w:hAnsi="Times New Roman"/>
              <w:sz w:val="20"/>
              <w:iCs/>
            </w:rPr>
            <w:t>,
2024-09-25,
paskelbta TAR 2024-09-25, i. k. 2024-16673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2aca668d2911ef92b19bb92dd76d17">
            <w:r w:rsidRPr="00532B9F">
              <w:rPr>
                <w:rFonts w:ascii="Times New Roman" w:eastAsia="MS Mincho" w:hAnsi="Times New Roman"/>
                <w:sz w:val="20"/>
                <w:iCs/>
                <w:color w:val="0000FF" w:themeColor="hyperlink"/>
                <w:u w:val="single"/>
              </w:rPr>
              <w:t>V-1173</w:t>
            </w:r>
          </w:fldSimple>
          <w:r>
            <w:rPr>
              <w:rFonts w:ascii="Times New Roman" w:eastAsia="MS Mincho" w:hAnsi="Times New Roman"/>
              <w:sz w:val="20"/>
              <w:iCs/>
            </w:rPr>
            <w:t>,
2024-10-18,
paskelbta TAR 2024-10-18, i. k. 2024-18172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755a6a0b22d11ef88c08519262548c4">
            <w:r w:rsidRPr="00532B9F">
              <w:rPr>
                <w:rFonts w:ascii="Times New Roman" w:eastAsia="MS Mincho" w:hAnsi="Times New Roman"/>
                <w:sz w:val="20"/>
                <w:iCs/>
                <w:color w:val="0000FF" w:themeColor="hyperlink"/>
                <w:u w:val="single"/>
              </w:rPr>
              <w:t>V-1378</w:t>
            </w:r>
          </w:fldSimple>
          <w:r>
            <w:rPr>
              <w:rFonts w:ascii="Times New Roman" w:eastAsia="MS Mincho" w:hAnsi="Times New Roman"/>
              <w:sz w:val="20"/>
              <w:iCs/>
            </w:rPr>
            <w:t>,
2024-12-04,
paskelbta TAR 2024-12-04, i. k. 2024-21452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6b1644b3db11ef88c08519262548c4">
            <w:r w:rsidRPr="00532B9F">
              <w:rPr>
                <w:rFonts w:ascii="Times New Roman" w:eastAsia="MS Mincho" w:hAnsi="Times New Roman"/>
                <w:sz w:val="20"/>
                <w:iCs/>
                <w:color w:val="0000FF" w:themeColor="hyperlink"/>
                <w:u w:val="single"/>
              </w:rPr>
              <w:t>V-1389</w:t>
            </w:r>
          </w:fldSimple>
          <w:r>
            <w:rPr>
              <w:rFonts w:ascii="Times New Roman" w:eastAsia="MS Mincho" w:hAnsi="Times New Roman"/>
              <w:sz w:val="20"/>
              <w:iCs/>
            </w:rPr>
            <w:t>,
2024-12-06,
paskelbta TAR 2024-12-06, i. k. 2024-21694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284b16d49d11efa5ddd96c482819f5">
            <w:r w:rsidRPr="00532B9F">
              <w:rPr>
                <w:rFonts w:ascii="Times New Roman" w:eastAsia="MS Mincho" w:hAnsi="Times New Roman"/>
                <w:sz w:val="20"/>
                <w:iCs/>
                <w:color w:val="0000FF" w:themeColor="hyperlink"/>
                <w:u w:val="single"/>
              </w:rPr>
              <w:t>V-51</w:t>
            </w:r>
          </w:fldSimple>
          <w:r>
            <w:rPr>
              <w:rFonts w:ascii="Times New Roman" w:eastAsia="MS Mincho" w:hAnsi="Times New Roman"/>
              <w:sz w:val="20"/>
              <w:iCs/>
            </w:rPr>
            <w:t>,
2025-01-17,
paskelbta TAR 2025-01-17, i. k. 2025-00533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157403d7bb11efa5ddd96c482819f5">
            <w:r w:rsidRPr="00532B9F">
              <w:rPr>
                <w:rFonts w:ascii="Times New Roman" w:eastAsia="MS Mincho" w:hAnsi="Times New Roman"/>
                <w:sz w:val="20"/>
                <w:iCs/>
                <w:color w:val="0000FF" w:themeColor="hyperlink"/>
                <w:u w:val="single"/>
              </w:rPr>
              <w:t>V-60</w:t>
            </w:r>
          </w:fldSimple>
          <w:r>
            <w:rPr>
              <w:rFonts w:ascii="Times New Roman" w:eastAsia="MS Mincho" w:hAnsi="Times New Roman"/>
              <w:sz w:val="20"/>
              <w:iCs/>
            </w:rPr>
            <w:t>,
2025-01-21,
paskelbta TAR 2025-01-21, i. k. 2025-00665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b7afce6df9811ef84c3a3cb4f439b27">
            <w:r w:rsidRPr="00532B9F">
              <w:rPr>
                <w:rFonts w:ascii="Times New Roman" w:eastAsia="MS Mincho" w:hAnsi="Times New Roman"/>
                <w:sz w:val="20"/>
                <w:iCs/>
                <w:color w:val="0000FF" w:themeColor="hyperlink"/>
                <w:u w:val="single"/>
              </w:rPr>
              <w:t>V-120</w:t>
            </w:r>
          </w:fldSimple>
          <w:r>
            <w:rPr>
              <w:rFonts w:ascii="Times New Roman" w:eastAsia="MS Mincho" w:hAnsi="Times New Roman"/>
              <w:sz w:val="20"/>
              <w:iCs/>
            </w:rPr>
            <w:t>,
2025-01-31,
paskelbta TAR 2025-01-31, i. k. 2025-01394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2b9c30087311f08e9f87c0d053bf09">
            <w:r w:rsidRPr="00532B9F">
              <w:rPr>
                <w:rFonts w:ascii="Times New Roman" w:eastAsia="MS Mincho" w:hAnsi="Times New Roman"/>
                <w:sz w:val="20"/>
                <w:iCs/>
                <w:color w:val="0000FF" w:themeColor="hyperlink"/>
                <w:u w:val="single"/>
              </w:rPr>
              <w:t>V-325</w:t>
            </w:r>
          </w:fldSimple>
          <w:r>
            <w:rPr>
              <w:rFonts w:ascii="Times New Roman" w:eastAsia="MS Mincho" w:hAnsi="Times New Roman"/>
              <w:sz w:val="20"/>
              <w:iCs/>
            </w:rPr>
            <w:t>,
2025-03-24,
paskelbta TAR 2025-03-24, i. k. 2025-04757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ff31b40c0b11f08e9f87c0d053bf09">
            <w:r w:rsidRPr="00532B9F">
              <w:rPr>
                <w:rFonts w:ascii="Times New Roman" w:eastAsia="MS Mincho" w:hAnsi="Times New Roman"/>
                <w:sz w:val="20"/>
                <w:iCs/>
                <w:color w:val="0000FF" w:themeColor="hyperlink"/>
                <w:u w:val="single"/>
              </w:rPr>
              <w:t>V-360</w:t>
            </w:r>
          </w:fldSimple>
          <w:r>
            <w:rPr>
              <w:rFonts w:ascii="Times New Roman" w:eastAsia="MS Mincho" w:hAnsi="Times New Roman"/>
              <w:sz w:val="20"/>
              <w:iCs/>
            </w:rPr>
            <w:t>,
2025-03-28,
paskelbta TAR 2025-03-31, i. k. 2025-05451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d99308414fc11f08fdabd4950271e2c">
            <w:r w:rsidRPr="00532B9F">
              <w:rPr>
                <w:rFonts w:ascii="Times New Roman" w:eastAsia="MS Mincho" w:hAnsi="Times New Roman"/>
                <w:sz w:val="20"/>
                <w:iCs/>
                <w:color w:val="0000FF" w:themeColor="hyperlink"/>
                <w:u w:val="single"/>
              </w:rPr>
              <w:t>V-390</w:t>
            </w:r>
          </w:fldSimple>
          <w:r>
            <w:rPr>
              <w:rFonts w:ascii="Times New Roman" w:eastAsia="MS Mincho" w:hAnsi="Times New Roman"/>
              <w:sz w:val="20"/>
              <w:iCs/>
            </w:rPr>
            <w:t>,
2025-04-09,
paskelbta TAR 2025-04-09, i. k. 2025-06209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56265120ef11f08fdabd4950271e2c">
            <w:r w:rsidRPr="00532B9F">
              <w:rPr>
                <w:rFonts w:ascii="Times New Roman" w:eastAsia="MS Mincho" w:hAnsi="Times New Roman"/>
                <w:sz w:val="20"/>
                <w:iCs/>
                <w:color w:val="0000FF" w:themeColor="hyperlink"/>
                <w:u w:val="single"/>
              </w:rPr>
              <w:t>V-461</w:t>
            </w:r>
          </w:fldSimple>
          <w:r>
            <w:rPr>
              <w:rFonts w:ascii="Times New Roman" w:eastAsia="MS Mincho" w:hAnsi="Times New Roman"/>
              <w:sz w:val="20"/>
              <w:iCs/>
            </w:rPr>
            <w:t>,
2025-04-24,
paskelbta TAR 2025-04-24, i. k. 2025-07167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b602312eea11f08fdabd4950271e2c">
            <w:r w:rsidRPr="00532B9F">
              <w:rPr>
                <w:rFonts w:ascii="Times New Roman" w:eastAsia="MS Mincho" w:hAnsi="Times New Roman"/>
                <w:sz w:val="20"/>
                <w:iCs/>
                <w:color w:val="0000FF" w:themeColor="hyperlink"/>
                <w:u w:val="single"/>
              </w:rPr>
              <w:t>V-512</w:t>
            </w:r>
          </w:fldSimple>
          <w:r>
            <w:rPr>
              <w:rFonts w:ascii="Times New Roman" w:eastAsia="MS Mincho" w:hAnsi="Times New Roman"/>
              <w:sz w:val="20"/>
              <w:iCs/>
            </w:rPr>
            <w:t>,
2025-05-12,
paskelbta TAR 2025-05-12, i. k. 2025-08383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7788643a3211f0b070ee7f1ceefc75">
            <w:r w:rsidRPr="00532B9F">
              <w:rPr>
                <w:rFonts w:ascii="Times New Roman" w:eastAsia="MS Mincho" w:hAnsi="Times New Roman"/>
                <w:sz w:val="20"/>
                <w:iCs/>
                <w:color w:val="0000FF" w:themeColor="hyperlink"/>
                <w:u w:val="single"/>
              </w:rPr>
              <w:t>V-579</w:t>
            </w:r>
          </w:fldSimple>
          <w:r>
            <w:rPr>
              <w:rFonts w:ascii="Times New Roman" w:eastAsia="MS Mincho" w:hAnsi="Times New Roman"/>
              <w:sz w:val="20"/>
              <w:iCs/>
            </w:rPr>
            <w:t>,
2025-05-26,
paskelbta TAR 2025-05-26, i. k. 2025-09295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354dd63c7f11f0b070ee7f1ceefc75">
            <w:r w:rsidRPr="00532B9F">
              <w:rPr>
                <w:rFonts w:ascii="Times New Roman" w:eastAsia="MS Mincho" w:hAnsi="Times New Roman"/>
                <w:sz w:val="20"/>
                <w:iCs/>
                <w:color w:val="0000FF" w:themeColor="hyperlink"/>
                <w:u w:val="single"/>
              </w:rPr>
              <w:t>V-588</w:t>
            </w:r>
          </w:fldSimple>
          <w:r>
            <w:rPr>
              <w:rFonts w:ascii="Times New Roman" w:eastAsia="MS Mincho" w:hAnsi="Times New Roman"/>
              <w:sz w:val="20"/>
              <w:iCs/>
            </w:rPr>
            <w:t>,
2025-05-29,
paskelbta TAR 2025-05-29, i. k. 2025-09506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bb5a290403411f0b070ee7f1ceefc75">
            <w:r w:rsidRPr="00532B9F">
              <w:rPr>
                <w:rFonts w:ascii="Times New Roman" w:eastAsia="MS Mincho" w:hAnsi="Times New Roman"/>
                <w:sz w:val="20"/>
                <w:iCs/>
                <w:color w:val="0000FF" w:themeColor="hyperlink"/>
                <w:u w:val="single"/>
              </w:rPr>
              <w:t>V-605</w:t>
            </w:r>
          </w:fldSimple>
          <w:r>
            <w:rPr>
              <w:rFonts w:ascii="Times New Roman" w:eastAsia="MS Mincho" w:hAnsi="Times New Roman"/>
              <w:sz w:val="20"/>
              <w:iCs/>
            </w:rPr>
            <w:t>,
2025-06-03,
paskelbta TAR 2025-06-03, i. k. 2025-09929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024b44041ef11f0b070ee7f1ceefc75">
            <w:r w:rsidRPr="00532B9F">
              <w:rPr>
                <w:rFonts w:ascii="Times New Roman" w:eastAsia="MS Mincho" w:hAnsi="Times New Roman"/>
                <w:sz w:val="20"/>
                <w:iCs/>
                <w:color w:val="0000FF" w:themeColor="hyperlink"/>
                <w:u w:val="single"/>
              </w:rPr>
              <w:t>V-620</w:t>
            </w:r>
          </w:fldSimple>
          <w:r>
            <w:rPr>
              <w:rFonts w:ascii="Times New Roman" w:eastAsia="MS Mincho" w:hAnsi="Times New Roman"/>
              <w:sz w:val="20"/>
              <w:iCs/>
            </w:rPr>
            <w:t>,
2025-06-05,
paskelbta TAR 2025-06-05, i. k. 2025-10275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99c0e08e3311f0a8bbd1e98310677d">
            <w:r w:rsidRPr="00532B9F">
              <w:rPr>
                <w:rFonts w:ascii="Times New Roman" w:eastAsia="MS Mincho" w:hAnsi="Times New Roman"/>
                <w:sz w:val="20"/>
                <w:iCs/>
                <w:color w:val="0000FF" w:themeColor="hyperlink"/>
                <w:u w:val="single"/>
              </w:rPr>
              <w:t>V-934</w:t>
            </w:r>
          </w:fldSimple>
          <w:r>
            <w:rPr>
              <w:rFonts w:ascii="Times New Roman" w:eastAsia="MS Mincho" w:hAnsi="Times New Roman"/>
              <w:sz w:val="20"/>
              <w:iCs/>
            </w:rPr>
            <w:t>,
2025-09-10,
paskelbta TAR 2025-09-10, i. k. 2025-15226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7767ee09f7d11f0a34db2fbd35a03b2">
            <w:r w:rsidRPr="00532B9F">
              <w:rPr>
                <w:rFonts w:ascii="Times New Roman" w:eastAsia="MS Mincho" w:hAnsi="Times New Roman"/>
                <w:sz w:val="20"/>
                <w:iCs/>
                <w:color w:val="0000FF" w:themeColor="hyperlink"/>
                <w:u w:val="single"/>
              </w:rPr>
              <w:t>V-1020</w:t>
            </w:r>
          </w:fldSimple>
          <w:r>
            <w:rPr>
              <w:rFonts w:ascii="Times New Roman" w:eastAsia="MS Mincho" w:hAnsi="Times New Roman"/>
              <w:sz w:val="20"/>
              <w:iCs/>
            </w:rPr>
            <w:t>,
2025-10-02,
paskelbta TAR 2025-10-02, i. k. 2025-16638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88911a33911f0a34db2fbd35a03b2">
            <w:r w:rsidRPr="00532B9F">
              <w:rPr>
                <w:rFonts w:ascii="Times New Roman" w:eastAsia="MS Mincho" w:hAnsi="Times New Roman"/>
                <w:sz w:val="20"/>
                <w:iCs/>
                <w:color w:val="0000FF" w:themeColor="hyperlink"/>
                <w:u w:val="single"/>
              </w:rPr>
              <w:t>V-1032</w:t>
            </w:r>
          </w:fldSimple>
          <w:r>
            <w:rPr>
              <w:rFonts w:ascii="Times New Roman" w:eastAsia="MS Mincho" w:hAnsi="Times New Roman"/>
              <w:sz w:val="20"/>
              <w:iCs/>
            </w:rPr>
            <w:t>,
2025-10-07,
paskelbta TAR 2025-10-07, i. k. 2025-16857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337aa1a90411f0a34db2fbd35a03b2">
            <w:r w:rsidRPr="00532B9F">
              <w:rPr>
                <w:rFonts w:ascii="Times New Roman" w:eastAsia="MS Mincho" w:hAnsi="Times New Roman"/>
                <w:sz w:val="20"/>
                <w:iCs/>
                <w:color w:val="0000FF" w:themeColor="hyperlink"/>
                <w:u w:val="single"/>
              </w:rPr>
              <w:t>V-1051</w:t>
            </w:r>
          </w:fldSimple>
          <w:r>
            <w:rPr>
              <w:rFonts w:ascii="Times New Roman" w:eastAsia="MS Mincho" w:hAnsi="Times New Roman"/>
              <w:sz w:val="20"/>
              <w:iCs/>
            </w:rPr>
            <w:t>,
2025-10-14,
paskelbta TAR 2025-10-14, i. k. 2025-17141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2f7700d9b411f08918e1adc7c5b1ec">
            <w:r w:rsidRPr="00532B9F">
              <w:rPr>
                <w:rFonts w:ascii="Times New Roman" w:eastAsia="MS Mincho" w:hAnsi="Times New Roman"/>
                <w:sz w:val="20"/>
                <w:iCs/>
                <w:color w:val="0000FF" w:themeColor="hyperlink"/>
                <w:u w:val="single"/>
              </w:rPr>
              <w:t>V-1253</w:t>
            </w:r>
          </w:fldSimple>
          <w:r>
            <w:rPr>
              <w:rFonts w:ascii="Times New Roman" w:eastAsia="MS Mincho" w:hAnsi="Times New Roman"/>
              <w:sz w:val="20"/>
              <w:iCs/>
            </w:rPr>
            <w:t>,
2025-12-15,
paskelbta TAR 2025-12-15, i. k. 2025-21481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2a65436f85b11f0ac2aa76febda78c1">
            <w:r w:rsidRPr="00532B9F">
              <w:rPr>
                <w:rFonts w:ascii="Times New Roman" w:eastAsia="MS Mincho" w:hAnsi="Times New Roman"/>
                <w:sz w:val="20"/>
                <w:iCs/>
                <w:color w:val="0000FF" w:themeColor="hyperlink"/>
                <w:u w:val="single"/>
              </w:rPr>
              <w:t>V-59</w:t>
            </w:r>
          </w:fldSimple>
          <w:r>
            <w:rPr>
              <w:rFonts w:ascii="Times New Roman" w:eastAsia="MS Mincho" w:hAnsi="Times New Roman"/>
              <w:sz w:val="20"/>
              <w:iCs/>
            </w:rPr>
            <w:t>,
2026-01-23,
paskelbta TAR 2026-01-23, i. k. 2026-00955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9715a4235711f1a552c76556910e9c">
            <w:r w:rsidRPr="00532B9F">
              <w:rPr>
                <w:rFonts w:ascii="Times New Roman" w:eastAsia="MS Mincho" w:hAnsi="Times New Roman"/>
                <w:sz w:val="20"/>
                <w:iCs/>
                <w:color w:val="0000FF" w:themeColor="hyperlink"/>
                <w:u w:val="single"/>
              </w:rPr>
              <w:t>V-209</w:t>
            </w:r>
          </w:fldSimple>
          <w:r>
            <w:rPr>
              <w:rFonts w:ascii="Times New Roman" w:eastAsia="MS Mincho" w:hAnsi="Times New Roman"/>
              <w:sz w:val="20"/>
              <w:iCs/>
            </w:rPr>
            <w:t>,
2026-03-19,
paskelbta TAR 2026-03-19, i. k. 2026-04283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eedd542f4711f180c9c618618421ed">
            <w:r w:rsidRPr="00532B9F">
              <w:rPr>
                <w:rFonts w:ascii="Times New Roman" w:eastAsia="MS Mincho" w:hAnsi="Times New Roman"/>
                <w:sz w:val="20"/>
                <w:iCs/>
                <w:color w:val="0000FF" w:themeColor="hyperlink"/>
                <w:u w:val="single"/>
              </w:rPr>
              <w:t>V-254</w:t>
            </w:r>
          </w:fldSimple>
          <w:r>
            <w:rPr>
              <w:rFonts w:ascii="Times New Roman" w:eastAsia="MS Mincho" w:hAnsi="Times New Roman"/>
              <w:sz w:val="20"/>
              <w:iCs/>
            </w:rPr>
            <w:t>,
2026-04-03,
paskelbta TAR 2026-04-03, i. k. 2026-05577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701" w:bottom="567" w:left="1134" w:header="289"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HelveticaLT">
    <w:altName w:val="Times New Roman"/>
    <w:charset w:val="00"/>
    <w:family w:val="auto"/>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986"/>
        <w:tab w:val="right" w:pos="9972"/>
      </w:tabs>
      <w:rPr>
        <w:sz w:val="22"/>
        <w:szCs w:val="22"/>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33</w:t>
    </w:r>
    <w:r>
      <w:rPr>
        <w:sz w:val="22"/>
        <w:szCs w:val="22"/>
      </w:rPr>
      <w:fldChar w:fldCharType="end"/>
    </w:r>
  </w:p>
  <w:p>
    <w:pPr>
      <w:tabs>
        <w:tab w:val="center" w:pos="4986"/>
        <w:tab w:val="right" w:pos="9972"/>
      </w:tabs>
      <w:rPr>
        <w:sz w:val="22"/>
        <w:szCs w:val="22"/>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28</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766F5C43"/>
    <w:multiLevelType w:val="hybridMultilevel"/>
    <w:tmpl w:val="6BC4AFD4"/>
    <w:lvl w:ilvl="0" w:tplc="E6AE65F8">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5:docId w15:val="{A1389B4D-FD13-4EE3-A077-E8CA2A1AEEA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24759394">
      <w:bodyDiv w:val="1"/>
      <w:marLeft w:val="0"/>
      <w:marRight w:val="0"/>
      <w:marTop w:val="0"/>
      <w:marBottom w:val="0"/>
      <w:divBdr>
        <w:top w:val="none" w:sz="0" w:space="0" w:color="auto"/>
        <w:left w:val="none" w:sz="0" w:space="0" w:color="auto"/>
        <w:bottom w:val="none" w:sz="0" w:space="0" w:color="auto"/>
        <w:right w:val="none" w:sz="0" w:space="0" w:color="auto"/>
      </w:divBdr>
      <w:divsChild>
        <w:div w:id="1653094878">
          <w:marLeft w:val="0"/>
          <w:marRight w:val="0"/>
          <w:marTop w:val="0"/>
          <w:marBottom w:val="0"/>
          <w:divBdr>
            <w:top w:val="none" w:sz="0" w:space="0" w:color="auto"/>
            <w:left w:val="none" w:sz="0" w:space="0" w:color="auto"/>
            <w:bottom w:val="none" w:sz="0" w:space="0" w:color="auto"/>
            <w:right w:val="none" w:sz="0" w:space="0" w:color="auto"/>
          </w:divBdr>
          <w:divsChild>
            <w:div w:id="1392582941">
              <w:marLeft w:val="0"/>
              <w:marRight w:val="0"/>
              <w:marTop w:val="0"/>
              <w:marBottom w:val="0"/>
              <w:divBdr>
                <w:top w:val="none" w:sz="0" w:space="0" w:color="auto"/>
                <w:left w:val="none" w:sz="0" w:space="0" w:color="auto"/>
                <w:bottom w:val="none" w:sz="0" w:space="0" w:color="auto"/>
                <w:right w:val="none" w:sz="0" w:space="0" w:color="auto"/>
              </w:divBdr>
              <w:divsChild>
                <w:div w:id="2115203509">
                  <w:marLeft w:val="0"/>
                  <w:marRight w:val="0"/>
                  <w:marTop w:val="0"/>
                  <w:marBottom w:val="0"/>
                  <w:divBdr>
                    <w:top w:val="none" w:sz="0" w:space="0" w:color="auto"/>
                    <w:left w:val="none" w:sz="0" w:space="0" w:color="auto"/>
                    <w:bottom w:val="none" w:sz="0" w:space="0" w:color="auto"/>
                    <w:right w:val="none" w:sz="0" w:space="0" w:color="auto"/>
                  </w:divBdr>
                  <w:divsChild>
                    <w:div w:id="238174747">
                      <w:marLeft w:val="0"/>
                      <w:marRight w:val="0"/>
                      <w:marTop w:val="0"/>
                      <w:marBottom w:val="0"/>
                      <w:divBdr>
                        <w:top w:val="none" w:sz="0" w:space="0" w:color="auto"/>
                        <w:left w:val="none" w:sz="0" w:space="0" w:color="auto"/>
                        <w:bottom w:val="none" w:sz="0" w:space="0" w:color="auto"/>
                        <w:right w:val="none" w:sz="0" w:space="0" w:color="auto"/>
                      </w:divBdr>
                      <w:divsChild>
                        <w:div w:id="187376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62557828">
      <w:bodyDiv w:val="1"/>
      <w:marLeft w:val="0"/>
      <w:marRight w:val="0"/>
      <w:marTop w:val="0"/>
      <w:marBottom w:val="0"/>
      <w:divBdr>
        <w:top w:val="none" w:sz="0" w:space="0" w:color="auto"/>
        <w:left w:val="none" w:sz="0" w:space="0" w:color="auto"/>
        <w:bottom w:val="none" w:sz="0" w:space="0" w:color="auto"/>
        <w:right w:val="none" w:sz="0" w:space="0" w:color="auto"/>
      </w:divBdr>
      <w:divsChild>
        <w:div w:id="363333587">
          <w:marLeft w:val="0"/>
          <w:marRight w:val="0"/>
          <w:marTop w:val="0"/>
          <w:marBottom w:val="0"/>
          <w:divBdr>
            <w:top w:val="none" w:sz="0" w:space="0" w:color="auto"/>
            <w:left w:val="none" w:sz="0" w:space="0" w:color="auto"/>
            <w:bottom w:val="none" w:sz="0" w:space="0" w:color="auto"/>
            <w:right w:val="none" w:sz="0" w:space="0" w:color="auto"/>
          </w:divBdr>
          <w:divsChild>
            <w:div w:id="435567133">
              <w:marLeft w:val="0"/>
              <w:marRight w:val="0"/>
              <w:marTop w:val="0"/>
              <w:marBottom w:val="0"/>
              <w:divBdr>
                <w:top w:val="none" w:sz="0" w:space="0" w:color="auto"/>
                <w:left w:val="none" w:sz="0" w:space="0" w:color="auto"/>
                <w:bottom w:val="none" w:sz="0" w:space="0" w:color="auto"/>
                <w:right w:val="none" w:sz="0" w:space="0" w:color="auto"/>
              </w:divBdr>
              <w:divsChild>
                <w:div w:id="284191575">
                  <w:marLeft w:val="0"/>
                  <w:marRight w:val="0"/>
                  <w:marTop w:val="0"/>
                  <w:marBottom w:val="0"/>
                  <w:divBdr>
                    <w:top w:val="none" w:sz="0" w:space="0" w:color="auto"/>
                    <w:left w:val="none" w:sz="0" w:space="0" w:color="auto"/>
                    <w:bottom w:val="none" w:sz="0" w:space="0" w:color="auto"/>
                    <w:right w:val="none" w:sz="0" w:space="0" w:color="auto"/>
                  </w:divBdr>
                  <w:divsChild>
                    <w:div w:id="901251859">
                      <w:marLeft w:val="0"/>
                      <w:marRight w:val="0"/>
                      <w:marTop w:val="0"/>
                      <w:marBottom w:val="0"/>
                      <w:divBdr>
                        <w:top w:val="none" w:sz="0" w:space="0" w:color="auto"/>
                        <w:left w:val="none" w:sz="0" w:space="0" w:color="auto"/>
                        <w:bottom w:val="none" w:sz="0" w:space="0" w:color="auto"/>
                        <w:right w:val="none" w:sz="0" w:space="0" w:color="auto"/>
                      </w:divBdr>
                      <w:divsChild>
                        <w:div w:id="1448351312">
                          <w:marLeft w:val="0"/>
                          <w:marRight w:val="0"/>
                          <w:marTop w:val="0"/>
                          <w:marBottom w:val="0"/>
                          <w:divBdr>
                            <w:top w:val="none" w:sz="0" w:space="0" w:color="auto"/>
                            <w:left w:val="none" w:sz="0" w:space="0" w:color="auto"/>
                            <w:bottom w:val="none" w:sz="0" w:space="0" w:color="auto"/>
                            <w:right w:val="none" w:sz="0" w:space="0" w:color="auto"/>
                          </w:divBdr>
                        </w:div>
                        <w:div w:id="79526290">
                          <w:marLeft w:val="0"/>
                          <w:marRight w:val="0"/>
                          <w:marTop w:val="0"/>
                          <w:marBottom w:val="0"/>
                          <w:divBdr>
                            <w:top w:val="none" w:sz="0" w:space="0" w:color="auto"/>
                            <w:left w:val="none" w:sz="0" w:space="0" w:color="auto"/>
                            <w:bottom w:val="none" w:sz="0" w:space="0" w:color="auto"/>
                            <w:right w:val="none" w:sz="0" w:space="0" w:color="auto"/>
                          </w:divBdr>
                        </w:div>
                        <w:div w:id="2068801940">
                          <w:marLeft w:val="0"/>
                          <w:marRight w:val="0"/>
                          <w:marTop w:val="0"/>
                          <w:marBottom w:val="0"/>
                          <w:divBdr>
                            <w:top w:val="none" w:sz="0" w:space="0" w:color="auto"/>
                            <w:left w:val="none" w:sz="0" w:space="0" w:color="auto"/>
                            <w:bottom w:val="none" w:sz="0" w:space="0" w:color="auto"/>
                            <w:right w:val="none" w:sz="0" w:space="0" w:color="auto"/>
                          </w:divBdr>
                        </w:div>
                        <w:div w:id="2088722171">
                          <w:marLeft w:val="0"/>
                          <w:marRight w:val="0"/>
                          <w:marTop w:val="0"/>
                          <w:marBottom w:val="0"/>
                          <w:divBdr>
                            <w:top w:val="none" w:sz="0" w:space="0" w:color="auto"/>
                            <w:left w:val="none" w:sz="0" w:space="0" w:color="auto"/>
                            <w:bottom w:val="none" w:sz="0" w:space="0" w:color="auto"/>
                            <w:right w:val="none" w:sz="0" w:space="0" w:color="auto"/>
                          </w:divBdr>
                        </w:div>
                        <w:div w:id="1852642544">
                          <w:marLeft w:val="0"/>
                          <w:marRight w:val="0"/>
                          <w:marTop w:val="0"/>
                          <w:marBottom w:val="0"/>
                          <w:divBdr>
                            <w:top w:val="none" w:sz="0" w:space="0" w:color="auto"/>
                            <w:left w:val="none" w:sz="0" w:space="0" w:color="auto"/>
                            <w:bottom w:val="none" w:sz="0" w:space="0" w:color="auto"/>
                            <w:right w:val="none" w:sz="0" w:space="0" w:color="auto"/>
                          </w:divBdr>
                        </w:div>
                        <w:div w:id="983244413">
                          <w:marLeft w:val="0"/>
                          <w:marRight w:val="0"/>
                          <w:marTop w:val="0"/>
                          <w:marBottom w:val="0"/>
                          <w:divBdr>
                            <w:top w:val="none" w:sz="0" w:space="0" w:color="auto"/>
                            <w:left w:val="none" w:sz="0" w:space="0" w:color="auto"/>
                            <w:bottom w:val="none" w:sz="0" w:space="0" w:color="auto"/>
                            <w:right w:val="none" w:sz="0" w:space="0" w:color="auto"/>
                          </w:divBdr>
                        </w:div>
                        <w:div w:id="578950167">
                          <w:marLeft w:val="0"/>
                          <w:marRight w:val="0"/>
                          <w:marTop w:val="0"/>
                          <w:marBottom w:val="0"/>
                          <w:divBdr>
                            <w:top w:val="none" w:sz="0" w:space="0" w:color="auto"/>
                            <w:left w:val="none" w:sz="0" w:space="0" w:color="auto"/>
                            <w:bottom w:val="none" w:sz="0" w:space="0" w:color="auto"/>
                            <w:right w:val="none" w:sz="0" w:space="0" w:color="auto"/>
                          </w:divBdr>
                        </w:div>
                        <w:div w:id="1214194878">
                          <w:marLeft w:val="0"/>
                          <w:marRight w:val="0"/>
                          <w:marTop w:val="0"/>
                          <w:marBottom w:val="0"/>
                          <w:divBdr>
                            <w:top w:val="none" w:sz="0" w:space="0" w:color="auto"/>
                            <w:left w:val="none" w:sz="0" w:space="0" w:color="auto"/>
                            <w:bottom w:val="none" w:sz="0" w:space="0" w:color="auto"/>
                            <w:right w:val="none" w:sz="0" w:space="0" w:color="auto"/>
                          </w:divBdr>
                        </w:div>
                        <w:div w:id="779956218">
                          <w:marLeft w:val="0"/>
                          <w:marRight w:val="0"/>
                          <w:marTop w:val="0"/>
                          <w:marBottom w:val="0"/>
                          <w:divBdr>
                            <w:top w:val="none" w:sz="0" w:space="0" w:color="auto"/>
                            <w:left w:val="none" w:sz="0" w:space="0" w:color="auto"/>
                            <w:bottom w:val="none" w:sz="0" w:space="0" w:color="auto"/>
                            <w:right w:val="none" w:sz="0" w:space="0" w:color="auto"/>
                          </w:divBdr>
                        </w:div>
                        <w:div w:id="413091097">
                          <w:marLeft w:val="0"/>
                          <w:marRight w:val="0"/>
                          <w:marTop w:val="0"/>
                          <w:marBottom w:val="0"/>
                          <w:divBdr>
                            <w:top w:val="none" w:sz="0" w:space="0" w:color="auto"/>
                            <w:left w:val="none" w:sz="0" w:space="0" w:color="auto"/>
                            <w:bottom w:val="none" w:sz="0" w:space="0" w:color="auto"/>
                            <w:right w:val="none" w:sz="0" w:space="0" w:color="auto"/>
                          </w:divBdr>
                        </w:div>
                      </w:divsChild>
                    </w:div>
                    <w:div w:id="539779945">
                      <w:marLeft w:val="0"/>
                      <w:marRight w:val="0"/>
                      <w:marTop w:val="0"/>
                      <w:marBottom w:val="0"/>
                      <w:divBdr>
                        <w:top w:val="none" w:sz="0" w:space="0" w:color="auto"/>
                        <w:left w:val="none" w:sz="0" w:space="0" w:color="auto"/>
                        <w:bottom w:val="none" w:sz="0" w:space="0" w:color="auto"/>
                        <w:right w:val="none" w:sz="0" w:space="0" w:color="auto"/>
                      </w:divBdr>
                      <w:divsChild>
                        <w:div w:id="2094620887">
                          <w:marLeft w:val="0"/>
                          <w:marRight w:val="0"/>
                          <w:marTop w:val="0"/>
                          <w:marBottom w:val="0"/>
                          <w:divBdr>
                            <w:top w:val="none" w:sz="0" w:space="0" w:color="auto"/>
                            <w:left w:val="none" w:sz="0" w:space="0" w:color="auto"/>
                            <w:bottom w:val="none" w:sz="0" w:space="0" w:color="auto"/>
                            <w:right w:val="none" w:sz="0" w:space="0" w:color="auto"/>
                          </w:divBdr>
                        </w:div>
                        <w:div w:id="1211765569">
                          <w:marLeft w:val="0"/>
                          <w:marRight w:val="0"/>
                          <w:marTop w:val="0"/>
                          <w:marBottom w:val="0"/>
                          <w:divBdr>
                            <w:top w:val="none" w:sz="0" w:space="0" w:color="auto"/>
                            <w:left w:val="none" w:sz="0" w:space="0" w:color="auto"/>
                            <w:bottom w:val="none" w:sz="0" w:space="0" w:color="auto"/>
                            <w:right w:val="none" w:sz="0" w:space="0" w:color="auto"/>
                          </w:divBdr>
                        </w:div>
                        <w:div w:id="549071814">
                          <w:marLeft w:val="0"/>
                          <w:marRight w:val="0"/>
                          <w:marTop w:val="0"/>
                          <w:marBottom w:val="0"/>
                          <w:divBdr>
                            <w:top w:val="none" w:sz="0" w:space="0" w:color="auto"/>
                            <w:left w:val="none" w:sz="0" w:space="0" w:color="auto"/>
                            <w:bottom w:val="none" w:sz="0" w:space="0" w:color="auto"/>
                            <w:right w:val="none" w:sz="0" w:space="0" w:color="auto"/>
                          </w:divBdr>
                        </w:div>
                        <w:div w:id="1372458795">
                          <w:marLeft w:val="0"/>
                          <w:marRight w:val="0"/>
                          <w:marTop w:val="0"/>
                          <w:marBottom w:val="0"/>
                          <w:divBdr>
                            <w:top w:val="none" w:sz="0" w:space="0" w:color="auto"/>
                            <w:left w:val="none" w:sz="0" w:space="0" w:color="auto"/>
                            <w:bottom w:val="none" w:sz="0" w:space="0" w:color="auto"/>
                            <w:right w:val="none" w:sz="0" w:space="0" w:color="auto"/>
                          </w:divBdr>
                        </w:div>
                        <w:div w:id="37240708">
                          <w:marLeft w:val="0"/>
                          <w:marRight w:val="0"/>
                          <w:marTop w:val="0"/>
                          <w:marBottom w:val="0"/>
                          <w:divBdr>
                            <w:top w:val="none" w:sz="0" w:space="0" w:color="auto"/>
                            <w:left w:val="none" w:sz="0" w:space="0" w:color="auto"/>
                            <w:bottom w:val="none" w:sz="0" w:space="0" w:color="auto"/>
                            <w:right w:val="none" w:sz="0" w:space="0" w:color="auto"/>
                          </w:divBdr>
                        </w:div>
                        <w:div w:id="1327904553">
                          <w:marLeft w:val="0"/>
                          <w:marRight w:val="0"/>
                          <w:marTop w:val="0"/>
                          <w:marBottom w:val="0"/>
                          <w:divBdr>
                            <w:top w:val="none" w:sz="0" w:space="0" w:color="auto"/>
                            <w:left w:val="none" w:sz="0" w:space="0" w:color="auto"/>
                            <w:bottom w:val="none" w:sz="0" w:space="0" w:color="auto"/>
                            <w:right w:val="none" w:sz="0" w:space="0" w:color="auto"/>
                          </w:divBdr>
                        </w:div>
                        <w:div w:id="769814829">
                          <w:marLeft w:val="0"/>
                          <w:marRight w:val="0"/>
                          <w:marTop w:val="0"/>
                          <w:marBottom w:val="0"/>
                          <w:divBdr>
                            <w:top w:val="none" w:sz="0" w:space="0" w:color="auto"/>
                            <w:left w:val="none" w:sz="0" w:space="0" w:color="auto"/>
                            <w:bottom w:val="none" w:sz="0" w:space="0" w:color="auto"/>
                            <w:right w:val="none" w:sz="0" w:space="0" w:color="auto"/>
                          </w:divBdr>
                        </w:div>
                        <w:div w:id="98450900">
                          <w:marLeft w:val="0"/>
                          <w:marRight w:val="0"/>
                          <w:marTop w:val="0"/>
                          <w:marBottom w:val="0"/>
                          <w:divBdr>
                            <w:top w:val="none" w:sz="0" w:space="0" w:color="auto"/>
                            <w:left w:val="none" w:sz="0" w:space="0" w:color="auto"/>
                            <w:bottom w:val="none" w:sz="0" w:space="0" w:color="auto"/>
                            <w:right w:val="none" w:sz="0" w:space="0" w:color="auto"/>
                          </w:divBdr>
                        </w:div>
                        <w:div w:id="171073858">
                          <w:marLeft w:val="0"/>
                          <w:marRight w:val="0"/>
                          <w:marTop w:val="0"/>
                          <w:marBottom w:val="0"/>
                          <w:divBdr>
                            <w:top w:val="none" w:sz="0" w:space="0" w:color="auto"/>
                            <w:left w:val="none" w:sz="0" w:space="0" w:color="auto"/>
                            <w:bottom w:val="none" w:sz="0" w:space="0" w:color="auto"/>
                            <w:right w:val="none" w:sz="0" w:space="0" w:color="auto"/>
                          </w:divBdr>
                        </w:div>
                        <w:div w:id="1144543935">
                          <w:marLeft w:val="0"/>
                          <w:marRight w:val="0"/>
                          <w:marTop w:val="0"/>
                          <w:marBottom w:val="0"/>
                          <w:divBdr>
                            <w:top w:val="none" w:sz="0" w:space="0" w:color="auto"/>
                            <w:left w:val="none" w:sz="0" w:space="0" w:color="auto"/>
                            <w:bottom w:val="none" w:sz="0" w:space="0" w:color="auto"/>
                            <w:right w:val="none" w:sz="0" w:space="0" w:color="auto"/>
                          </w:divBdr>
                        </w:div>
                        <w:div w:id="2015645234">
                          <w:marLeft w:val="0"/>
                          <w:marRight w:val="0"/>
                          <w:marTop w:val="0"/>
                          <w:marBottom w:val="0"/>
                          <w:divBdr>
                            <w:top w:val="none" w:sz="0" w:space="0" w:color="auto"/>
                            <w:left w:val="none" w:sz="0" w:space="0" w:color="auto"/>
                            <w:bottom w:val="none" w:sz="0" w:space="0" w:color="auto"/>
                            <w:right w:val="none" w:sz="0" w:space="0" w:color="auto"/>
                          </w:divBdr>
                        </w:div>
                        <w:div w:id="1687828064">
                          <w:marLeft w:val="0"/>
                          <w:marRight w:val="0"/>
                          <w:marTop w:val="0"/>
                          <w:marBottom w:val="0"/>
                          <w:divBdr>
                            <w:top w:val="none" w:sz="0" w:space="0" w:color="auto"/>
                            <w:left w:val="none" w:sz="0" w:space="0" w:color="auto"/>
                            <w:bottom w:val="none" w:sz="0" w:space="0" w:color="auto"/>
                            <w:right w:val="none" w:sz="0" w:space="0" w:color="auto"/>
                          </w:divBdr>
                        </w:div>
                        <w:div w:id="520356930">
                          <w:marLeft w:val="0"/>
                          <w:marRight w:val="0"/>
                          <w:marTop w:val="0"/>
                          <w:marBottom w:val="0"/>
                          <w:divBdr>
                            <w:top w:val="none" w:sz="0" w:space="0" w:color="auto"/>
                            <w:left w:val="none" w:sz="0" w:space="0" w:color="auto"/>
                            <w:bottom w:val="none" w:sz="0" w:space="0" w:color="auto"/>
                            <w:right w:val="none" w:sz="0" w:space="0" w:color="auto"/>
                          </w:divBdr>
                        </w:div>
                        <w:div w:id="1786149839">
                          <w:marLeft w:val="0"/>
                          <w:marRight w:val="0"/>
                          <w:marTop w:val="0"/>
                          <w:marBottom w:val="0"/>
                          <w:divBdr>
                            <w:top w:val="none" w:sz="0" w:space="0" w:color="auto"/>
                            <w:left w:val="none" w:sz="0" w:space="0" w:color="auto"/>
                            <w:bottom w:val="none" w:sz="0" w:space="0" w:color="auto"/>
                            <w:right w:val="none" w:sz="0" w:space="0" w:color="auto"/>
                          </w:divBdr>
                        </w:div>
                      </w:divsChild>
                    </w:div>
                    <w:div w:id="440952949">
                      <w:marLeft w:val="0"/>
                      <w:marRight w:val="0"/>
                      <w:marTop w:val="0"/>
                      <w:marBottom w:val="0"/>
                      <w:divBdr>
                        <w:top w:val="none" w:sz="0" w:space="0" w:color="auto"/>
                        <w:left w:val="none" w:sz="0" w:space="0" w:color="auto"/>
                        <w:bottom w:val="none" w:sz="0" w:space="0" w:color="auto"/>
                        <w:right w:val="none" w:sz="0" w:space="0" w:color="auto"/>
                      </w:divBdr>
                      <w:divsChild>
                        <w:div w:id="1293751411">
                          <w:marLeft w:val="0"/>
                          <w:marRight w:val="0"/>
                          <w:marTop w:val="0"/>
                          <w:marBottom w:val="0"/>
                          <w:divBdr>
                            <w:top w:val="none" w:sz="0" w:space="0" w:color="auto"/>
                            <w:left w:val="none" w:sz="0" w:space="0" w:color="auto"/>
                            <w:bottom w:val="none" w:sz="0" w:space="0" w:color="auto"/>
                            <w:right w:val="none" w:sz="0" w:space="0" w:color="auto"/>
                          </w:divBdr>
                        </w:div>
                        <w:div w:id="2143885420">
                          <w:marLeft w:val="0"/>
                          <w:marRight w:val="0"/>
                          <w:marTop w:val="0"/>
                          <w:marBottom w:val="0"/>
                          <w:divBdr>
                            <w:top w:val="none" w:sz="0" w:space="0" w:color="auto"/>
                            <w:left w:val="none" w:sz="0" w:space="0" w:color="auto"/>
                            <w:bottom w:val="none" w:sz="0" w:space="0" w:color="auto"/>
                            <w:right w:val="none" w:sz="0" w:space="0" w:color="auto"/>
                          </w:divBdr>
                        </w:div>
                        <w:div w:id="124011364">
                          <w:marLeft w:val="0"/>
                          <w:marRight w:val="0"/>
                          <w:marTop w:val="0"/>
                          <w:marBottom w:val="0"/>
                          <w:divBdr>
                            <w:top w:val="none" w:sz="0" w:space="0" w:color="auto"/>
                            <w:left w:val="none" w:sz="0" w:space="0" w:color="auto"/>
                            <w:bottom w:val="none" w:sz="0" w:space="0" w:color="auto"/>
                            <w:right w:val="none" w:sz="0" w:space="0" w:color="auto"/>
                          </w:divBdr>
                        </w:div>
                        <w:div w:id="1852915052">
                          <w:marLeft w:val="0"/>
                          <w:marRight w:val="0"/>
                          <w:marTop w:val="0"/>
                          <w:marBottom w:val="0"/>
                          <w:divBdr>
                            <w:top w:val="none" w:sz="0" w:space="0" w:color="auto"/>
                            <w:left w:val="none" w:sz="0" w:space="0" w:color="auto"/>
                            <w:bottom w:val="none" w:sz="0" w:space="0" w:color="auto"/>
                            <w:right w:val="none" w:sz="0" w:space="0" w:color="auto"/>
                          </w:divBdr>
                        </w:div>
                        <w:div w:id="1765570561">
                          <w:marLeft w:val="0"/>
                          <w:marRight w:val="0"/>
                          <w:marTop w:val="0"/>
                          <w:marBottom w:val="0"/>
                          <w:divBdr>
                            <w:top w:val="none" w:sz="0" w:space="0" w:color="auto"/>
                            <w:left w:val="none" w:sz="0" w:space="0" w:color="auto"/>
                            <w:bottom w:val="none" w:sz="0" w:space="0" w:color="auto"/>
                            <w:right w:val="none" w:sz="0" w:space="0" w:color="auto"/>
                          </w:divBdr>
                        </w:div>
                        <w:div w:id="1488672841">
                          <w:marLeft w:val="0"/>
                          <w:marRight w:val="0"/>
                          <w:marTop w:val="0"/>
                          <w:marBottom w:val="0"/>
                          <w:divBdr>
                            <w:top w:val="none" w:sz="0" w:space="0" w:color="auto"/>
                            <w:left w:val="none" w:sz="0" w:space="0" w:color="auto"/>
                            <w:bottom w:val="none" w:sz="0" w:space="0" w:color="auto"/>
                            <w:right w:val="none" w:sz="0" w:space="0" w:color="auto"/>
                          </w:divBdr>
                        </w:div>
                        <w:div w:id="423041425">
                          <w:marLeft w:val="0"/>
                          <w:marRight w:val="0"/>
                          <w:marTop w:val="0"/>
                          <w:marBottom w:val="0"/>
                          <w:divBdr>
                            <w:top w:val="none" w:sz="0" w:space="0" w:color="auto"/>
                            <w:left w:val="none" w:sz="0" w:space="0" w:color="auto"/>
                            <w:bottom w:val="none" w:sz="0" w:space="0" w:color="auto"/>
                            <w:right w:val="none" w:sz="0" w:space="0" w:color="auto"/>
                          </w:divBdr>
                        </w:div>
                        <w:div w:id="1654800225">
                          <w:marLeft w:val="0"/>
                          <w:marRight w:val="0"/>
                          <w:marTop w:val="0"/>
                          <w:marBottom w:val="0"/>
                          <w:divBdr>
                            <w:top w:val="none" w:sz="0" w:space="0" w:color="auto"/>
                            <w:left w:val="none" w:sz="0" w:space="0" w:color="auto"/>
                            <w:bottom w:val="none" w:sz="0" w:space="0" w:color="auto"/>
                            <w:right w:val="none" w:sz="0" w:space="0" w:color="auto"/>
                          </w:divBdr>
                        </w:div>
                        <w:div w:id="421071538">
                          <w:marLeft w:val="0"/>
                          <w:marRight w:val="0"/>
                          <w:marTop w:val="0"/>
                          <w:marBottom w:val="0"/>
                          <w:divBdr>
                            <w:top w:val="none" w:sz="0" w:space="0" w:color="auto"/>
                            <w:left w:val="none" w:sz="0" w:space="0" w:color="auto"/>
                            <w:bottom w:val="none" w:sz="0" w:space="0" w:color="auto"/>
                            <w:right w:val="none" w:sz="0" w:space="0" w:color="auto"/>
                          </w:divBdr>
                        </w:div>
                        <w:div w:id="1731808821">
                          <w:marLeft w:val="0"/>
                          <w:marRight w:val="0"/>
                          <w:marTop w:val="0"/>
                          <w:marBottom w:val="0"/>
                          <w:divBdr>
                            <w:top w:val="none" w:sz="0" w:space="0" w:color="auto"/>
                            <w:left w:val="none" w:sz="0" w:space="0" w:color="auto"/>
                            <w:bottom w:val="none" w:sz="0" w:space="0" w:color="auto"/>
                            <w:right w:val="none" w:sz="0" w:space="0" w:color="auto"/>
                          </w:divBdr>
                        </w:div>
                      </w:divsChild>
                    </w:div>
                    <w:div w:id="751195160">
                      <w:marLeft w:val="0"/>
                      <w:marRight w:val="0"/>
                      <w:marTop w:val="0"/>
                      <w:marBottom w:val="0"/>
                      <w:divBdr>
                        <w:top w:val="none" w:sz="0" w:space="0" w:color="auto"/>
                        <w:left w:val="none" w:sz="0" w:space="0" w:color="auto"/>
                        <w:bottom w:val="none" w:sz="0" w:space="0" w:color="auto"/>
                        <w:right w:val="none" w:sz="0" w:space="0" w:color="auto"/>
                      </w:divBdr>
                      <w:divsChild>
                        <w:div w:id="2060861244">
                          <w:marLeft w:val="0"/>
                          <w:marRight w:val="0"/>
                          <w:marTop w:val="0"/>
                          <w:marBottom w:val="0"/>
                          <w:divBdr>
                            <w:top w:val="none" w:sz="0" w:space="0" w:color="auto"/>
                            <w:left w:val="none" w:sz="0" w:space="0" w:color="auto"/>
                            <w:bottom w:val="none" w:sz="0" w:space="0" w:color="auto"/>
                            <w:right w:val="none" w:sz="0" w:space="0" w:color="auto"/>
                          </w:divBdr>
                        </w:div>
                        <w:div w:id="2074500912">
                          <w:marLeft w:val="0"/>
                          <w:marRight w:val="0"/>
                          <w:marTop w:val="0"/>
                          <w:marBottom w:val="0"/>
                          <w:divBdr>
                            <w:top w:val="none" w:sz="0" w:space="0" w:color="auto"/>
                            <w:left w:val="none" w:sz="0" w:space="0" w:color="auto"/>
                            <w:bottom w:val="none" w:sz="0" w:space="0" w:color="auto"/>
                            <w:right w:val="none" w:sz="0" w:space="0" w:color="auto"/>
                          </w:divBdr>
                        </w:div>
                        <w:div w:id="1501962136">
                          <w:marLeft w:val="0"/>
                          <w:marRight w:val="0"/>
                          <w:marTop w:val="0"/>
                          <w:marBottom w:val="0"/>
                          <w:divBdr>
                            <w:top w:val="none" w:sz="0" w:space="0" w:color="auto"/>
                            <w:left w:val="none" w:sz="0" w:space="0" w:color="auto"/>
                            <w:bottom w:val="none" w:sz="0" w:space="0" w:color="auto"/>
                            <w:right w:val="none" w:sz="0" w:space="0" w:color="auto"/>
                          </w:divBdr>
                        </w:div>
                        <w:div w:id="510947729">
                          <w:marLeft w:val="0"/>
                          <w:marRight w:val="0"/>
                          <w:marTop w:val="0"/>
                          <w:marBottom w:val="0"/>
                          <w:divBdr>
                            <w:top w:val="none" w:sz="0" w:space="0" w:color="auto"/>
                            <w:left w:val="none" w:sz="0" w:space="0" w:color="auto"/>
                            <w:bottom w:val="none" w:sz="0" w:space="0" w:color="auto"/>
                            <w:right w:val="none" w:sz="0" w:space="0" w:color="auto"/>
                          </w:divBdr>
                        </w:div>
                        <w:div w:id="1706447622">
                          <w:marLeft w:val="0"/>
                          <w:marRight w:val="0"/>
                          <w:marTop w:val="0"/>
                          <w:marBottom w:val="0"/>
                          <w:divBdr>
                            <w:top w:val="none" w:sz="0" w:space="0" w:color="auto"/>
                            <w:left w:val="none" w:sz="0" w:space="0" w:color="auto"/>
                            <w:bottom w:val="none" w:sz="0" w:space="0" w:color="auto"/>
                            <w:right w:val="none" w:sz="0" w:space="0" w:color="auto"/>
                          </w:divBdr>
                        </w:div>
                        <w:div w:id="697387072">
                          <w:marLeft w:val="0"/>
                          <w:marRight w:val="0"/>
                          <w:marTop w:val="0"/>
                          <w:marBottom w:val="0"/>
                          <w:divBdr>
                            <w:top w:val="none" w:sz="0" w:space="0" w:color="auto"/>
                            <w:left w:val="none" w:sz="0" w:space="0" w:color="auto"/>
                            <w:bottom w:val="none" w:sz="0" w:space="0" w:color="auto"/>
                            <w:right w:val="none" w:sz="0" w:space="0" w:color="auto"/>
                          </w:divBdr>
                        </w:div>
                        <w:div w:id="1411385152">
                          <w:marLeft w:val="0"/>
                          <w:marRight w:val="0"/>
                          <w:marTop w:val="0"/>
                          <w:marBottom w:val="0"/>
                          <w:divBdr>
                            <w:top w:val="none" w:sz="0" w:space="0" w:color="auto"/>
                            <w:left w:val="none" w:sz="0" w:space="0" w:color="auto"/>
                            <w:bottom w:val="none" w:sz="0" w:space="0" w:color="auto"/>
                            <w:right w:val="none" w:sz="0" w:space="0" w:color="auto"/>
                          </w:divBdr>
                        </w:div>
                        <w:div w:id="1028990359">
                          <w:marLeft w:val="0"/>
                          <w:marRight w:val="0"/>
                          <w:marTop w:val="0"/>
                          <w:marBottom w:val="0"/>
                          <w:divBdr>
                            <w:top w:val="none" w:sz="0" w:space="0" w:color="auto"/>
                            <w:left w:val="none" w:sz="0" w:space="0" w:color="auto"/>
                            <w:bottom w:val="none" w:sz="0" w:space="0" w:color="auto"/>
                            <w:right w:val="none" w:sz="0" w:space="0" w:color="auto"/>
                          </w:divBdr>
                        </w:div>
                        <w:div w:id="612136200">
                          <w:marLeft w:val="0"/>
                          <w:marRight w:val="0"/>
                          <w:marTop w:val="0"/>
                          <w:marBottom w:val="0"/>
                          <w:divBdr>
                            <w:top w:val="none" w:sz="0" w:space="0" w:color="auto"/>
                            <w:left w:val="none" w:sz="0" w:space="0" w:color="auto"/>
                            <w:bottom w:val="none" w:sz="0" w:space="0" w:color="auto"/>
                            <w:right w:val="none" w:sz="0" w:space="0" w:color="auto"/>
                          </w:divBdr>
                        </w:div>
                        <w:div w:id="1345328786">
                          <w:marLeft w:val="0"/>
                          <w:marRight w:val="0"/>
                          <w:marTop w:val="0"/>
                          <w:marBottom w:val="0"/>
                          <w:divBdr>
                            <w:top w:val="none" w:sz="0" w:space="0" w:color="auto"/>
                            <w:left w:val="none" w:sz="0" w:space="0" w:color="auto"/>
                            <w:bottom w:val="none" w:sz="0" w:space="0" w:color="auto"/>
                            <w:right w:val="none" w:sz="0" w:space="0" w:color="auto"/>
                          </w:divBdr>
                        </w:div>
                        <w:div w:id="1685791046">
                          <w:marLeft w:val="0"/>
                          <w:marRight w:val="0"/>
                          <w:marTop w:val="0"/>
                          <w:marBottom w:val="0"/>
                          <w:divBdr>
                            <w:top w:val="none" w:sz="0" w:space="0" w:color="auto"/>
                            <w:left w:val="none" w:sz="0" w:space="0" w:color="auto"/>
                            <w:bottom w:val="none" w:sz="0" w:space="0" w:color="auto"/>
                            <w:right w:val="none" w:sz="0" w:space="0" w:color="auto"/>
                          </w:divBdr>
                        </w:div>
                        <w:div w:id="2125079770">
                          <w:marLeft w:val="0"/>
                          <w:marRight w:val="0"/>
                          <w:marTop w:val="0"/>
                          <w:marBottom w:val="0"/>
                          <w:divBdr>
                            <w:top w:val="none" w:sz="0" w:space="0" w:color="auto"/>
                            <w:left w:val="none" w:sz="0" w:space="0" w:color="auto"/>
                            <w:bottom w:val="none" w:sz="0" w:space="0" w:color="auto"/>
                            <w:right w:val="none" w:sz="0" w:space="0" w:color="auto"/>
                          </w:divBdr>
                        </w:div>
                        <w:div w:id="1639651551">
                          <w:marLeft w:val="0"/>
                          <w:marRight w:val="0"/>
                          <w:marTop w:val="0"/>
                          <w:marBottom w:val="0"/>
                          <w:divBdr>
                            <w:top w:val="none" w:sz="0" w:space="0" w:color="auto"/>
                            <w:left w:val="none" w:sz="0" w:space="0" w:color="auto"/>
                            <w:bottom w:val="none" w:sz="0" w:space="0" w:color="auto"/>
                            <w:right w:val="none" w:sz="0" w:space="0" w:color="auto"/>
                          </w:divBdr>
                        </w:div>
                        <w:div w:id="1013188402">
                          <w:marLeft w:val="0"/>
                          <w:marRight w:val="0"/>
                          <w:marTop w:val="0"/>
                          <w:marBottom w:val="0"/>
                          <w:divBdr>
                            <w:top w:val="none" w:sz="0" w:space="0" w:color="auto"/>
                            <w:left w:val="none" w:sz="0" w:space="0" w:color="auto"/>
                            <w:bottom w:val="none" w:sz="0" w:space="0" w:color="auto"/>
                            <w:right w:val="none" w:sz="0" w:space="0" w:color="auto"/>
                          </w:divBdr>
                        </w:div>
                        <w:div w:id="27132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542938288">
      <w:bodyDiv w:val="1"/>
      <w:marLeft w:val="0"/>
      <w:marRight w:val="0"/>
      <w:marTop w:val="0"/>
      <w:marBottom w:val="0"/>
      <w:divBdr>
        <w:top w:val="none" w:sz="0" w:space="0" w:color="auto"/>
        <w:left w:val="none" w:sz="0" w:space="0" w:color="auto"/>
        <w:bottom w:val="none" w:sz="0" w:space="0" w:color="auto"/>
        <w:right w:val="none" w:sz="0" w:space="0" w:color="auto"/>
      </w:divBdr>
      <w:divsChild>
        <w:div w:id="401955372">
          <w:marLeft w:val="0"/>
          <w:marRight w:val="0"/>
          <w:marTop w:val="0"/>
          <w:marBottom w:val="0"/>
          <w:divBdr>
            <w:top w:val="none" w:sz="0" w:space="0" w:color="auto"/>
            <w:left w:val="none" w:sz="0" w:space="0" w:color="auto"/>
            <w:bottom w:val="none" w:sz="0" w:space="0" w:color="auto"/>
            <w:right w:val="none" w:sz="0" w:space="0" w:color="auto"/>
          </w:divBdr>
          <w:divsChild>
            <w:div w:id="421995216">
              <w:marLeft w:val="0"/>
              <w:marRight w:val="0"/>
              <w:marTop w:val="0"/>
              <w:marBottom w:val="0"/>
              <w:divBdr>
                <w:top w:val="none" w:sz="0" w:space="0" w:color="auto"/>
                <w:left w:val="none" w:sz="0" w:space="0" w:color="auto"/>
                <w:bottom w:val="none" w:sz="0" w:space="0" w:color="auto"/>
                <w:right w:val="none" w:sz="0" w:space="0" w:color="auto"/>
              </w:divBdr>
              <w:divsChild>
                <w:div w:id="1426683269">
                  <w:marLeft w:val="0"/>
                  <w:marRight w:val="0"/>
                  <w:marTop w:val="0"/>
                  <w:marBottom w:val="0"/>
                  <w:divBdr>
                    <w:top w:val="none" w:sz="0" w:space="0" w:color="auto"/>
                    <w:left w:val="none" w:sz="0" w:space="0" w:color="auto"/>
                    <w:bottom w:val="none" w:sz="0" w:space="0" w:color="auto"/>
                    <w:right w:val="none" w:sz="0" w:space="0" w:color="auto"/>
                  </w:divBdr>
                  <w:divsChild>
                    <w:div w:id="2096128540">
                      <w:marLeft w:val="0"/>
                      <w:marRight w:val="0"/>
                      <w:marTop w:val="0"/>
                      <w:marBottom w:val="0"/>
                      <w:divBdr>
                        <w:top w:val="none" w:sz="0" w:space="0" w:color="auto"/>
                        <w:left w:val="none" w:sz="0" w:space="0" w:color="auto"/>
                        <w:bottom w:val="none" w:sz="0" w:space="0" w:color="auto"/>
                        <w:right w:val="none" w:sz="0" w:space="0" w:color="auto"/>
                      </w:divBdr>
                      <w:divsChild>
                        <w:div w:id="1312906742">
                          <w:marLeft w:val="0"/>
                          <w:marRight w:val="0"/>
                          <w:marTop w:val="0"/>
                          <w:marBottom w:val="0"/>
                          <w:divBdr>
                            <w:top w:val="none" w:sz="0" w:space="0" w:color="auto"/>
                            <w:left w:val="none" w:sz="0" w:space="0" w:color="auto"/>
                            <w:bottom w:val="none" w:sz="0" w:space="0" w:color="auto"/>
                            <w:right w:val="none" w:sz="0" w:space="0" w:color="auto"/>
                          </w:divBdr>
                        </w:div>
                        <w:div w:id="1116221060">
                          <w:marLeft w:val="0"/>
                          <w:marRight w:val="0"/>
                          <w:marTop w:val="0"/>
                          <w:marBottom w:val="0"/>
                          <w:divBdr>
                            <w:top w:val="none" w:sz="0" w:space="0" w:color="auto"/>
                            <w:left w:val="none" w:sz="0" w:space="0" w:color="auto"/>
                            <w:bottom w:val="none" w:sz="0" w:space="0" w:color="auto"/>
                            <w:right w:val="none" w:sz="0" w:space="0" w:color="auto"/>
                          </w:divBdr>
                        </w:div>
                        <w:div w:id="456220374">
                          <w:marLeft w:val="0"/>
                          <w:marRight w:val="0"/>
                          <w:marTop w:val="0"/>
                          <w:marBottom w:val="0"/>
                          <w:divBdr>
                            <w:top w:val="none" w:sz="0" w:space="0" w:color="auto"/>
                            <w:left w:val="none" w:sz="0" w:space="0" w:color="auto"/>
                            <w:bottom w:val="none" w:sz="0" w:space="0" w:color="auto"/>
                            <w:right w:val="none" w:sz="0" w:space="0" w:color="auto"/>
                          </w:divBdr>
                        </w:div>
                        <w:div w:id="1631276863">
                          <w:marLeft w:val="0"/>
                          <w:marRight w:val="0"/>
                          <w:marTop w:val="0"/>
                          <w:marBottom w:val="0"/>
                          <w:divBdr>
                            <w:top w:val="none" w:sz="0" w:space="0" w:color="auto"/>
                            <w:left w:val="none" w:sz="0" w:space="0" w:color="auto"/>
                            <w:bottom w:val="none" w:sz="0" w:space="0" w:color="auto"/>
                            <w:right w:val="none" w:sz="0" w:space="0" w:color="auto"/>
                          </w:divBdr>
                        </w:div>
                        <w:div w:id="1236168489">
                          <w:marLeft w:val="0"/>
                          <w:marRight w:val="0"/>
                          <w:marTop w:val="0"/>
                          <w:marBottom w:val="0"/>
                          <w:divBdr>
                            <w:top w:val="none" w:sz="0" w:space="0" w:color="auto"/>
                            <w:left w:val="none" w:sz="0" w:space="0" w:color="auto"/>
                            <w:bottom w:val="none" w:sz="0" w:space="0" w:color="auto"/>
                            <w:right w:val="none" w:sz="0" w:space="0" w:color="auto"/>
                          </w:divBdr>
                        </w:div>
                        <w:div w:id="675571355">
                          <w:marLeft w:val="0"/>
                          <w:marRight w:val="0"/>
                          <w:marTop w:val="0"/>
                          <w:marBottom w:val="0"/>
                          <w:divBdr>
                            <w:top w:val="none" w:sz="0" w:space="0" w:color="auto"/>
                            <w:left w:val="none" w:sz="0" w:space="0" w:color="auto"/>
                            <w:bottom w:val="none" w:sz="0" w:space="0" w:color="auto"/>
                            <w:right w:val="none" w:sz="0" w:space="0" w:color="auto"/>
                          </w:divBdr>
                        </w:div>
                        <w:div w:id="1768117958">
                          <w:marLeft w:val="0"/>
                          <w:marRight w:val="0"/>
                          <w:marTop w:val="0"/>
                          <w:marBottom w:val="0"/>
                          <w:divBdr>
                            <w:top w:val="none" w:sz="0" w:space="0" w:color="auto"/>
                            <w:left w:val="none" w:sz="0" w:space="0" w:color="auto"/>
                            <w:bottom w:val="none" w:sz="0" w:space="0" w:color="auto"/>
                            <w:right w:val="none" w:sz="0" w:space="0" w:color="auto"/>
                          </w:divBdr>
                        </w:div>
                        <w:div w:id="156654321">
                          <w:marLeft w:val="0"/>
                          <w:marRight w:val="0"/>
                          <w:marTop w:val="0"/>
                          <w:marBottom w:val="0"/>
                          <w:divBdr>
                            <w:top w:val="none" w:sz="0" w:space="0" w:color="auto"/>
                            <w:left w:val="none" w:sz="0" w:space="0" w:color="auto"/>
                            <w:bottom w:val="none" w:sz="0" w:space="0" w:color="auto"/>
                            <w:right w:val="none" w:sz="0" w:space="0" w:color="auto"/>
                          </w:divBdr>
                        </w:div>
                      </w:divsChild>
                    </w:div>
                    <w:div w:id="338386581">
                      <w:marLeft w:val="0"/>
                      <w:marRight w:val="0"/>
                      <w:marTop w:val="0"/>
                      <w:marBottom w:val="0"/>
                      <w:divBdr>
                        <w:top w:val="none" w:sz="0" w:space="0" w:color="auto"/>
                        <w:left w:val="none" w:sz="0" w:space="0" w:color="auto"/>
                        <w:bottom w:val="none" w:sz="0" w:space="0" w:color="auto"/>
                        <w:right w:val="none" w:sz="0" w:space="0" w:color="auto"/>
                      </w:divBdr>
                      <w:divsChild>
                        <w:div w:id="1885290919">
                          <w:marLeft w:val="0"/>
                          <w:marRight w:val="0"/>
                          <w:marTop w:val="0"/>
                          <w:marBottom w:val="0"/>
                          <w:divBdr>
                            <w:top w:val="none" w:sz="0" w:space="0" w:color="auto"/>
                            <w:left w:val="none" w:sz="0" w:space="0" w:color="auto"/>
                            <w:bottom w:val="none" w:sz="0" w:space="0" w:color="auto"/>
                            <w:right w:val="none" w:sz="0" w:space="0" w:color="auto"/>
                          </w:divBdr>
                        </w:div>
                        <w:div w:id="428503313">
                          <w:marLeft w:val="0"/>
                          <w:marRight w:val="0"/>
                          <w:marTop w:val="0"/>
                          <w:marBottom w:val="0"/>
                          <w:divBdr>
                            <w:top w:val="none" w:sz="0" w:space="0" w:color="auto"/>
                            <w:left w:val="none" w:sz="0" w:space="0" w:color="auto"/>
                            <w:bottom w:val="none" w:sz="0" w:space="0" w:color="auto"/>
                            <w:right w:val="none" w:sz="0" w:space="0" w:color="auto"/>
                          </w:divBdr>
                        </w:div>
                        <w:div w:id="1183932065">
                          <w:marLeft w:val="0"/>
                          <w:marRight w:val="0"/>
                          <w:marTop w:val="0"/>
                          <w:marBottom w:val="0"/>
                          <w:divBdr>
                            <w:top w:val="none" w:sz="0" w:space="0" w:color="auto"/>
                            <w:left w:val="none" w:sz="0" w:space="0" w:color="auto"/>
                            <w:bottom w:val="none" w:sz="0" w:space="0" w:color="auto"/>
                            <w:right w:val="none" w:sz="0" w:space="0" w:color="auto"/>
                          </w:divBdr>
                        </w:div>
                        <w:div w:id="1864704659">
                          <w:marLeft w:val="0"/>
                          <w:marRight w:val="0"/>
                          <w:marTop w:val="0"/>
                          <w:marBottom w:val="0"/>
                          <w:divBdr>
                            <w:top w:val="none" w:sz="0" w:space="0" w:color="auto"/>
                            <w:left w:val="none" w:sz="0" w:space="0" w:color="auto"/>
                            <w:bottom w:val="none" w:sz="0" w:space="0" w:color="auto"/>
                            <w:right w:val="none" w:sz="0" w:space="0" w:color="auto"/>
                          </w:divBdr>
                        </w:div>
                        <w:div w:id="1925648666">
                          <w:marLeft w:val="0"/>
                          <w:marRight w:val="0"/>
                          <w:marTop w:val="0"/>
                          <w:marBottom w:val="0"/>
                          <w:divBdr>
                            <w:top w:val="none" w:sz="0" w:space="0" w:color="auto"/>
                            <w:left w:val="none" w:sz="0" w:space="0" w:color="auto"/>
                            <w:bottom w:val="none" w:sz="0" w:space="0" w:color="auto"/>
                            <w:right w:val="none" w:sz="0" w:space="0" w:color="auto"/>
                          </w:divBdr>
                        </w:div>
                        <w:div w:id="476726275">
                          <w:marLeft w:val="0"/>
                          <w:marRight w:val="0"/>
                          <w:marTop w:val="0"/>
                          <w:marBottom w:val="0"/>
                          <w:divBdr>
                            <w:top w:val="none" w:sz="0" w:space="0" w:color="auto"/>
                            <w:left w:val="none" w:sz="0" w:space="0" w:color="auto"/>
                            <w:bottom w:val="none" w:sz="0" w:space="0" w:color="auto"/>
                            <w:right w:val="none" w:sz="0" w:space="0" w:color="auto"/>
                          </w:divBdr>
                        </w:div>
                        <w:div w:id="1238444462">
                          <w:marLeft w:val="0"/>
                          <w:marRight w:val="0"/>
                          <w:marTop w:val="0"/>
                          <w:marBottom w:val="0"/>
                          <w:divBdr>
                            <w:top w:val="none" w:sz="0" w:space="0" w:color="auto"/>
                            <w:left w:val="none" w:sz="0" w:space="0" w:color="auto"/>
                            <w:bottom w:val="none" w:sz="0" w:space="0" w:color="auto"/>
                            <w:right w:val="none" w:sz="0" w:space="0" w:color="auto"/>
                          </w:divBdr>
                        </w:div>
                        <w:div w:id="500703723">
                          <w:marLeft w:val="0"/>
                          <w:marRight w:val="0"/>
                          <w:marTop w:val="0"/>
                          <w:marBottom w:val="0"/>
                          <w:divBdr>
                            <w:top w:val="none" w:sz="0" w:space="0" w:color="auto"/>
                            <w:left w:val="none" w:sz="0" w:space="0" w:color="auto"/>
                            <w:bottom w:val="none" w:sz="0" w:space="0" w:color="auto"/>
                            <w:right w:val="none" w:sz="0" w:space="0" w:color="auto"/>
                          </w:divBdr>
                        </w:div>
                        <w:div w:id="1318846637">
                          <w:marLeft w:val="0"/>
                          <w:marRight w:val="0"/>
                          <w:marTop w:val="0"/>
                          <w:marBottom w:val="0"/>
                          <w:divBdr>
                            <w:top w:val="none" w:sz="0" w:space="0" w:color="auto"/>
                            <w:left w:val="none" w:sz="0" w:space="0" w:color="auto"/>
                            <w:bottom w:val="none" w:sz="0" w:space="0" w:color="auto"/>
                            <w:right w:val="none" w:sz="0" w:space="0" w:color="auto"/>
                          </w:divBdr>
                        </w:div>
                      </w:divsChild>
                    </w:div>
                    <w:div w:id="829103731">
                      <w:marLeft w:val="0"/>
                      <w:marRight w:val="0"/>
                      <w:marTop w:val="0"/>
                      <w:marBottom w:val="0"/>
                      <w:divBdr>
                        <w:top w:val="none" w:sz="0" w:space="0" w:color="auto"/>
                        <w:left w:val="none" w:sz="0" w:space="0" w:color="auto"/>
                        <w:bottom w:val="none" w:sz="0" w:space="0" w:color="auto"/>
                        <w:right w:val="none" w:sz="0" w:space="0" w:color="auto"/>
                      </w:divBdr>
                      <w:divsChild>
                        <w:div w:id="422847231">
                          <w:marLeft w:val="0"/>
                          <w:marRight w:val="0"/>
                          <w:marTop w:val="0"/>
                          <w:marBottom w:val="0"/>
                          <w:divBdr>
                            <w:top w:val="none" w:sz="0" w:space="0" w:color="auto"/>
                            <w:left w:val="none" w:sz="0" w:space="0" w:color="auto"/>
                            <w:bottom w:val="none" w:sz="0" w:space="0" w:color="auto"/>
                            <w:right w:val="none" w:sz="0" w:space="0" w:color="auto"/>
                          </w:divBdr>
                        </w:div>
                        <w:div w:id="721559601">
                          <w:marLeft w:val="0"/>
                          <w:marRight w:val="0"/>
                          <w:marTop w:val="0"/>
                          <w:marBottom w:val="0"/>
                          <w:divBdr>
                            <w:top w:val="none" w:sz="0" w:space="0" w:color="auto"/>
                            <w:left w:val="none" w:sz="0" w:space="0" w:color="auto"/>
                            <w:bottom w:val="none" w:sz="0" w:space="0" w:color="auto"/>
                            <w:right w:val="none" w:sz="0" w:space="0" w:color="auto"/>
                          </w:divBdr>
                        </w:div>
                        <w:div w:id="2008482094">
                          <w:marLeft w:val="0"/>
                          <w:marRight w:val="0"/>
                          <w:marTop w:val="0"/>
                          <w:marBottom w:val="0"/>
                          <w:divBdr>
                            <w:top w:val="none" w:sz="0" w:space="0" w:color="auto"/>
                            <w:left w:val="none" w:sz="0" w:space="0" w:color="auto"/>
                            <w:bottom w:val="none" w:sz="0" w:space="0" w:color="auto"/>
                            <w:right w:val="none" w:sz="0" w:space="0" w:color="auto"/>
                          </w:divBdr>
                        </w:div>
                        <w:div w:id="1256205398">
                          <w:marLeft w:val="0"/>
                          <w:marRight w:val="0"/>
                          <w:marTop w:val="0"/>
                          <w:marBottom w:val="0"/>
                          <w:divBdr>
                            <w:top w:val="none" w:sz="0" w:space="0" w:color="auto"/>
                            <w:left w:val="none" w:sz="0" w:space="0" w:color="auto"/>
                            <w:bottom w:val="none" w:sz="0" w:space="0" w:color="auto"/>
                            <w:right w:val="none" w:sz="0" w:space="0" w:color="auto"/>
                          </w:divBdr>
                        </w:div>
                        <w:div w:id="1794128805">
                          <w:marLeft w:val="0"/>
                          <w:marRight w:val="0"/>
                          <w:marTop w:val="0"/>
                          <w:marBottom w:val="0"/>
                          <w:divBdr>
                            <w:top w:val="none" w:sz="0" w:space="0" w:color="auto"/>
                            <w:left w:val="none" w:sz="0" w:space="0" w:color="auto"/>
                            <w:bottom w:val="none" w:sz="0" w:space="0" w:color="auto"/>
                            <w:right w:val="none" w:sz="0" w:space="0" w:color="auto"/>
                          </w:divBdr>
                        </w:div>
                        <w:div w:id="1367559349">
                          <w:marLeft w:val="0"/>
                          <w:marRight w:val="0"/>
                          <w:marTop w:val="0"/>
                          <w:marBottom w:val="0"/>
                          <w:divBdr>
                            <w:top w:val="none" w:sz="0" w:space="0" w:color="auto"/>
                            <w:left w:val="none" w:sz="0" w:space="0" w:color="auto"/>
                            <w:bottom w:val="none" w:sz="0" w:space="0" w:color="auto"/>
                            <w:right w:val="none" w:sz="0" w:space="0" w:color="auto"/>
                          </w:divBdr>
                        </w:div>
                        <w:div w:id="1208834042">
                          <w:marLeft w:val="0"/>
                          <w:marRight w:val="0"/>
                          <w:marTop w:val="0"/>
                          <w:marBottom w:val="0"/>
                          <w:divBdr>
                            <w:top w:val="none" w:sz="0" w:space="0" w:color="auto"/>
                            <w:left w:val="none" w:sz="0" w:space="0" w:color="auto"/>
                            <w:bottom w:val="none" w:sz="0" w:space="0" w:color="auto"/>
                            <w:right w:val="none" w:sz="0" w:space="0" w:color="auto"/>
                          </w:divBdr>
                        </w:div>
                      </w:divsChild>
                    </w:div>
                    <w:div w:id="1280262465">
                      <w:marLeft w:val="0"/>
                      <w:marRight w:val="0"/>
                      <w:marTop w:val="0"/>
                      <w:marBottom w:val="0"/>
                      <w:divBdr>
                        <w:top w:val="none" w:sz="0" w:space="0" w:color="auto"/>
                        <w:left w:val="none" w:sz="0" w:space="0" w:color="auto"/>
                        <w:bottom w:val="none" w:sz="0" w:space="0" w:color="auto"/>
                        <w:right w:val="none" w:sz="0" w:space="0" w:color="auto"/>
                      </w:divBdr>
                      <w:divsChild>
                        <w:div w:id="658122360">
                          <w:marLeft w:val="0"/>
                          <w:marRight w:val="0"/>
                          <w:marTop w:val="0"/>
                          <w:marBottom w:val="0"/>
                          <w:divBdr>
                            <w:top w:val="none" w:sz="0" w:space="0" w:color="auto"/>
                            <w:left w:val="none" w:sz="0" w:space="0" w:color="auto"/>
                            <w:bottom w:val="none" w:sz="0" w:space="0" w:color="auto"/>
                            <w:right w:val="none" w:sz="0" w:space="0" w:color="auto"/>
                          </w:divBdr>
                        </w:div>
                        <w:div w:id="1358198904">
                          <w:marLeft w:val="0"/>
                          <w:marRight w:val="0"/>
                          <w:marTop w:val="0"/>
                          <w:marBottom w:val="0"/>
                          <w:divBdr>
                            <w:top w:val="none" w:sz="0" w:space="0" w:color="auto"/>
                            <w:left w:val="none" w:sz="0" w:space="0" w:color="auto"/>
                            <w:bottom w:val="none" w:sz="0" w:space="0" w:color="auto"/>
                            <w:right w:val="none" w:sz="0" w:space="0" w:color="auto"/>
                          </w:divBdr>
                        </w:div>
                        <w:div w:id="599067643">
                          <w:marLeft w:val="0"/>
                          <w:marRight w:val="0"/>
                          <w:marTop w:val="0"/>
                          <w:marBottom w:val="0"/>
                          <w:divBdr>
                            <w:top w:val="none" w:sz="0" w:space="0" w:color="auto"/>
                            <w:left w:val="none" w:sz="0" w:space="0" w:color="auto"/>
                            <w:bottom w:val="none" w:sz="0" w:space="0" w:color="auto"/>
                            <w:right w:val="none" w:sz="0" w:space="0" w:color="auto"/>
                          </w:divBdr>
                        </w:div>
                        <w:div w:id="684743858">
                          <w:marLeft w:val="0"/>
                          <w:marRight w:val="0"/>
                          <w:marTop w:val="0"/>
                          <w:marBottom w:val="0"/>
                          <w:divBdr>
                            <w:top w:val="none" w:sz="0" w:space="0" w:color="auto"/>
                            <w:left w:val="none" w:sz="0" w:space="0" w:color="auto"/>
                            <w:bottom w:val="none" w:sz="0" w:space="0" w:color="auto"/>
                            <w:right w:val="none" w:sz="0" w:space="0" w:color="auto"/>
                          </w:divBdr>
                        </w:div>
                        <w:div w:id="854079188">
                          <w:marLeft w:val="0"/>
                          <w:marRight w:val="0"/>
                          <w:marTop w:val="0"/>
                          <w:marBottom w:val="0"/>
                          <w:divBdr>
                            <w:top w:val="none" w:sz="0" w:space="0" w:color="auto"/>
                            <w:left w:val="none" w:sz="0" w:space="0" w:color="auto"/>
                            <w:bottom w:val="none" w:sz="0" w:space="0" w:color="auto"/>
                            <w:right w:val="none" w:sz="0" w:space="0" w:color="auto"/>
                          </w:divBdr>
                        </w:div>
                        <w:div w:id="110436242">
                          <w:marLeft w:val="0"/>
                          <w:marRight w:val="0"/>
                          <w:marTop w:val="0"/>
                          <w:marBottom w:val="0"/>
                          <w:divBdr>
                            <w:top w:val="none" w:sz="0" w:space="0" w:color="auto"/>
                            <w:left w:val="none" w:sz="0" w:space="0" w:color="auto"/>
                            <w:bottom w:val="none" w:sz="0" w:space="0" w:color="auto"/>
                            <w:right w:val="none" w:sz="0" w:space="0" w:color="auto"/>
                          </w:divBdr>
                        </w:div>
                        <w:div w:id="1033069391">
                          <w:marLeft w:val="0"/>
                          <w:marRight w:val="0"/>
                          <w:marTop w:val="0"/>
                          <w:marBottom w:val="0"/>
                          <w:divBdr>
                            <w:top w:val="none" w:sz="0" w:space="0" w:color="auto"/>
                            <w:left w:val="none" w:sz="0" w:space="0" w:color="auto"/>
                            <w:bottom w:val="none" w:sz="0" w:space="0" w:color="auto"/>
                            <w:right w:val="none" w:sz="0" w:space="0" w:color="auto"/>
                          </w:divBdr>
                        </w:div>
                        <w:div w:id="1822194744">
                          <w:marLeft w:val="0"/>
                          <w:marRight w:val="0"/>
                          <w:marTop w:val="0"/>
                          <w:marBottom w:val="0"/>
                          <w:divBdr>
                            <w:top w:val="none" w:sz="0" w:space="0" w:color="auto"/>
                            <w:left w:val="none" w:sz="0" w:space="0" w:color="auto"/>
                            <w:bottom w:val="none" w:sz="0" w:space="0" w:color="auto"/>
                            <w:right w:val="none" w:sz="0" w:space="0" w:color="auto"/>
                          </w:divBdr>
                        </w:div>
                        <w:div w:id="752817756">
                          <w:marLeft w:val="0"/>
                          <w:marRight w:val="0"/>
                          <w:marTop w:val="0"/>
                          <w:marBottom w:val="0"/>
                          <w:divBdr>
                            <w:top w:val="none" w:sz="0" w:space="0" w:color="auto"/>
                            <w:left w:val="none" w:sz="0" w:space="0" w:color="auto"/>
                            <w:bottom w:val="none" w:sz="0" w:space="0" w:color="auto"/>
                            <w:right w:val="none" w:sz="0" w:space="0" w:color="auto"/>
                          </w:divBdr>
                        </w:div>
                        <w:div w:id="176149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3997231">
      <w:bodyDiv w:val="1"/>
      <w:marLeft w:val="0"/>
      <w:marRight w:val="0"/>
      <w:marTop w:val="0"/>
      <w:marBottom w:val="0"/>
      <w:divBdr>
        <w:top w:val="none" w:sz="0" w:space="0" w:color="auto"/>
        <w:left w:val="none" w:sz="0" w:space="0" w:color="auto"/>
        <w:bottom w:val="none" w:sz="0" w:space="0" w:color="auto"/>
        <w:right w:val="none" w:sz="0" w:space="0" w:color="auto"/>
      </w:divBdr>
      <w:divsChild>
        <w:div w:id="637802180">
          <w:marLeft w:val="0"/>
          <w:marRight w:val="0"/>
          <w:marTop w:val="0"/>
          <w:marBottom w:val="0"/>
          <w:divBdr>
            <w:top w:val="none" w:sz="0" w:space="0" w:color="auto"/>
            <w:left w:val="none" w:sz="0" w:space="0" w:color="auto"/>
            <w:bottom w:val="none" w:sz="0" w:space="0" w:color="auto"/>
            <w:right w:val="none" w:sz="0" w:space="0" w:color="auto"/>
          </w:divBdr>
          <w:divsChild>
            <w:div w:id="1243218875">
              <w:marLeft w:val="0"/>
              <w:marRight w:val="0"/>
              <w:marTop w:val="0"/>
              <w:marBottom w:val="0"/>
              <w:divBdr>
                <w:top w:val="none" w:sz="0" w:space="0" w:color="auto"/>
                <w:left w:val="none" w:sz="0" w:space="0" w:color="auto"/>
                <w:bottom w:val="none" w:sz="0" w:space="0" w:color="auto"/>
                <w:right w:val="none" w:sz="0" w:space="0" w:color="auto"/>
              </w:divBdr>
              <w:divsChild>
                <w:div w:id="918291772">
                  <w:marLeft w:val="0"/>
                  <w:marRight w:val="0"/>
                  <w:marTop w:val="0"/>
                  <w:marBottom w:val="0"/>
                  <w:divBdr>
                    <w:top w:val="none" w:sz="0" w:space="0" w:color="auto"/>
                    <w:left w:val="none" w:sz="0" w:space="0" w:color="auto"/>
                    <w:bottom w:val="none" w:sz="0" w:space="0" w:color="auto"/>
                    <w:right w:val="none" w:sz="0" w:space="0" w:color="auto"/>
                  </w:divBdr>
                  <w:divsChild>
                    <w:div w:id="767432355">
                      <w:marLeft w:val="0"/>
                      <w:marRight w:val="0"/>
                      <w:marTop w:val="0"/>
                      <w:marBottom w:val="0"/>
                      <w:divBdr>
                        <w:top w:val="none" w:sz="0" w:space="0" w:color="auto"/>
                        <w:left w:val="none" w:sz="0" w:space="0" w:color="auto"/>
                        <w:bottom w:val="none" w:sz="0" w:space="0" w:color="auto"/>
                        <w:right w:val="none" w:sz="0" w:space="0" w:color="auto"/>
                      </w:divBdr>
                      <w:divsChild>
                        <w:div w:id="1506626177">
                          <w:marLeft w:val="0"/>
                          <w:marRight w:val="0"/>
                          <w:marTop w:val="0"/>
                          <w:marBottom w:val="0"/>
                          <w:divBdr>
                            <w:top w:val="none" w:sz="0" w:space="0" w:color="auto"/>
                            <w:left w:val="none" w:sz="0" w:space="0" w:color="auto"/>
                            <w:bottom w:val="none" w:sz="0" w:space="0" w:color="auto"/>
                            <w:right w:val="none" w:sz="0" w:space="0" w:color="auto"/>
                          </w:divBdr>
                        </w:div>
                        <w:div w:id="1377118529">
                          <w:marLeft w:val="0"/>
                          <w:marRight w:val="0"/>
                          <w:marTop w:val="0"/>
                          <w:marBottom w:val="0"/>
                          <w:divBdr>
                            <w:top w:val="none" w:sz="0" w:space="0" w:color="auto"/>
                            <w:left w:val="none" w:sz="0" w:space="0" w:color="auto"/>
                            <w:bottom w:val="none" w:sz="0" w:space="0" w:color="auto"/>
                            <w:right w:val="none" w:sz="0" w:space="0" w:color="auto"/>
                          </w:divBdr>
                        </w:div>
                        <w:div w:id="886185595">
                          <w:marLeft w:val="0"/>
                          <w:marRight w:val="0"/>
                          <w:marTop w:val="0"/>
                          <w:marBottom w:val="0"/>
                          <w:divBdr>
                            <w:top w:val="none" w:sz="0" w:space="0" w:color="auto"/>
                            <w:left w:val="none" w:sz="0" w:space="0" w:color="auto"/>
                            <w:bottom w:val="none" w:sz="0" w:space="0" w:color="auto"/>
                            <w:right w:val="none" w:sz="0" w:space="0" w:color="auto"/>
                          </w:divBdr>
                        </w:div>
                      </w:divsChild>
                    </w:div>
                    <w:div w:id="479809192">
                      <w:marLeft w:val="0"/>
                      <w:marRight w:val="0"/>
                      <w:marTop w:val="0"/>
                      <w:marBottom w:val="0"/>
                      <w:divBdr>
                        <w:top w:val="none" w:sz="0" w:space="0" w:color="auto"/>
                        <w:left w:val="none" w:sz="0" w:space="0" w:color="auto"/>
                        <w:bottom w:val="none" w:sz="0" w:space="0" w:color="auto"/>
                        <w:right w:val="none" w:sz="0" w:space="0" w:color="auto"/>
                      </w:divBdr>
                      <w:divsChild>
                        <w:div w:id="199125269">
                          <w:marLeft w:val="0"/>
                          <w:marRight w:val="0"/>
                          <w:marTop w:val="0"/>
                          <w:marBottom w:val="0"/>
                          <w:divBdr>
                            <w:top w:val="none" w:sz="0" w:space="0" w:color="auto"/>
                            <w:left w:val="none" w:sz="0" w:space="0" w:color="auto"/>
                            <w:bottom w:val="none" w:sz="0" w:space="0" w:color="auto"/>
                            <w:right w:val="none" w:sz="0" w:space="0" w:color="auto"/>
                          </w:divBdr>
                        </w:div>
                      </w:divsChild>
                    </w:div>
                    <w:div w:id="1527209183">
                      <w:marLeft w:val="0"/>
                      <w:marRight w:val="0"/>
                      <w:marTop w:val="0"/>
                      <w:marBottom w:val="0"/>
                      <w:divBdr>
                        <w:top w:val="none" w:sz="0" w:space="0" w:color="auto"/>
                        <w:left w:val="none" w:sz="0" w:space="0" w:color="auto"/>
                        <w:bottom w:val="none" w:sz="0" w:space="0" w:color="auto"/>
                        <w:right w:val="none" w:sz="0" w:space="0" w:color="auto"/>
                      </w:divBdr>
                      <w:divsChild>
                        <w:div w:id="351343207">
                          <w:marLeft w:val="0"/>
                          <w:marRight w:val="0"/>
                          <w:marTop w:val="0"/>
                          <w:marBottom w:val="0"/>
                          <w:divBdr>
                            <w:top w:val="none" w:sz="0" w:space="0" w:color="auto"/>
                            <w:left w:val="none" w:sz="0" w:space="0" w:color="auto"/>
                            <w:bottom w:val="none" w:sz="0" w:space="0" w:color="auto"/>
                            <w:right w:val="none" w:sz="0" w:space="0" w:color="auto"/>
                          </w:divBdr>
                        </w:div>
                        <w:div w:id="157498865">
                          <w:marLeft w:val="0"/>
                          <w:marRight w:val="0"/>
                          <w:marTop w:val="0"/>
                          <w:marBottom w:val="0"/>
                          <w:divBdr>
                            <w:top w:val="none" w:sz="0" w:space="0" w:color="auto"/>
                            <w:left w:val="none" w:sz="0" w:space="0" w:color="auto"/>
                            <w:bottom w:val="none" w:sz="0" w:space="0" w:color="auto"/>
                            <w:right w:val="none" w:sz="0" w:space="0" w:color="auto"/>
                          </w:divBdr>
                        </w:div>
                        <w:div w:id="1576282307">
                          <w:marLeft w:val="0"/>
                          <w:marRight w:val="0"/>
                          <w:marTop w:val="0"/>
                          <w:marBottom w:val="0"/>
                          <w:divBdr>
                            <w:top w:val="none" w:sz="0" w:space="0" w:color="auto"/>
                            <w:left w:val="none" w:sz="0" w:space="0" w:color="auto"/>
                            <w:bottom w:val="none" w:sz="0" w:space="0" w:color="auto"/>
                            <w:right w:val="none" w:sz="0" w:space="0" w:color="auto"/>
                          </w:divBdr>
                        </w:div>
                        <w:div w:id="1605844052">
                          <w:marLeft w:val="0"/>
                          <w:marRight w:val="0"/>
                          <w:marTop w:val="0"/>
                          <w:marBottom w:val="0"/>
                          <w:divBdr>
                            <w:top w:val="none" w:sz="0" w:space="0" w:color="auto"/>
                            <w:left w:val="none" w:sz="0" w:space="0" w:color="auto"/>
                            <w:bottom w:val="none" w:sz="0" w:space="0" w:color="auto"/>
                            <w:right w:val="none" w:sz="0" w:space="0" w:color="auto"/>
                          </w:divBdr>
                        </w:div>
                        <w:div w:id="38361646">
                          <w:marLeft w:val="0"/>
                          <w:marRight w:val="0"/>
                          <w:marTop w:val="0"/>
                          <w:marBottom w:val="0"/>
                          <w:divBdr>
                            <w:top w:val="none" w:sz="0" w:space="0" w:color="auto"/>
                            <w:left w:val="none" w:sz="0" w:space="0" w:color="auto"/>
                            <w:bottom w:val="none" w:sz="0" w:space="0" w:color="auto"/>
                            <w:right w:val="none" w:sz="0" w:space="0" w:color="auto"/>
                          </w:divBdr>
                        </w:div>
                        <w:div w:id="791872153">
                          <w:marLeft w:val="0"/>
                          <w:marRight w:val="0"/>
                          <w:marTop w:val="0"/>
                          <w:marBottom w:val="0"/>
                          <w:divBdr>
                            <w:top w:val="none" w:sz="0" w:space="0" w:color="auto"/>
                            <w:left w:val="none" w:sz="0" w:space="0" w:color="auto"/>
                            <w:bottom w:val="none" w:sz="0" w:space="0" w:color="auto"/>
                            <w:right w:val="none" w:sz="0" w:space="0" w:color="auto"/>
                          </w:divBdr>
                        </w:div>
                        <w:div w:id="986125483">
                          <w:marLeft w:val="0"/>
                          <w:marRight w:val="0"/>
                          <w:marTop w:val="0"/>
                          <w:marBottom w:val="0"/>
                          <w:divBdr>
                            <w:top w:val="none" w:sz="0" w:space="0" w:color="auto"/>
                            <w:left w:val="none" w:sz="0" w:space="0" w:color="auto"/>
                            <w:bottom w:val="none" w:sz="0" w:space="0" w:color="auto"/>
                            <w:right w:val="none" w:sz="0" w:space="0" w:color="auto"/>
                          </w:divBdr>
                        </w:div>
                        <w:div w:id="1815025115">
                          <w:marLeft w:val="0"/>
                          <w:marRight w:val="0"/>
                          <w:marTop w:val="0"/>
                          <w:marBottom w:val="0"/>
                          <w:divBdr>
                            <w:top w:val="none" w:sz="0" w:space="0" w:color="auto"/>
                            <w:left w:val="none" w:sz="0" w:space="0" w:color="auto"/>
                            <w:bottom w:val="none" w:sz="0" w:space="0" w:color="auto"/>
                            <w:right w:val="none" w:sz="0" w:space="0" w:color="auto"/>
                          </w:divBdr>
                        </w:div>
                      </w:divsChild>
                    </w:div>
                    <w:div w:id="943659326">
                      <w:marLeft w:val="0"/>
                      <w:marRight w:val="0"/>
                      <w:marTop w:val="0"/>
                      <w:marBottom w:val="0"/>
                      <w:divBdr>
                        <w:top w:val="none" w:sz="0" w:space="0" w:color="auto"/>
                        <w:left w:val="none" w:sz="0" w:space="0" w:color="auto"/>
                        <w:bottom w:val="none" w:sz="0" w:space="0" w:color="auto"/>
                        <w:right w:val="none" w:sz="0" w:space="0" w:color="auto"/>
                      </w:divBdr>
                      <w:divsChild>
                        <w:div w:id="50740363">
                          <w:marLeft w:val="0"/>
                          <w:marRight w:val="0"/>
                          <w:marTop w:val="0"/>
                          <w:marBottom w:val="0"/>
                          <w:divBdr>
                            <w:top w:val="none" w:sz="0" w:space="0" w:color="auto"/>
                            <w:left w:val="none" w:sz="0" w:space="0" w:color="auto"/>
                            <w:bottom w:val="none" w:sz="0" w:space="0" w:color="auto"/>
                            <w:right w:val="none" w:sz="0" w:space="0" w:color="auto"/>
                          </w:divBdr>
                        </w:div>
                        <w:div w:id="971668543">
                          <w:marLeft w:val="0"/>
                          <w:marRight w:val="0"/>
                          <w:marTop w:val="0"/>
                          <w:marBottom w:val="0"/>
                          <w:divBdr>
                            <w:top w:val="none" w:sz="0" w:space="0" w:color="auto"/>
                            <w:left w:val="none" w:sz="0" w:space="0" w:color="auto"/>
                            <w:bottom w:val="none" w:sz="0" w:space="0" w:color="auto"/>
                            <w:right w:val="none" w:sz="0" w:space="0" w:color="auto"/>
                          </w:divBdr>
                        </w:div>
                        <w:div w:id="1010066420">
                          <w:marLeft w:val="0"/>
                          <w:marRight w:val="0"/>
                          <w:marTop w:val="0"/>
                          <w:marBottom w:val="0"/>
                          <w:divBdr>
                            <w:top w:val="none" w:sz="0" w:space="0" w:color="auto"/>
                            <w:left w:val="none" w:sz="0" w:space="0" w:color="auto"/>
                            <w:bottom w:val="none" w:sz="0" w:space="0" w:color="auto"/>
                            <w:right w:val="none" w:sz="0" w:space="0" w:color="auto"/>
                          </w:divBdr>
                        </w:div>
                        <w:div w:id="644623488">
                          <w:marLeft w:val="0"/>
                          <w:marRight w:val="0"/>
                          <w:marTop w:val="0"/>
                          <w:marBottom w:val="0"/>
                          <w:divBdr>
                            <w:top w:val="none" w:sz="0" w:space="0" w:color="auto"/>
                            <w:left w:val="none" w:sz="0" w:space="0" w:color="auto"/>
                            <w:bottom w:val="none" w:sz="0" w:space="0" w:color="auto"/>
                            <w:right w:val="none" w:sz="0" w:space="0" w:color="auto"/>
                          </w:divBdr>
                        </w:div>
                        <w:div w:id="1168641072">
                          <w:marLeft w:val="0"/>
                          <w:marRight w:val="0"/>
                          <w:marTop w:val="0"/>
                          <w:marBottom w:val="0"/>
                          <w:divBdr>
                            <w:top w:val="none" w:sz="0" w:space="0" w:color="auto"/>
                            <w:left w:val="none" w:sz="0" w:space="0" w:color="auto"/>
                            <w:bottom w:val="none" w:sz="0" w:space="0" w:color="auto"/>
                            <w:right w:val="none" w:sz="0" w:space="0" w:color="auto"/>
                          </w:divBdr>
                        </w:div>
                        <w:div w:id="735052549">
                          <w:marLeft w:val="0"/>
                          <w:marRight w:val="0"/>
                          <w:marTop w:val="0"/>
                          <w:marBottom w:val="0"/>
                          <w:divBdr>
                            <w:top w:val="none" w:sz="0" w:space="0" w:color="auto"/>
                            <w:left w:val="none" w:sz="0" w:space="0" w:color="auto"/>
                            <w:bottom w:val="none" w:sz="0" w:space="0" w:color="auto"/>
                            <w:right w:val="none" w:sz="0" w:space="0" w:color="auto"/>
                          </w:divBdr>
                        </w:div>
                        <w:div w:id="1648318147">
                          <w:marLeft w:val="0"/>
                          <w:marRight w:val="0"/>
                          <w:marTop w:val="0"/>
                          <w:marBottom w:val="0"/>
                          <w:divBdr>
                            <w:top w:val="none" w:sz="0" w:space="0" w:color="auto"/>
                            <w:left w:val="none" w:sz="0" w:space="0" w:color="auto"/>
                            <w:bottom w:val="none" w:sz="0" w:space="0" w:color="auto"/>
                            <w:right w:val="none" w:sz="0" w:space="0" w:color="auto"/>
                          </w:divBdr>
                        </w:div>
                        <w:div w:id="651831583">
                          <w:marLeft w:val="0"/>
                          <w:marRight w:val="0"/>
                          <w:marTop w:val="0"/>
                          <w:marBottom w:val="0"/>
                          <w:divBdr>
                            <w:top w:val="none" w:sz="0" w:space="0" w:color="auto"/>
                            <w:left w:val="none" w:sz="0" w:space="0" w:color="auto"/>
                            <w:bottom w:val="none" w:sz="0" w:space="0" w:color="auto"/>
                            <w:right w:val="none" w:sz="0" w:space="0" w:color="auto"/>
                          </w:divBdr>
                        </w:div>
                        <w:div w:id="775825833">
                          <w:marLeft w:val="0"/>
                          <w:marRight w:val="0"/>
                          <w:marTop w:val="0"/>
                          <w:marBottom w:val="0"/>
                          <w:divBdr>
                            <w:top w:val="none" w:sz="0" w:space="0" w:color="auto"/>
                            <w:left w:val="none" w:sz="0" w:space="0" w:color="auto"/>
                            <w:bottom w:val="none" w:sz="0" w:space="0" w:color="auto"/>
                            <w:right w:val="none" w:sz="0" w:space="0" w:color="auto"/>
                          </w:divBdr>
                        </w:div>
                      </w:divsChild>
                    </w:div>
                    <w:div w:id="843857124">
                      <w:marLeft w:val="0"/>
                      <w:marRight w:val="0"/>
                      <w:marTop w:val="0"/>
                      <w:marBottom w:val="0"/>
                      <w:divBdr>
                        <w:top w:val="none" w:sz="0" w:space="0" w:color="auto"/>
                        <w:left w:val="none" w:sz="0" w:space="0" w:color="auto"/>
                        <w:bottom w:val="none" w:sz="0" w:space="0" w:color="auto"/>
                        <w:right w:val="none" w:sz="0" w:space="0" w:color="auto"/>
                      </w:divBdr>
                      <w:divsChild>
                        <w:div w:id="1829055019">
                          <w:marLeft w:val="0"/>
                          <w:marRight w:val="0"/>
                          <w:marTop w:val="0"/>
                          <w:marBottom w:val="0"/>
                          <w:divBdr>
                            <w:top w:val="none" w:sz="0" w:space="0" w:color="auto"/>
                            <w:left w:val="none" w:sz="0" w:space="0" w:color="auto"/>
                            <w:bottom w:val="none" w:sz="0" w:space="0" w:color="auto"/>
                            <w:right w:val="none" w:sz="0" w:space="0" w:color="auto"/>
                          </w:divBdr>
                        </w:div>
                        <w:div w:id="1077631945">
                          <w:marLeft w:val="0"/>
                          <w:marRight w:val="0"/>
                          <w:marTop w:val="0"/>
                          <w:marBottom w:val="0"/>
                          <w:divBdr>
                            <w:top w:val="none" w:sz="0" w:space="0" w:color="auto"/>
                            <w:left w:val="none" w:sz="0" w:space="0" w:color="auto"/>
                            <w:bottom w:val="none" w:sz="0" w:space="0" w:color="auto"/>
                            <w:right w:val="none" w:sz="0" w:space="0" w:color="auto"/>
                          </w:divBdr>
                        </w:div>
                        <w:div w:id="1071075632">
                          <w:marLeft w:val="0"/>
                          <w:marRight w:val="0"/>
                          <w:marTop w:val="0"/>
                          <w:marBottom w:val="0"/>
                          <w:divBdr>
                            <w:top w:val="none" w:sz="0" w:space="0" w:color="auto"/>
                            <w:left w:val="none" w:sz="0" w:space="0" w:color="auto"/>
                            <w:bottom w:val="none" w:sz="0" w:space="0" w:color="auto"/>
                            <w:right w:val="none" w:sz="0" w:space="0" w:color="auto"/>
                          </w:divBdr>
                        </w:div>
                      </w:divsChild>
                    </w:div>
                    <w:div w:id="1203054304">
                      <w:marLeft w:val="0"/>
                      <w:marRight w:val="0"/>
                      <w:marTop w:val="0"/>
                      <w:marBottom w:val="0"/>
                      <w:divBdr>
                        <w:top w:val="none" w:sz="0" w:space="0" w:color="auto"/>
                        <w:left w:val="none" w:sz="0" w:space="0" w:color="auto"/>
                        <w:bottom w:val="none" w:sz="0" w:space="0" w:color="auto"/>
                        <w:right w:val="none" w:sz="0" w:space="0" w:color="auto"/>
                      </w:divBdr>
                      <w:divsChild>
                        <w:div w:id="445782748">
                          <w:marLeft w:val="0"/>
                          <w:marRight w:val="0"/>
                          <w:marTop w:val="0"/>
                          <w:marBottom w:val="0"/>
                          <w:divBdr>
                            <w:top w:val="none" w:sz="0" w:space="0" w:color="auto"/>
                            <w:left w:val="none" w:sz="0" w:space="0" w:color="auto"/>
                            <w:bottom w:val="none" w:sz="0" w:space="0" w:color="auto"/>
                            <w:right w:val="none" w:sz="0" w:space="0" w:color="auto"/>
                          </w:divBdr>
                        </w:div>
                      </w:divsChild>
                    </w:div>
                    <w:div w:id="631180921">
                      <w:marLeft w:val="0"/>
                      <w:marRight w:val="0"/>
                      <w:marTop w:val="0"/>
                      <w:marBottom w:val="0"/>
                      <w:divBdr>
                        <w:top w:val="none" w:sz="0" w:space="0" w:color="auto"/>
                        <w:left w:val="none" w:sz="0" w:space="0" w:color="auto"/>
                        <w:bottom w:val="none" w:sz="0" w:space="0" w:color="auto"/>
                        <w:right w:val="none" w:sz="0" w:space="0" w:color="auto"/>
                      </w:divBdr>
                      <w:divsChild>
                        <w:div w:id="1734233803">
                          <w:marLeft w:val="0"/>
                          <w:marRight w:val="0"/>
                          <w:marTop w:val="0"/>
                          <w:marBottom w:val="0"/>
                          <w:divBdr>
                            <w:top w:val="none" w:sz="0" w:space="0" w:color="auto"/>
                            <w:left w:val="none" w:sz="0" w:space="0" w:color="auto"/>
                            <w:bottom w:val="none" w:sz="0" w:space="0" w:color="auto"/>
                            <w:right w:val="none" w:sz="0" w:space="0" w:color="auto"/>
                          </w:divBdr>
                        </w:div>
                        <w:div w:id="1375228938">
                          <w:marLeft w:val="0"/>
                          <w:marRight w:val="0"/>
                          <w:marTop w:val="0"/>
                          <w:marBottom w:val="0"/>
                          <w:divBdr>
                            <w:top w:val="none" w:sz="0" w:space="0" w:color="auto"/>
                            <w:left w:val="none" w:sz="0" w:space="0" w:color="auto"/>
                            <w:bottom w:val="none" w:sz="0" w:space="0" w:color="auto"/>
                            <w:right w:val="none" w:sz="0" w:space="0" w:color="auto"/>
                          </w:divBdr>
                        </w:div>
                        <w:div w:id="866719076">
                          <w:marLeft w:val="0"/>
                          <w:marRight w:val="0"/>
                          <w:marTop w:val="0"/>
                          <w:marBottom w:val="0"/>
                          <w:divBdr>
                            <w:top w:val="none" w:sz="0" w:space="0" w:color="auto"/>
                            <w:left w:val="none" w:sz="0" w:space="0" w:color="auto"/>
                            <w:bottom w:val="none" w:sz="0" w:space="0" w:color="auto"/>
                            <w:right w:val="none" w:sz="0" w:space="0" w:color="auto"/>
                          </w:divBdr>
                        </w:div>
                        <w:div w:id="515196254">
                          <w:marLeft w:val="0"/>
                          <w:marRight w:val="0"/>
                          <w:marTop w:val="0"/>
                          <w:marBottom w:val="0"/>
                          <w:divBdr>
                            <w:top w:val="none" w:sz="0" w:space="0" w:color="auto"/>
                            <w:left w:val="none" w:sz="0" w:space="0" w:color="auto"/>
                            <w:bottom w:val="none" w:sz="0" w:space="0" w:color="auto"/>
                            <w:right w:val="none" w:sz="0" w:space="0" w:color="auto"/>
                          </w:divBdr>
                        </w:div>
                        <w:div w:id="923416862">
                          <w:marLeft w:val="0"/>
                          <w:marRight w:val="0"/>
                          <w:marTop w:val="0"/>
                          <w:marBottom w:val="0"/>
                          <w:divBdr>
                            <w:top w:val="none" w:sz="0" w:space="0" w:color="auto"/>
                            <w:left w:val="none" w:sz="0" w:space="0" w:color="auto"/>
                            <w:bottom w:val="none" w:sz="0" w:space="0" w:color="auto"/>
                            <w:right w:val="none" w:sz="0" w:space="0" w:color="auto"/>
                          </w:divBdr>
                        </w:div>
                        <w:div w:id="1605918738">
                          <w:marLeft w:val="0"/>
                          <w:marRight w:val="0"/>
                          <w:marTop w:val="0"/>
                          <w:marBottom w:val="0"/>
                          <w:divBdr>
                            <w:top w:val="none" w:sz="0" w:space="0" w:color="auto"/>
                            <w:left w:val="none" w:sz="0" w:space="0" w:color="auto"/>
                            <w:bottom w:val="none" w:sz="0" w:space="0" w:color="auto"/>
                            <w:right w:val="none" w:sz="0" w:space="0" w:color="auto"/>
                          </w:divBdr>
                        </w:div>
                        <w:div w:id="631327061">
                          <w:marLeft w:val="0"/>
                          <w:marRight w:val="0"/>
                          <w:marTop w:val="0"/>
                          <w:marBottom w:val="0"/>
                          <w:divBdr>
                            <w:top w:val="none" w:sz="0" w:space="0" w:color="auto"/>
                            <w:left w:val="none" w:sz="0" w:space="0" w:color="auto"/>
                            <w:bottom w:val="none" w:sz="0" w:space="0" w:color="auto"/>
                            <w:right w:val="none" w:sz="0" w:space="0" w:color="auto"/>
                          </w:divBdr>
                        </w:div>
                        <w:div w:id="1331179369">
                          <w:marLeft w:val="0"/>
                          <w:marRight w:val="0"/>
                          <w:marTop w:val="0"/>
                          <w:marBottom w:val="0"/>
                          <w:divBdr>
                            <w:top w:val="none" w:sz="0" w:space="0" w:color="auto"/>
                            <w:left w:val="none" w:sz="0" w:space="0" w:color="auto"/>
                            <w:bottom w:val="none" w:sz="0" w:space="0" w:color="auto"/>
                            <w:right w:val="none" w:sz="0" w:space="0" w:color="auto"/>
                          </w:divBdr>
                        </w:div>
                      </w:divsChild>
                    </w:div>
                    <w:div w:id="193662081">
                      <w:marLeft w:val="0"/>
                      <w:marRight w:val="0"/>
                      <w:marTop w:val="0"/>
                      <w:marBottom w:val="0"/>
                      <w:divBdr>
                        <w:top w:val="none" w:sz="0" w:space="0" w:color="auto"/>
                        <w:left w:val="none" w:sz="0" w:space="0" w:color="auto"/>
                        <w:bottom w:val="none" w:sz="0" w:space="0" w:color="auto"/>
                        <w:right w:val="none" w:sz="0" w:space="0" w:color="auto"/>
                      </w:divBdr>
                      <w:divsChild>
                        <w:div w:id="1323703972">
                          <w:marLeft w:val="0"/>
                          <w:marRight w:val="0"/>
                          <w:marTop w:val="0"/>
                          <w:marBottom w:val="0"/>
                          <w:divBdr>
                            <w:top w:val="none" w:sz="0" w:space="0" w:color="auto"/>
                            <w:left w:val="none" w:sz="0" w:space="0" w:color="auto"/>
                            <w:bottom w:val="none" w:sz="0" w:space="0" w:color="auto"/>
                            <w:right w:val="none" w:sz="0" w:space="0" w:color="auto"/>
                          </w:divBdr>
                        </w:div>
                        <w:div w:id="139426384">
                          <w:marLeft w:val="0"/>
                          <w:marRight w:val="0"/>
                          <w:marTop w:val="0"/>
                          <w:marBottom w:val="0"/>
                          <w:divBdr>
                            <w:top w:val="none" w:sz="0" w:space="0" w:color="auto"/>
                            <w:left w:val="none" w:sz="0" w:space="0" w:color="auto"/>
                            <w:bottom w:val="none" w:sz="0" w:space="0" w:color="auto"/>
                            <w:right w:val="none" w:sz="0" w:space="0" w:color="auto"/>
                          </w:divBdr>
                        </w:div>
                        <w:div w:id="2061510685">
                          <w:marLeft w:val="0"/>
                          <w:marRight w:val="0"/>
                          <w:marTop w:val="0"/>
                          <w:marBottom w:val="0"/>
                          <w:divBdr>
                            <w:top w:val="none" w:sz="0" w:space="0" w:color="auto"/>
                            <w:left w:val="none" w:sz="0" w:space="0" w:color="auto"/>
                            <w:bottom w:val="none" w:sz="0" w:space="0" w:color="auto"/>
                            <w:right w:val="none" w:sz="0" w:space="0" w:color="auto"/>
                          </w:divBdr>
                        </w:div>
                        <w:div w:id="1907178178">
                          <w:marLeft w:val="0"/>
                          <w:marRight w:val="0"/>
                          <w:marTop w:val="0"/>
                          <w:marBottom w:val="0"/>
                          <w:divBdr>
                            <w:top w:val="none" w:sz="0" w:space="0" w:color="auto"/>
                            <w:left w:val="none" w:sz="0" w:space="0" w:color="auto"/>
                            <w:bottom w:val="none" w:sz="0" w:space="0" w:color="auto"/>
                            <w:right w:val="none" w:sz="0" w:space="0" w:color="auto"/>
                          </w:divBdr>
                        </w:div>
                        <w:div w:id="1072003682">
                          <w:marLeft w:val="0"/>
                          <w:marRight w:val="0"/>
                          <w:marTop w:val="0"/>
                          <w:marBottom w:val="0"/>
                          <w:divBdr>
                            <w:top w:val="none" w:sz="0" w:space="0" w:color="auto"/>
                            <w:left w:val="none" w:sz="0" w:space="0" w:color="auto"/>
                            <w:bottom w:val="none" w:sz="0" w:space="0" w:color="auto"/>
                            <w:right w:val="none" w:sz="0" w:space="0" w:color="auto"/>
                          </w:divBdr>
                        </w:div>
                        <w:div w:id="756363505">
                          <w:marLeft w:val="0"/>
                          <w:marRight w:val="0"/>
                          <w:marTop w:val="0"/>
                          <w:marBottom w:val="0"/>
                          <w:divBdr>
                            <w:top w:val="none" w:sz="0" w:space="0" w:color="auto"/>
                            <w:left w:val="none" w:sz="0" w:space="0" w:color="auto"/>
                            <w:bottom w:val="none" w:sz="0" w:space="0" w:color="auto"/>
                            <w:right w:val="none" w:sz="0" w:space="0" w:color="auto"/>
                          </w:divBdr>
                        </w:div>
                        <w:div w:id="539784983">
                          <w:marLeft w:val="0"/>
                          <w:marRight w:val="0"/>
                          <w:marTop w:val="0"/>
                          <w:marBottom w:val="0"/>
                          <w:divBdr>
                            <w:top w:val="none" w:sz="0" w:space="0" w:color="auto"/>
                            <w:left w:val="none" w:sz="0" w:space="0" w:color="auto"/>
                            <w:bottom w:val="none" w:sz="0" w:space="0" w:color="auto"/>
                            <w:right w:val="none" w:sz="0" w:space="0" w:color="auto"/>
                          </w:divBdr>
                        </w:div>
                        <w:div w:id="1577402935">
                          <w:marLeft w:val="0"/>
                          <w:marRight w:val="0"/>
                          <w:marTop w:val="0"/>
                          <w:marBottom w:val="0"/>
                          <w:divBdr>
                            <w:top w:val="none" w:sz="0" w:space="0" w:color="auto"/>
                            <w:left w:val="none" w:sz="0" w:space="0" w:color="auto"/>
                            <w:bottom w:val="none" w:sz="0" w:space="0" w:color="auto"/>
                            <w:right w:val="none" w:sz="0" w:space="0" w:color="auto"/>
                          </w:divBdr>
                        </w:div>
                        <w:div w:id="1628703074">
                          <w:marLeft w:val="0"/>
                          <w:marRight w:val="0"/>
                          <w:marTop w:val="0"/>
                          <w:marBottom w:val="0"/>
                          <w:divBdr>
                            <w:top w:val="none" w:sz="0" w:space="0" w:color="auto"/>
                            <w:left w:val="none" w:sz="0" w:space="0" w:color="auto"/>
                            <w:bottom w:val="none" w:sz="0" w:space="0" w:color="auto"/>
                            <w:right w:val="none" w:sz="0" w:space="0" w:color="auto"/>
                          </w:divBdr>
                        </w:div>
                        <w:div w:id="13791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055229154">
      <w:bodyDiv w:val="1"/>
      <w:marLeft w:val="0"/>
      <w:marRight w:val="0"/>
      <w:marTop w:val="0"/>
      <w:marBottom w:val="0"/>
      <w:divBdr>
        <w:top w:val="none" w:sz="0" w:space="0" w:color="auto"/>
        <w:left w:val="none" w:sz="0" w:space="0" w:color="auto"/>
        <w:bottom w:val="none" w:sz="0" w:space="0" w:color="auto"/>
        <w:right w:val="none" w:sz="0" w:space="0" w:color="auto"/>
      </w:divBdr>
      <w:divsChild>
        <w:div w:id="224873867">
          <w:marLeft w:val="0"/>
          <w:marRight w:val="0"/>
          <w:marTop w:val="0"/>
          <w:marBottom w:val="0"/>
          <w:divBdr>
            <w:top w:val="none" w:sz="0" w:space="0" w:color="auto"/>
            <w:left w:val="none" w:sz="0" w:space="0" w:color="auto"/>
            <w:bottom w:val="none" w:sz="0" w:space="0" w:color="auto"/>
            <w:right w:val="none" w:sz="0" w:space="0" w:color="auto"/>
          </w:divBdr>
          <w:divsChild>
            <w:div w:id="1711344181">
              <w:marLeft w:val="0"/>
              <w:marRight w:val="0"/>
              <w:marTop w:val="0"/>
              <w:marBottom w:val="0"/>
              <w:divBdr>
                <w:top w:val="none" w:sz="0" w:space="0" w:color="auto"/>
                <w:left w:val="none" w:sz="0" w:space="0" w:color="auto"/>
                <w:bottom w:val="none" w:sz="0" w:space="0" w:color="auto"/>
                <w:right w:val="none" w:sz="0" w:space="0" w:color="auto"/>
              </w:divBdr>
              <w:divsChild>
                <w:div w:id="1172792350">
                  <w:marLeft w:val="0"/>
                  <w:marRight w:val="0"/>
                  <w:marTop w:val="0"/>
                  <w:marBottom w:val="0"/>
                  <w:divBdr>
                    <w:top w:val="none" w:sz="0" w:space="0" w:color="auto"/>
                    <w:left w:val="none" w:sz="0" w:space="0" w:color="auto"/>
                    <w:bottom w:val="none" w:sz="0" w:space="0" w:color="auto"/>
                    <w:right w:val="none" w:sz="0" w:space="0" w:color="auto"/>
                  </w:divBdr>
                  <w:divsChild>
                    <w:div w:id="1503936922">
                      <w:marLeft w:val="0"/>
                      <w:marRight w:val="0"/>
                      <w:marTop w:val="0"/>
                      <w:marBottom w:val="0"/>
                      <w:divBdr>
                        <w:top w:val="none" w:sz="0" w:space="0" w:color="auto"/>
                        <w:left w:val="none" w:sz="0" w:space="0" w:color="auto"/>
                        <w:bottom w:val="none" w:sz="0" w:space="0" w:color="auto"/>
                        <w:right w:val="none" w:sz="0" w:space="0" w:color="auto"/>
                      </w:divBdr>
                      <w:divsChild>
                        <w:div w:id="1493835878">
                          <w:marLeft w:val="0"/>
                          <w:marRight w:val="0"/>
                          <w:marTop w:val="0"/>
                          <w:marBottom w:val="0"/>
                          <w:divBdr>
                            <w:top w:val="none" w:sz="0" w:space="0" w:color="auto"/>
                            <w:left w:val="none" w:sz="0" w:space="0" w:color="auto"/>
                            <w:bottom w:val="none" w:sz="0" w:space="0" w:color="auto"/>
                            <w:right w:val="none" w:sz="0" w:space="0" w:color="auto"/>
                          </w:divBdr>
                        </w:div>
                      </w:divsChild>
                    </w:div>
                    <w:div w:id="1286736074">
                      <w:marLeft w:val="0"/>
                      <w:marRight w:val="0"/>
                      <w:marTop w:val="0"/>
                      <w:marBottom w:val="0"/>
                      <w:divBdr>
                        <w:top w:val="none" w:sz="0" w:space="0" w:color="auto"/>
                        <w:left w:val="none" w:sz="0" w:space="0" w:color="auto"/>
                        <w:bottom w:val="none" w:sz="0" w:space="0" w:color="auto"/>
                        <w:right w:val="none" w:sz="0" w:space="0" w:color="auto"/>
                      </w:divBdr>
                      <w:divsChild>
                        <w:div w:id="1343389615">
                          <w:marLeft w:val="0"/>
                          <w:marRight w:val="0"/>
                          <w:marTop w:val="0"/>
                          <w:marBottom w:val="0"/>
                          <w:divBdr>
                            <w:top w:val="none" w:sz="0" w:space="0" w:color="auto"/>
                            <w:left w:val="none" w:sz="0" w:space="0" w:color="auto"/>
                            <w:bottom w:val="none" w:sz="0" w:space="0" w:color="auto"/>
                            <w:right w:val="none" w:sz="0" w:space="0" w:color="auto"/>
                          </w:divBdr>
                        </w:div>
                        <w:div w:id="94908632">
                          <w:marLeft w:val="0"/>
                          <w:marRight w:val="0"/>
                          <w:marTop w:val="0"/>
                          <w:marBottom w:val="0"/>
                          <w:divBdr>
                            <w:top w:val="none" w:sz="0" w:space="0" w:color="auto"/>
                            <w:left w:val="none" w:sz="0" w:space="0" w:color="auto"/>
                            <w:bottom w:val="none" w:sz="0" w:space="0" w:color="auto"/>
                            <w:right w:val="none" w:sz="0" w:space="0" w:color="auto"/>
                          </w:divBdr>
                        </w:div>
                        <w:div w:id="1782452685">
                          <w:marLeft w:val="0"/>
                          <w:marRight w:val="0"/>
                          <w:marTop w:val="0"/>
                          <w:marBottom w:val="0"/>
                          <w:divBdr>
                            <w:top w:val="none" w:sz="0" w:space="0" w:color="auto"/>
                            <w:left w:val="none" w:sz="0" w:space="0" w:color="auto"/>
                            <w:bottom w:val="none" w:sz="0" w:space="0" w:color="auto"/>
                            <w:right w:val="none" w:sz="0" w:space="0" w:color="auto"/>
                          </w:divBdr>
                        </w:div>
                        <w:div w:id="2013948839">
                          <w:marLeft w:val="0"/>
                          <w:marRight w:val="0"/>
                          <w:marTop w:val="0"/>
                          <w:marBottom w:val="0"/>
                          <w:divBdr>
                            <w:top w:val="none" w:sz="0" w:space="0" w:color="auto"/>
                            <w:left w:val="none" w:sz="0" w:space="0" w:color="auto"/>
                            <w:bottom w:val="none" w:sz="0" w:space="0" w:color="auto"/>
                            <w:right w:val="none" w:sz="0" w:space="0" w:color="auto"/>
                          </w:divBdr>
                        </w:div>
                      </w:divsChild>
                    </w:div>
                    <w:div w:id="1015308851">
                      <w:marLeft w:val="0"/>
                      <w:marRight w:val="0"/>
                      <w:marTop w:val="0"/>
                      <w:marBottom w:val="0"/>
                      <w:divBdr>
                        <w:top w:val="none" w:sz="0" w:space="0" w:color="auto"/>
                        <w:left w:val="none" w:sz="0" w:space="0" w:color="auto"/>
                        <w:bottom w:val="none" w:sz="0" w:space="0" w:color="auto"/>
                        <w:right w:val="none" w:sz="0" w:space="0" w:color="auto"/>
                      </w:divBdr>
                      <w:divsChild>
                        <w:div w:id="819540363">
                          <w:marLeft w:val="0"/>
                          <w:marRight w:val="0"/>
                          <w:marTop w:val="0"/>
                          <w:marBottom w:val="0"/>
                          <w:divBdr>
                            <w:top w:val="none" w:sz="0" w:space="0" w:color="auto"/>
                            <w:left w:val="none" w:sz="0" w:space="0" w:color="auto"/>
                            <w:bottom w:val="none" w:sz="0" w:space="0" w:color="auto"/>
                            <w:right w:val="none" w:sz="0" w:space="0" w:color="auto"/>
                          </w:divBdr>
                        </w:div>
                        <w:div w:id="634918146">
                          <w:marLeft w:val="0"/>
                          <w:marRight w:val="0"/>
                          <w:marTop w:val="0"/>
                          <w:marBottom w:val="0"/>
                          <w:divBdr>
                            <w:top w:val="none" w:sz="0" w:space="0" w:color="auto"/>
                            <w:left w:val="none" w:sz="0" w:space="0" w:color="auto"/>
                            <w:bottom w:val="none" w:sz="0" w:space="0" w:color="auto"/>
                            <w:right w:val="none" w:sz="0" w:space="0" w:color="auto"/>
                          </w:divBdr>
                        </w:div>
                        <w:div w:id="2092657526">
                          <w:marLeft w:val="0"/>
                          <w:marRight w:val="0"/>
                          <w:marTop w:val="0"/>
                          <w:marBottom w:val="0"/>
                          <w:divBdr>
                            <w:top w:val="none" w:sz="0" w:space="0" w:color="auto"/>
                            <w:left w:val="none" w:sz="0" w:space="0" w:color="auto"/>
                            <w:bottom w:val="none" w:sz="0" w:space="0" w:color="auto"/>
                            <w:right w:val="none" w:sz="0" w:space="0" w:color="auto"/>
                          </w:divBdr>
                        </w:div>
                        <w:div w:id="700324581">
                          <w:marLeft w:val="0"/>
                          <w:marRight w:val="0"/>
                          <w:marTop w:val="0"/>
                          <w:marBottom w:val="0"/>
                          <w:divBdr>
                            <w:top w:val="none" w:sz="0" w:space="0" w:color="auto"/>
                            <w:left w:val="none" w:sz="0" w:space="0" w:color="auto"/>
                            <w:bottom w:val="none" w:sz="0" w:space="0" w:color="auto"/>
                            <w:right w:val="none" w:sz="0" w:space="0" w:color="auto"/>
                          </w:divBdr>
                        </w:div>
                        <w:div w:id="1520898396">
                          <w:marLeft w:val="0"/>
                          <w:marRight w:val="0"/>
                          <w:marTop w:val="0"/>
                          <w:marBottom w:val="0"/>
                          <w:divBdr>
                            <w:top w:val="none" w:sz="0" w:space="0" w:color="auto"/>
                            <w:left w:val="none" w:sz="0" w:space="0" w:color="auto"/>
                            <w:bottom w:val="none" w:sz="0" w:space="0" w:color="auto"/>
                            <w:right w:val="none" w:sz="0" w:space="0" w:color="auto"/>
                          </w:divBdr>
                        </w:div>
                      </w:divsChild>
                    </w:div>
                    <w:div w:id="1402871035">
                      <w:marLeft w:val="0"/>
                      <w:marRight w:val="0"/>
                      <w:marTop w:val="0"/>
                      <w:marBottom w:val="0"/>
                      <w:divBdr>
                        <w:top w:val="none" w:sz="0" w:space="0" w:color="auto"/>
                        <w:left w:val="none" w:sz="0" w:space="0" w:color="auto"/>
                        <w:bottom w:val="none" w:sz="0" w:space="0" w:color="auto"/>
                        <w:right w:val="none" w:sz="0" w:space="0" w:color="auto"/>
                      </w:divBdr>
                      <w:divsChild>
                        <w:div w:id="1397050273">
                          <w:marLeft w:val="0"/>
                          <w:marRight w:val="0"/>
                          <w:marTop w:val="0"/>
                          <w:marBottom w:val="0"/>
                          <w:divBdr>
                            <w:top w:val="none" w:sz="0" w:space="0" w:color="auto"/>
                            <w:left w:val="none" w:sz="0" w:space="0" w:color="auto"/>
                            <w:bottom w:val="none" w:sz="0" w:space="0" w:color="auto"/>
                            <w:right w:val="none" w:sz="0" w:space="0" w:color="auto"/>
                          </w:divBdr>
                        </w:div>
                      </w:divsChild>
                    </w:div>
                    <w:div w:id="1609772215">
                      <w:marLeft w:val="0"/>
                      <w:marRight w:val="0"/>
                      <w:marTop w:val="0"/>
                      <w:marBottom w:val="0"/>
                      <w:divBdr>
                        <w:top w:val="none" w:sz="0" w:space="0" w:color="auto"/>
                        <w:left w:val="none" w:sz="0" w:space="0" w:color="auto"/>
                        <w:bottom w:val="none" w:sz="0" w:space="0" w:color="auto"/>
                        <w:right w:val="none" w:sz="0" w:space="0" w:color="auto"/>
                      </w:divBdr>
                      <w:divsChild>
                        <w:div w:id="1385833066">
                          <w:marLeft w:val="0"/>
                          <w:marRight w:val="0"/>
                          <w:marTop w:val="0"/>
                          <w:marBottom w:val="0"/>
                          <w:divBdr>
                            <w:top w:val="none" w:sz="0" w:space="0" w:color="auto"/>
                            <w:left w:val="none" w:sz="0" w:space="0" w:color="auto"/>
                            <w:bottom w:val="none" w:sz="0" w:space="0" w:color="auto"/>
                            <w:right w:val="none" w:sz="0" w:space="0" w:color="auto"/>
                          </w:divBdr>
                        </w:div>
                        <w:div w:id="1399665235">
                          <w:marLeft w:val="0"/>
                          <w:marRight w:val="0"/>
                          <w:marTop w:val="0"/>
                          <w:marBottom w:val="0"/>
                          <w:divBdr>
                            <w:top w:val="none" w:sz="0" w:space="0" w:color="auto"/>
                            <w:left w:val="none" w:sz="0" w:space="0" w:color="auto"/>
                            <w:bottom w:val="none" w:sz="0" w:space="0" w:color="auto"/>
                            <w:right w:val="none" w:sz="0" w:space="0" w:color="auto"/>
                          </w:divBdr>
                        </w:div>
                        <w:div w:id="1063599072">
                          <w:marLeft w:val="0"/>
                          <w:marRight w:val="0"/>
                          <w:marTop w:val="0"/>
                          <w:marBottom w:val="0"/>
                          <w:divBdr>
                            <w:top w:val="none" w:sz="0" w:space="0" w:color="auto"/>
                            <w:left w:val="none" w:sz="0" w:space="0" w:color="auto"/>
                            <w:bottom w:val="none" w:sz="0" w:space="0" w:color="auto"/>
                            <w:right w:val="none" w:sz="0" w:space="0" w:color="auto"/>
                          </w:divBdr>
                        </w:div>
                        <w:div w:id="312369323">
                          <w:marLeft w:val="0"/>
                          <w:marRight w:val="0"/>
                          <w:marTop w:val="0"/>
                          <w:marBottom w:val="0"/>
                          <w:divBdr>
                            <w:top w:val="none" w:sz="0" w:space="0" w:color="auto"/>
                            <w:left w:val="none" w:sz="0" w:space="0" w:color="auto"/>
                            <w:bottom w:val="none" w:sz="0" w:space="0" w:color="auto"/>
                            <w:right w:val="none" w:sz="0" w:space="0" w:color="auto"/>
                          </w:divBdr>
                        </w:div>
                      </w:divsChild>
                    </w:div>
                    <w:div w:id="9836325">
                      <w:marLeft w:val="0"/>
                      <w:marRight w:val="0"/>
                      <w:marTop w:val="0"/>
                      <w:marBottom w:val="0"/>
                      <w:divBdr>
                        <w:top w:val="none" w:sz="0" w:space="0" w:color="auto"/>
                        <w:left w:val="none" w:sz="0" w:space="0" w:color="auto"/>
                        <w:bottom w:val="none" w:sz="0" w:space="0" w:color="auto"/>
                        <w:right w:val="none" w:sz="0" w:space="0" w:color="auto"/>
                      </w:divBdr>
                      <w:divsChild>
                        <w:div w:id="1920209348">
                          <w:marLeft w:val="0"/>
                          <w:marRight w:val="0"/>
                          <w:marTop w:val="0"/>
                          <w:marBottom w:val="0"/>
                          <w:divBdr>
                            <w:top w:val="none" w:sz="0" w:space="0" w:color="auto"/>
                            <w:left w:val="none" w:sz="0" w:space="0" w:color="auto"/>
                            <w:bottom w:val="none" w:sz="0" w:space="0" w:color="auto"/>
                            <w:right w:val="none" w:sz="0" w:space="0" w:color="auto"/>
                          </w:divBdr>
                        </w:div>
                        <w:div w:id="175268417">
                          <w:marLeft w:val="0"/>
                          <w:marRight w:val="0"/>
                          <w:marTop w:val="0"/>
                          <w:marBottom w:val="0"/>
                          <w:divBdr>
                            <w:top w:val="none" w:sz="0" w:space="0" w:color="auto"/>
                            <w:left w:val="none" w:sz="0" w:space="0" w:color="auto"/>
                            <w:bottom w:val="none" w:sz="0" w:space="0" w:color="auto"/>
                            <w:right w:val="none" w:sz="0" w:space="0" w:color="auto"/>
                          </w:divBdr>
                        </w:div>
                        <w:div w:id="1999576325">
                          <w:marLeft w:val="0"/>
                          <w:marRight w:val="0"/>
                          <w:marTop w:val="0"/>
                          <w:marBottom w:val="0"/>
                          <w:divBdr>
                            <w:top w:val="none" w:sz="0" w:space="0" w:color="auto"/>
                            <w:left w:val="none" w:sz="0" w:space="0" w:color="auto"/>
                            <w:bottom w:val="none" w:sz="0" w:space="0" w:color="auto"/>
                            <w:right w:val="none" w:sz="0" w:space="0" w:color="auto"/>
                          </w:divBdr>
                        </w:div>
                        <w:div w:id="1476987984">
                          <w:marLeft w:val="0"/>
                          <w:marRight w:val="0"/>
                          <w:marTop w:val="0"/>
                          <w:marBottom w:val="0"/>
                          <w:divBdr>
                            <w:top w:val="none" w:sz="0" w:space="0" w:color="auto"/>
                            <w:left w:val="none" w:sz="0" w:space="0" w:color="auto"/>
                            <w:bottom w:val="none" w:sz="0" w:space="0" w:color="auto"/>
                            <w:right w:val="none" w:sz="0" w:space="0" w:color="auto"/>
                          </w:divBdr>
                        </w:div>
                        <w:div w:id="176352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30.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header" Target="header131.xml"/>
  <Relationship Id="rId20" Type="http://schemas.openxmlformats.org/officeDocument/2006/relationships/header" Target="header136.xml"/>
  <Relationship Id="rId21" Type="http://schemas.openxmlformats.org/officeDocument/2006/relationships/header" Target="header137.xml"/>
  <Relationship Id="rId22" Type="http://schemas.openxmlformats.org/officeDocument/2006/relationships/footer" Target="footer136.xml"/>
  <Relationship Id="rId23" Type="http://schemas.openxmlformats.org/officeDocument/2006/relationships/footer" Target="footer137.xml"/>
  <Relationship Id="rId24" Type="http://schemas.openxmlformats.org/officeDocument/2006/relationships/header" Target="header138.xml"/>
  <Relationship Id="rId25" Type="http://schemas.openxmlformats.org/officeDocument/2006/relationships/footer" Target="footer138.xml"/>
  <Relationship Id="rId26" Type="http://schemas.openxmlformats.org/officeDocument/2006/relationships/customXml" Target="../customXml/item4.xml"/>
  <Relationship Id="rId3" Type="http://schemas.openxmlformats.org/officeDocument/2006/relationships/footer" Target="footer130.xml"/>
  <Relationship Id="rId4" Type="http://schemas.openxmlformats.org/officeDocument/2006/relationships/footer" Target="footer131.xml"/>
  <Relationship Id="rId5" Type="http://schemas.openxmlformats.org/officeDocument/2006/relationships/header" Target="header132.xml"/>
  <Relationship Id="rId6" Type="http://schemas.openxmlformats.org/officeDocument/2006/relationships/footer" Target="footer132.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b152c8b88a2e4ae4b4392e065d9216b2" PartId="1a47d8a356f14b92b652045843265b65">
    <Part Type="preambule" DocPartId="5e770628ece148bc8ca7d0da0a0f5f8d" PartId="1446f74c56424906a1bcc07b00192777"/>
    <Part Type="pastraipa" DocPartId="dc1681e6a6b84ccdbb45dc4482bb2935" PartId="26ba7d2b983f46cb94f7f82a744696db"/>
    <Part Type="signatura" DocPartId="a86183da6fed4186b624d2c16a601cbb" PartId="54ad9fc498354b7d9d1e339157e9b7d0"/>
  </Part>
  <Part Type="patvirtinta" Title="2022–2030 METŲ PLĖTROS PROGRAMOS VALDYTOJOS LIETUVOS RESPUBLIKOS ŠVIETIMO, MOKSLO IR SPORTO MINISTERIJOS MOKSLO PLĖTROS PROGRAMOS PAŽANGOS PRIEMONĖS NR. 12-001-01-02-01 „STIPRINTI INOVACIJŲ EKOSISTEMAS MOKSLO CENTRUOSE“ APRAŠAS" DocPartId="9a23410f343a47f3b2ae8fdbdf91fede" PartId="7909b7209d474123ae8ca74d262ecc4a">
    <Part Type="skyrius" Nr="1" Title="PLĖTROS PROGRAMOS PAŽANGOS PRIEMONĖS SIEKIAMI REZULTATAI" DocPartId="14be2984e7cb4e46a7caf3e3ab87722d" PartId="4aa9a7f9006b4a618b8abdfbfc72a6e7"/>
    <Part Type="skyrius" Nr="2" Title="PLĖTROS PROGRAMOS PAŽANGOS PRIEMONĖS FINANSAVIMO PLANAS" DocPartId="593ea9bf19d44d7089792235ad497395" PartId="57c922928ad74f99a8e6190ef8bd4699">
      <Part Type="pastaba" DocPartId="c0b006e80d76402faa5f8fefe777efec" PartId="5d2c2a4672024b87a4b70925a10f2054"/>
    </Part>
    <Part Type="skyrius" Nr="3" Title="PLĖTROS PROGRAMOS PAŽANGOS PRIEMONĖS VEIKLŲ SUVESTINĖ" DocPartId="a4b054442e584e91975ea5160cdc199d" PartId="5647ca13df7c4c6e8464ae89ccac32dc">
      <Part Type="pastaba" DocPartId="6b599e1cd86a43229de0daa6562a301f" PartId="fb0847fb2f9545d4abafe9c1d96e3067">
        <Part Type="punktas" Nr="1" Abbr="1 p." DocPartId="1fe6d576de334a78aa20ace5fe6e5094" PartId="41e4077346d54c31ab4c80317f3c2f5c"/>
        <Part Type="punktas" Nr="2" Abbr="2 p." DocPartId="fd1e9b35375c4f50bc551da1dfc58d3a" PartId="f4ca3842ef474610b3e39aa4e966ca1e"/>
        <Part Type="punktas" Nr="3" Abbr="3 p." DocPartId="b2ea5cd373b7444184c707177fcc1c01" PartId="25453e8ff72b4314aee6b943d8878f34"/>
        <Part Type="punktas" Nr="4" Abbr="4 p." DocPartId="eb2937d1b01d40a68b7f547df3e85bed" PartId="eed54b69962b47578f0a8a24d3419223"/>
        <Part Type="punktas" Nr="5" Abbr="5 p." DocPartId="0140f835c476400eb4c90360bc99f57e" PartId="ca96daeadcdf413d963c4d1e7f03e51d"/>
        <Part Type="punktas" Nr="6" Abbr="6 p." DocPartId="9d93e782717b4bf192cb73f83546955c" PartId="a476d3748a8545a983084809af4d826b"/>
        <Part Type="punktas" Nr="7" Abbr="7 p." DocPartId="4b8c5c37abb04f898677cc0e6208be70" PartId="3c07e509828c40449daba6b43f07e658"/>
      </Part>
    </Part>
    <Part Type="pabaiga" DocPartId="d054188cae054845bce68c44c8e9c4c8" PartId="6baa4f206cfe47a78faa3f2677d2f7cb"/>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2.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592B3800-4575-4091-B01A-4A20435F3A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5E623621-24F5-49AE-8570-0115D2F3EE29}">
  <ds:schemaRefs>
    <ds:schemaRef ds:uri="http://lrs.lt/TAIS/DocParts"/>
  </ds:schemaRefs>
</ds:datastoreItem>
</file>

<file path=customXml/itemProps5.xml><?xml version="1.0" encoding="utf-8"?>
<ds:datastoreItem xmlns:ds="http://schemas.openxmlformats.org/officeDocument/2006/customXml" ds:itemID="{E817C031-63FB-4513-B133-3841A88B799F}">
  <ds:schemaRefs>
    <ds:schemaRef ds:uri="http://schemas.openxmlformats.org/officeDocument/2006/bibliography"/>
  </ds:schemaRefs>
</ds:datastoreItem>
</file>

<file path=customXml/itemProps6.xml><?xml version="1.0" encoding="utf-8"?>
<ds:datastoreItem xmlns:ds="http://schemas.openxmlformats.org/officeDocument/2006/customXml" ds:itemID="{B110803B-3957-4A1A-8321-8F88B76A6DF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45</TotalTime>
  <Pages>68</Pages>
  <Words>6951</Words>
  <Characters>46758</Characters>
  <Application>Microsoft Office Word</Application>
  <DocSecurity>0</DocSecurity>
  <Lines>389</Lines>
  <Paragraphs>107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fe69c5f0-abde-4659-b7b0-7bf5776808a5</vt:lpstr>
      <vt:lpstr>f9da65df-1248-49f0-ae42-8568aa4b840c</vt:lpstr>
    </vt:vector>
  </TitlesOfParts>
  <Company>VKS</Company>
  <LinksUpToDate>false</LinksUpToDate>
  <CharactersWithSpaces>53602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2023-01-04T08:34:00Z</dcterms:created>
  <dc:creator>arazmantiene</dc:creator>
  <lastModifiedBy>ŠAULYTĖ SKAIRIENĖ Dalia</lastModifiedBy>
  <lastPrinted>2018-09-10T12:13:00Z</lastPrinted>
  <dcterms:modified xsi:type="dcterms:W3CDTF">2026-04-07T07:52:00Z</dcterms:modified>
  <revision>53</revision>
  <dc:title>c3f1f6dd-b70c-4449-8761-b4562aedea84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kai dokumentas užregistruotas</vt:lpwstr>
  </property>
</Properties>
</file>