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Times New Roman" w:hAnsi="Times New Roman"/>
            </w:rPr>
          </w:pPr>
          <w:r>
            <w:rPr>
              <w:rFonts w:ascii="Times New Roman" w:hAnsi="Times New Roman"/>
              <w:b/>
              <w:i/>
            </w:rPr>
            <w:t>Suvestinė redakcija nuo 2025-05-30 iki 2025-06-03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2022-08-17, i. k. 2022-17227</w:t>
          </w:r>
        </w:p>
        <w:p>
          <w:pPr>
            <w:jc w:val="both"/>
            <w:rPr>
              <w:rFonts w:ascii="Times New Roman" w:hAnsi="Times New Roman"/>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a69133b10c874118b2dab60685f9ed07"/>
            <w:lock w:val="sdtLocked"/>
            <w:richText/>
          </w:sdtPr>
          <w:sdtContent>
            <w:p>
              <w:pPr>
                <w:tabs>
                  <w:tab w:val="left" w:pos="1134"/>
                  <w:tab w:val="left" w:pos="1560"/>
                </w:tabs>
                <w:jc w:val="center"/>
                <w:rPr>
                  <w:szCs w:val="24"/>
                  <w:lang w:eastAsia="lt-LT"/>
                </w:rPr>
              </w:pPr>
              <w:sdt>
                <w:sdtPr>
                  <w:alias w:val="Numeris"/>
                  <w:tag w:val="nr_a69133b10c874118b2dab60685f9ed07"/>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a69133b10c874118b2dab60685f9ed07"/>
                  <w:lock w:val="sdtLocked"/>
                  <w:richText/>
                </w:sdtPr>
                <w:sdtContent>
                  <w:r>
                    <w:rPr>
                      <w:b/>
                      <w:bCs/>
                      <w:szCs w:val="24"/>
                      <w:lang w:eastAsia="lt-LT"/>
                    </w:rPr>
                    <w:t>PLĖTROS PROGRAMOS PAŽANGOS PRIEMONĖS SIEKIAMI REZULTATAI</w:t>
                  </w:r>
                </w:sdtContent>
              </w:sdt>
            </w:p>
            <w:p>
              <w:pPr>
                <w:jc w:val="center"/>
                <w:rPr>
                  <w:szCs w:val="24"/>
                  <w:lang w:eastAsia="lt-LT"/>
                </w:rPr>
              </w:pPr>
            </w:p>
            <w:tbl>
              <w:tblPr>
                <w:tblW w:w="9485" w:type="dxa"/>
                <w:tblLayout w:type="fixed"/>
                <w:tblCellMar>
                  <w:left w:w="0" w:type="dxa"/>
                  <w:right w:w="0" w:type="dxa"/>
                </w:tblCellMar>
                <w:tblLook w:val="04A0" w:firstRow="1" w:lastRow="0" w:firstColumn="1" w:lastColumn="0" w:noHBand="0" w:noVBand="1"/>
              </w:tblPr>
              <w:tblGrid>
                <w:gridCol w:w="1023"/>
                <w:gridCol w:w="1249"/>
                <w:gridCol w:w="2028"/>
                <w:gridCol w:w="1219"/>
                <w:gridCol w:w="962"/>
                <w:gridCol w:w="1138"/>
                <w:gridCol w:w="1050"/>
                <w:gridCol w:w="816"/>
              </w:tblGrid>
              <w:tr>
                <w:tc>
                  <w:tcPr>
                    <w:tcW w:w="1023"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kodas</w:t>
                    </w:r>
                  </w:p>
                </w:tc>
                <w:tc>
                  <w:tcPr>
                    <w:tcW w:w="124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tipas (rezultato / produkto)</w:t>
                    </w:r>
                  </w:p>
                </w:tc>
                <w:tc>
                  <w:tcPr>
                    <w:tcW w:w="2028"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pavadinimas</w:t>
                    </w:r>
                  </w:p>
                </w:tc>
                <w:tc>
                  <w:tcPr>
                    <w:tcW w:w="121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Matavimo vienetas</w:t>
                    </w:r>
                  </w:p>
                </w:tc>
                <w:tc>
                  <w:tcPr>
                    <w:tcW w:w="96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Pradinė rodiklio reikšmė (metai)</w:t>
                    </w:r>
                  </w:p>
                </w:tc>
                <w:tc>
                  <w:tcPr>
                    <w:tcW w:w="2188"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Siektinos rodiklio reikšmės</w:t>
                    </w:r>
                  </w:p>
                </w:tc>
                <w:tc>
                  <w:tcPr>
                    <w:tcW w:w="816" w:type="dxa"/>
                    <w:vMerge w:val="restart"/>
                    <w:tcBorders>
                      <w:top w:val="single" w:sz="8" w:space="0" w:color="auto"/>
                      <w:left w:val="single" w:sz="8" w:space="0" w:color="auto"/>
                      <w:right w:val="single" w:sz="8" w:space="0" w:color="auto"/>
                    </w:tcBorders>
                    <w:shd w:val="clear" w:color="auto" w:fill="DEEAF6"/>
                    <w:vAlign w:val="center"/>
                  </w:tcPr>
                  <w:p>
                    <w:pPr>
                      <w:jc w:val="center"/>
                      <w:rPr>
                        <w:szCs w:val="24"/>
                        <w:lang w:eastAsia="lt-LT"/>
                      </w:rPr>
                    </w:pPr>
                    <w:r>
                      <w:rPr>
                        <w:b/>
                        <w:bCs/>
                        <w:sz w:val="22"/>
                        <w:szCs w:val="22"/>
                        <w:lang w:eastAsia="lt-LT"/>
                      </w:rPr>
                      <w:t>Finansavimo šaltinis</w:t>
                    </w:r>
                  </w:p>
                </w:tc>
              </w:tr>
              <w:tr>
                <w:tc>
                  <w:tcPr>
                    <w:tcW w:w="1023" w:type="dxa"/>
                    <w:vMerge/>
                    <w:tcBorders>
                      <w:top w:val="single" w:sz="8" w:space="0" w:color="auto"/>
                      <w:left w:val="single" w:sz="8" w:space="0" w:color="auto"/>
                      <w:bottom w:val="single" w:sz="8" w:space="0" w:color="auto"/>
                      <w:right w:val="single" w:sz="8" w:space="0" w:color="auto"/>
                    </w:tcBorders>
                    <w:vAlign w:val="center"/>
                    <w:hideMark/>
                  </w:tcPr>
                  <w:p>
                    <w:pPr>
                      <w:jc w:val="center"/>
                      <w:rPr>
                        <w:szCs w:val="24"/>
                        <w:lang w:eastAsia="lt-LT"/>
                      </w:rPr>
                    </w:pPr>
                  </w:p>
                </w:tc>
                <w:tc>
                  <w:tcPr>
                    <w:tcW w:w="1249"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2028"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1219"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962"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113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Tarpinė reikšmė 2025 m.</w:t>
                    </w:r>
                  </w:p>
                </w:tc>
                <w:tc>
                  <w:tcPr>
                    <w:tcW w:w="1050"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Galutinė reikšmė</w:t>
                    </w:r>
                  </w:p>
                  <w:p>
                    <w:pPr>
                      <w:jc w:val="center"/>
                      <w:rPr>
                        <w:szCs w:val="24"/>
                        <w:lang w:eastAsia="lt-LT"/>
                      </w:rPr>
                    </w:pPr>
                    <w:r>
                      <w:rPr>
                        <w:b/>
                        <w:bCs/>
                        <w:sz w:val="22"/>
                        <w:szCs w:val="22"/>
                        <w:lang w:eastAsia="lt-LT"/>
                      </w:rPr>
                      <w:t>2030 m.</w:t>
                    </w:r>
                  </w:p>
                </w:tc>
                <w:tc>
                  <w:tcPr>
                    <w:tcW w:w="816" w:type="dxa"/>
                    <w:vMerge/>
                    <w:tcBorders>
                      <w:left w:val="single" w:sz="8" w:space="0" w:color="auto"/>
                      <w:bottom w:val="single" w:sz="8" w:space="0" w:color="auto"/>
                      <w:right w:val="single" w:sz="8" w:space="0" w:color="auto"/>
                    </w:tcBorders>
                    <w:vAlign w:val="center"/>
                    <w:hideMark/>
                  </w:tcPr>
                  <w:p>
                    <w:pPr>
                      <w:jc w:val="center"/>
                      <w:rPr>
                        <w:szCs w:val="24"/>
                        <w:lang w:eastAsia="lt-LT"/>
                      </w:rPr>
                    </w:pP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Lietuvos dalyvių pasirašytų dotacijos sutarčių skaičius programos „Europos horizontas“ finansuojamuose projektuose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 w:val="20"/>
                        <w:lang w:eastAsia="lt-LT"/>
                      </w:rPr>
                    </w:pPr>
                    <w:r>
                      <w:rPr>
                        <w:sz w:val="20"/>
                        <w:lang w:eastAsia="lt-LT"/>
                      </w:rPr>
                      <w:t>605</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Valstybės biudžeto (toliau – 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Mokslo ir studijų institucijų pajamų už ūkio subjektų (įskaitant viešąjį sektorių) mokslinių tyrimų ir eksperimentinės plėtros užsakymus suma</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tūkstančiai eurų</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13 872</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15 500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21 000</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Publikacijų pagal </w:t>
                    </w:r>
                    <w:r>
                      <w:rPr>
                        <w:i/>
                        <w:iCs/>
                        <w:sz w:val="20"/>
                        <w:lang w:eastAsia="lt-LT"/>
                      </w:rPr>
                      <w:t>CA WoS</w:t>
                    </w:r>
                    <w:r>
                      <w:rPr>
                        <w:sz w:val="20"/>
                        <w:lang w:eastAsia="lt-LT"/>
                      </w:rPr>
                      <w:t xml:space="preserve"> duomenų bazę skaičius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26 380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27 000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31 660</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Pateiktos patentų paraiškos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patentų paraiškos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184</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Investicijų programa (toliau –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Remiamų projektų leidiniai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leidiniai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1 090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ir eksperimentinės plėtros veiklos produktas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56</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R-12-001-01-02-01-07</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Produktų ar procesų inovacijas diegiančios labai mažos, mažos ir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65</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R-12-001-01-02-01-08</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gautų mokslinių tyrimų ir eksperimentinės plėtros užsakymų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225</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R-12-001-01-02-01-09</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metinis etato ekvivalentas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highlight w:val="green"/>
                        <w:lang w:eastAsia="lt-LT"/>
                      </w:rPr>
                    </w:pPr>
                    <w:r>
                      <w:rPr>
                        <w:sz w:val="20"/>
                        <w:lang w:eastAsia="lt-LT"/>
                      </w:rPr>
                      <w:t>Ekonomikos gaivinimo ir atsparumo didinimo plano (toliau –EGADP)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R-12-001-01-02-01-10</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mažos ir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100 (2026 m. IV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vienų metų etato ekvivalentai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123</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1 220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Bendruose mokslinių tyrimų projektuose dalyvaujančios mokslinių tyrimų organizacijos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organizacijos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Nominalioji mokslinių tyrimų ir inovacijų įrangos vertė</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eurai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3 635 312</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36 353 120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Su mokslinių tyrimų organizacijomis bendradarbiaujančios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16</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8</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16</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tabs>
                        <w:tab w:val="center" w:pos="725"/>
                      </w:tabs>
                      <w:jc w:val="center"/>
                      <w:rPr>
                        <w:sz w:val="20"/>
                        <w:lang w:eastAsia="lt-LT"/>
                      </w:rPr>
                    </w:pPr>
                    <w:r>
                      <w:rPr>
                        <w:color w:val="000000"/>
                        <w:sz w:val="20"/>
                        <w:lang w:eastAsia="lt-LT"/>
                      </w:rPr>
                      <w:t>2021–2027 m. IP,</w:t>
                    </w:r>
                  </w:p>
                  <w:p>
                    <w:pPr>
                      <w:tabs>
                        <w:tab w:val="center" w:pos="725"/>
                      </w:tabs>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Paramą gavusios įmonės, </w:t>
                    </w:r>
                    <w:r>
                      <w:rPr>
                        <w:color w:val="000000"/>
                        <w:sz w:val="20"/>
                        <w:shd w:val="clear" w:color="auto" w:fill="FFFFFF"/>
                        <w:lang w:eastAsia="lt-LT"/>
                      </w:rPr>
                      <w:t>iš kurių labai mažos, mažos, vidutinės ir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P-12-001-01-02-01-07</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P-12-001-01-02-01-08</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P-12-001-01-02-01-09</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P-12-001-01-02-01-10</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Nefinansinę 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(2024)</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spacing w:line="276" w:lineRule="auto"/>
                      <w:ind w:firstLine="24"/>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Paramą gavusios naujos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spacing w:line="276" w:lineRule="auto"/>
                      <w:ind w:firstLine="24"/>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Programos „Europos horizontas“ įgyvendinimo spartinimo veiksmų plano rengimas ir priėmimas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w:t>
                    </w:r>
                  </w:p>
                  <w:p>
                    <w:pPr>
                      <w:spacing w:line="276" w:lineRule="auto"/>
                      <w:jc w:val="center"/>
                      <w:rPr>
                        <w:sz w:val="20"/>
                        <w:lang w:eastAsia="lt-LT"/>
                      </w:rPr>
                    </w:pPr>
                    <w:r>
                      <w:rPr>
                        <w:sz w:val="20"/>
                        <w:lang w:eastAsia="lt-LT"/>
                      </w:rPr>
                      <w:t>(2022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Finansuoti projektai ir konsultavimo paslaugos mokslo ir studijų institucijų ir mažų ir vidutinių įmonių potencialiems programos „Europos horizontas“ pareiškėjams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200</w:t>
                    </w:r>
                  </w:p>
                  <w:p>
                    <w:pPr>
                      <w:spacing w:line="276" w:lineRule="auto"/>
                      <w:jc w:val="center"/>
                      <w:rPr>
                        <w:sz w:val="20"/>
                        <w:lang w:eastAsia="lt-LT"/>
                      </w:rPr>
                    </w:pPr>
                    <w:r>
                      <w:rPr>
                        <w:sz w:val="20"/>
                        <w:lang w:eastAsia="lt-LT"/>
                      </w:rPr>
                      <w:t>(2025 I ketv.)</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479</w:t>
                    </w:r>
                  </w:p>
                  <w:p>
                    <w:pPr>
                      <w:spacing w:line="276" w:lineRule="auto"/>
                      <w:jc w:val="center"/>
                      <w:rPr>
                        <w:sz w:val="20"/>
                        <w:lang w:eastAsia="lt-LT"/>
                      </w:rPr>
                    </w:pPr>
                    <w:r>
                      <w:rPr>
                        <w:sz w:val="20"/>
                        <w:lang w:eastAsia="lt-LT"/>
                      </w:rPr>
                      <w:t>(2026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Sukurtas mokslo ir inovacijų srities pareigūnų veiklos modelis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w:t>
                    </w:r>
                  </w:p>
                  <w:p>
                    <w:pPr>
                      <w:spacing w:line="276" w:lineRule="auto"/>
                      <w:jc w:val="center"/>
                      <w:rPr>
                        <w:sz w:val="20"/>
                        <w:lang w:eastAsia="lt-LT"/>
                      </w:rPr>
                    </w:pPr>
                    <w:r>
                      <w:rPr>
                        <w:sz w:val="20"/>
                        <w:lang w:eastAsia="lt-LT"/>
                      </w:rPr>
                      <w:t>(2022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Įsteigtos mokslo pareigūnų ir nacionalinių kontaktinių asmenų (NCP) pozicijos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30</w:t>
                    </w:r>
                  </w:p>
                  <w:p>
                    <w:pPr>
                      <w:spacing w:line="276" w:lineRule="auto"/>
                      <w:jc w:val="center"/>
                      <w:rPr>
                        <w:sz w:val="20"/>
                        <w:lang w:eastAsia="lt-LT"/>
                      </w:rPr>
                    </w:pPr>
                    <w:r>
                      <w:rPr>
                        <w:sz w:val="20"/>
                        <w:lang w:eastAsia="lt-LT"/>
                      </w:rPr>
                      <w:t>(2026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rPr>
                      <w:t>P-12-001-01-02-01-17</w:t>
                    </w:r>
                  </w:p>
                </w:tc>
                <w:tc>
                  <w:tcPr>
                    <w:tcW w:w="1249"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28"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rPr>
                      <w:t>Asmenys, dalyvavę EURO HPC centro veiklose</w:t>
                    </w:r>
                  </w:p>
                </w:tc>
                <w:tc>
                  <w:tcPr>
                    <w:tcW w:w="1219"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lang w:eastAsia="lt-LT"/>
                      </w:rPr>
                      <w:t>n / a</w:t>
                    </w:r>
                  </w:p>
                </w:tc>
                <w:tc>
                  <w:tcPr>
                    <w:tcW w:w="1050"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160</w:t>
                    </w:r>
                  </w:p>
                  <w:p>
                    <w:pPr>
                      <w:spacing w:line="276" w:lineRule="auto"/>
                      <w:jc w:val="center"/>
                      <w:rPr>
                        <w:sz w:val="20"/>
                        <w:lang w:eastAsia="lt-LT"/>
                      </w:rPr>
                    </w:pPr>
                    <w:r>
                      <w:rPr>
                        <w:color w:val="000000"/>
                        <w:sz w:val="20"/>
                        <w:lang w:eastAsia="lt-LT"/>
                      </w:rPr>
                      <w:t>(2029)</w:t>
                    </w:r>
                  </w:p>
                </w:tc>
                <w:tc>
                  <w:tcPr>
                    <w:tcW w:w="816"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rPr>
                      <w:t>P-12-001-01-02-01-18</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LINO renginiai / susitikimai apie ES tarptautines programas, iniciatyvas bei galimybes, aktualias Lietuvos mokslo ir inovacijų ekosistemai</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60</w:t>
                    </w:r>
                  </w:p>
                  <w:p>
                    <w:pPr>
                      <w:spacing w:line="276" w:lineRule="auto"/>
                      <w:jc w:val="center"/>
                      <w:rPr>
                        <w:sz w:val="20"/>
                        <w:lang w:eastAsia="lt-LT"/>
                      </w:rPr>
                    </w:pPr>
                    <w:r>
                      <w:rPr>
                        <w:color w:val="000000"/>
                        <w:sz w:val="20"/>
                        <w:lang w:eastAsia="lt-LT"/>
                      </w:rPr>
                      <w:t>(2029)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rPr>
                    </w:pPr>
                    <w:r>
                      <w:rPr>
                        <w:color w:val="000000"/>
                        <w:sz w:val="20"/>
                      </w:rPr>
                      <w:t>P-12-001-01-02-01-19</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Sukurti tarptautiniai kompetencijų centrai</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3</w:t>
                    </w:r>
                  </w:p>
                  <w:p>
                    <w:pPr>
                      <w:spacing w:line="276" w:lineRule="auto"/>
                      <w:jc w:val="center"/>
                      <w:rPr>
                        <w:color w:val="000000"/>
                        <w:sz w:val="20"/>
                        <w:lang w:eastAsia="lt-LT"/>
                      </w:rPr>
                    </w:pPr>
                    <w:r>
                      <w:rPr>
                        <w:color w:val="000000"/>
                        <w:sz w:val="20"/>
                        <w:lang w:eastAsia="lt-LT"/>
                      </w:rPr>
                      <w:t>(2029)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P-12-001-01-02-01-20</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Įgyvendintos preakceleravimo programos</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rPr>
                    </w:pPr>
                    <w:r>
                      <w:rPr>
                        <w:sz w:val="20"/>
                      </w:rPr>
                      <w:t>8</w:t>
                    </w:r>
                  </w:p>
                  <w:p>
                    <w:pPr>
                      <w:spacing w:line="276" w:lineRule="auto"/>
                      <w:jc w:val="center"/>
                      <w:rPr>
                        <w:color w:val="000000"/>
                        <w:sz w:val="20"/>
                        <w:lang w:eastAsia="lt-LT"/>
                      </w:rPr>
                    </w:pPr>
                    <w:r>
                      <w:rPr>
                        <w:sz w:val="20"/>
                      </w:rPr>
                      <w:t>(2029)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P-12-001-01-02-01-21</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Mentorystės programos veikla pasinaudoję dalyviai</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sz w:val="20"/>
                      </w:rPr>
                      <w:t>30 (2029)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P-12-001-01-02-01-22</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Surengtos ekspertinės individualios ir grupinės konsultacijos</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sz w:val="20"/>
                      </w:rPr>
                      <w:t>40 (2029)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bl>
            <w:p>
              <w:pPr>
                <w:ind w:firstLine="567"/>
                <w:jc w:val="both"/>
                <w:rPr>
                  <w:b/>
                  <w:sz w:val="22"/>
                  <w:szCs w:val="22"/>
                </w:rPr>
              </w:pPr>
              <w:r>
                <w:rPr>
                  <w:b/>
                  <w:bCs/>
                  <w:sz w:val="20"/>
                  <w:lang w:eastAsia="lt-LT"/>
                </w:rPr>
                <w:t xml:space="preserve">Pastaba. </w:t>
              </w:r>
              <w:r>
                <w:rPr>
                  <w:sz w:val="20"/>
                  <w:lang w:eastAsia="lt-LT"/>
                </w:rPr>
                <w:t>Rodikliai R-12-001-01-02-01-09 „Paramą gavusiose mokslinių tyrimų įstaigose dirbantys mokslininkai“, R-12-001-01-02-01-10 „Paramą gavusios įmonės“, R-12-001-01-02-01-11 „Paramą gavusios įmonės, iš jų mažos ir labai mažos įmonės“, R-12-001-01-02-01-12 „Paramą gavusios įmonės, iš jų vidutinės įmonės“, R-12-001-01-02-01-13 „Paramą gavusios įmonės, iš jų didelės įmonės“ yra Ekonomikos gaivinimo ir atsparumo didinimo plano „Naujos kartos Lietuva“ bendrieji stebėsenos rodikliai, kurie neturi siektinų reikšmių. Duomenys bus renkami iš susijusių reformų ir investicijų rodiklių. Ataskaitinis laikotarpis iki 2027 m. vasario mėn.</w:t>
              </w:r>
              <w:r>
                <w:t xml:space="preserve"> </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6edc0aab1df4a73a94bf2f07f753560"/>
                    <w:lock w:val="sdtLocked"/>
                    <w:richText/>
                  </w:sdtPr>
                  <w:sdtContent>
                    <w:p>
                      <w:pPr>
                        <w:ind w:firstLine="567"/>
                        <w:jc w:val="both"/>
                        <w:rPr>
                          <w:sz w:val="18"/>
                          <w:szCs w:val="18"/>
                        </w:rPr>
                      </w:pPr>
                      <w:sdt>
                        <w:sdtPr>
                          <w:alias w:val="Numeris"/>
                          <w:tag w:val="nr_a6edc0aab1df4a73a94bf2f07f753560"/>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center" w:pos="4680"/>
                          <w:tab w:val="right" w:pos="9360"/>
                        </w:tabs>
                        <w:rPr>
                          <w:sz w:val="22"/>
                          <w:szCs w:val="22"/>
                          <w:lang w:eastAsia="lt-LT"/>
                        </w:rPr>
                      </w:pPr>
                    </w:p>
                  </w:sdtContent>
                </w:sdt>
              </w:sdtContent>
            </w:sdt>
          </w:sdtContent>
        </w:sdt>
        <w:sdt>
          <w:sdtPr>
            <w:alias w:val="skyrius"/>
            <w:tag w:val="part_e6210b6ba19c4e669b5ca89b4050ab3a"/>
            <w:lock w:val="sdtLocked"/>
            <w:richText/>
          </w:sdtPr>
          <w:sdtContent>
            <w:p>
              <w:pPr>
                <w:jc w:val="center"/>
                <w:rPr>
                  <w:b/>
                  <w:bCs/>
                </w:rPr>
              </w:pPr>
              <w:sdt>
                <w:sdtPr>
                  <w:alias w:val="Numeris"/>
                  <w:tag w:val="nr_e6210b6ba19c4e669b5ca89b4050ab3a"/>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e6210b6ba19c4e669b5ca89b4050ab3a"/>
                  <w:lock w:val="sdtLocked"/>
                  <w:richText/>
                </w:sdtPr>
                <w:sdtContent>
                  <w:r>
                    <w:rPr>
                      <w:b/>
                      <w:bCs/>
                    </w:rPr>
                    <w:t>PLĖTROS PROGRAMOS PAŽANGOS PRIEMONĖS VEIKLŲ SUVESTINĖ</w:t>
                  </w:r>
                </w:sdtContent>
              </w:sdt>
            </w:p>
            <w:p>
              <w:pPr>
                <w:rPr>
                  <w:sz w:val="2"/>
                  <w:szCs w:val="2"/>
                </w:rPr>
              </w:pPr>
            </w:p>
            <w:p>
              <w:pPr>
                <w:ind w:firstLine="851"/>
                <w:jc w:val="center"/>
              </w:pPr>
            </w:p>
            <w:p>
              <w:pPr>
                <w:rPr>
                  <w:sz w:val="2"/>
                  <w:szCs w:val="2"/>
                </w:rPr>
              </w:pPr>
            </w:p>
            <w:tbl>
              <w:tblP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709"/>
                <w:gridCol w:w="709"/>
                <w:gridCol w:w="709"/>
                <w:gridCol w:w="850"/>
                <w:gridCol w:w="562"/>
                <w:gridCol w:w="1281"/>
                <w:gridCol w:w="1087"/>
                <w:gridCol w:w="1318"/>
                <w:gridCol w:w="1134"/>
                <w:gridCol w:w="850"/>
                <w:gridCol w:w="709"/>
              </w:tblGrid>
              <w:tr>
                <w:trPr>
                  <w:trHeight w:val="700"/>
                </w:trPr>
                <w:tc>
                  <w:tcPr>
                    <w:tcW w:w="992" w:type="dxa"/>
                    <w:shd w:val="clear" w:color="auto" w:fill="DEEAF6" w:themeFill="accent1" w:themeFillTint="33"/>
                    <w:vAlign w:val="center"/>
                  </w:tcPr>
                  <w:p>
                    <w:pPr>
                      <w:jc w:val="center"/>
                      <w:rPr>
                        <w:b/>
                        <w:sz w:val="20"/>
                      </w:rPr>
                    </w:pPr>
                    <w:r>
                      <w:rPr>
                        <w:b/>
                        <w:sz w:val="20"/>
                      </w:rPr>
                      <w:t>Veikla</w:t>
                    </w:r>
                  </w:p>
                </w:tc>
                <w:tc>
                  <w:tcPr>
                    <w:tcW w:w="709" w:type="dxa"/>
                    <w:shd w:val="clear" w:color="auto" w:fill="DEEAF6" w:themeFill="accent1" w:themeFillTint="33"/>
                    <w:vAlign w:val="center"/>
                  </w:tcPr>
                  <w:p>
                    <w:pPr>
                      <w:jc w:val="center"/>
                      <w:rPr>
                        <w:b/>
                        <w:sz w:val="20"/>
                      </w:rPr>
                    </w:pPr>
                    <w:r>
                      <w:rPr>
                        <w:b/>
                        <w:sz w:val="20"/>
                      </w:rPr>
                      <w:t>Veiklos (poveiklės, projekto) tipas</w:t>
                    </w:r>
                  </w:p>
                </w:tc>
                <w:tc>
                  <w:tcPr>
                    <w:tcW w:w="709" w:type="dxa"/>
                    <w:shd w:val="clear" w:color="auto" w:fill="DEEAF6" w:themeFill="accent1" w:themeFillTint="33"/>
                    <w:vAlign w:val="center"/>
                  </w:tcPr>
                  <w:p>
                    <w:pPr>
                      <w:jc w:val="center"/>
                      <w:rPr>
                        <w:b/>
                        <w:sz w:val="20"/>
                      </w:rPr>
                    </w:pPr>
                    <w:r>
                      <w:rPr>
                        <w:b/>
                        <w:sz w:val="20"/>
                      </w:rPr>
                      <w:t>Galimi pareiškėjai</w:t>
                    </w:r>
                  </w:p>
                </w:tc>
                <w:tc>
                  <w:tcPr>
                    <w:tcW w:w="709" w:type="dxa"/>
                    <w:shd w:val="clear" w:color="auto" w:fill="DEEAF6" w:themeFill="accent1" w:themeFillTint="33"/>
                    <w:vAlign w:val="center"/>
                  </w:tcPr>
                  <w:p>
                    <w:pPr>
                      <w:jc w:val="center"/>
                      <w:rPr>
                        <w:b/>
                        <w:sz w:val="20"/>
                      </w:rPr>
                    </w:pPr>
                    <w:r>
                      <w:rPr>
                        <w:b/>
                        <w:sz w:val="20"/>
                      </w:rPr>
                      <w:t>Projektų atrankos būdas</w:t>
                    </w:r>
                  </w:p>
                </w:tc>
                <w:tc>
                  <w:tcPr>
                    <w:tcW w:w="850" w:type="dxa"/>
                    <w:shd w:val="clear" w:color="auto" w:fill="DEEAF6" w:themeFill="accent1" w:themeFillTint="33"/>
                    <w:vAlign w:val="center"/>
                  </w:tcPr>
                  <w:p>
                    <w:pPr>
                      <w:jc w:val="center"/>
                      <w:rPr>
                        <w:b/>
                        <w:sz w:val="20"/>
                      </w:rPr>
                    </w:pPr>
                    <w:r>
                      <w:rPr>
                        <w:b/>
                        <w:sz w:val="20"/>
                      </w:rPr>
                      <w:t>Tiesiogiai prisidedama prie HP</w:t>
                    </w:r>
                  </w:p>
                  <w:p>
                    <w:pPr>
                      <w:jc w:val="center"/>
                      <w:rPr>
                        <w:b/>
                        <w:sz w:val="20"/>
                      </w:rPr>
                    </w:pPr>
                    <w:r>
                      <w:rPr>
                        <w:b/>
                        <w:sz w:val="20"/>
                      </w:rPr>
                      <w:t>(Taip / Ne)</w:t>
                    </w:r>
                  </w:p>
                </w:tc>
                <w:tc>
                  <w:tcPr>
                    <w:tcW w:w="562" w:type="dxa"/>
                    <w:shd w:val="clear" w:color="auto" w:fill="DEEAF6" w:themeFill="accent1" w:themeFillTint="33"/>
                    <w:vAlign w:val="center"/>
                  </w:tcPr>
                  <w:p>
                    <w:pPr>
                      <w:jc w:val="center"/>
                      <w:rPr>
                        <w:b/>
                        <w:sz w:val="20"/>
                      </w:rPr>
                    </w:pPr>
                    <w:r>
                      <w:rPr>
                        <w:b/>
                        <w:sz w:val="20"/>
                      </w:rPr>
                      <w:t>Finansavimo forma</w:t>
                    </w:r>
                  </w:p>
                </w:tc>
                <w:tc>
                  <w:tcPr>
                    <w:tcW w:w="1281" w:type="dxa"/>
                    <w:shd w:val="clear" w:color="auto" w:fill="DEEAF6" w:themeFill="accent1" w:themeFillTint="33"/>
                    <w:vAlign w:val="center"/>
                  </w:tcPr>
                  <w:p>
                    <w:pPr>
                      <w:jc w:val="center"/>
                      <w:rPr>
                        <w:b/>
                        <w:sz w:val="20"/>
                      </w:rPr>
                    </w:pPr>
                    <w:r>
                      <w:rPr>
                        <w:b/>
                        <w:sz w:val="20"/>
                      </w:rPr>
                      <w:t>Finansavimo suma (tūkst. eurų)</w:t>
                    </w:r>
                  </w:p>
                </w:tc>
                <w:tc>
                  <w:tcPr>
                    <w:tcW w:w="1087" w:type="dxa"/>
                    <w:shd w:val="clear" w:color="auto" w:fill="DEEAF6" w:themeFill="accent1" w:themeFillTint="33"/>
                    <w:vAlign w:val="center"/>
                  </w:tcPr>
                  <w:p>
                    <w:pPr>
                      <w:jc w:val="center"/>
                      <w:rPr>
                        <w:b/>
                        <w:sz w:val="20"/>
                      </w:rPr>
                    </w:pPr>
                    <w:r>
                      <w:rPr>
                        <w:b/>
                        <w:sz w:val="20"/>
                      </w:rPr>
                      <w:t>Finansavimo šaltinis (-iai)</w:t>
                    </w:r>
                  </w:p>
                </w:tc>
                <w:tc>
                  <w:tcPr>
                    <w:tcW w:w="1318" w:type="dxa"/>
                    <w:shd w:val="clear" w:color="auto" w:fill="DEEAF6" w:themeFill="accent1" w:themeFillTint="33"/>
                    <w:vAlign w:val="center"/>
                  </w:tcPr>
                  <w:p>
                    <w:pPr>
                      <w:jc w:val="center"/>
                      <w:rPr>
                        <w:b/>
                        <w:sz w:val="20"/>
                      </w:rPr>
                    </w:pPr>
                    <w:r>
                      <w:rPr>
                        <w:b/>
                        <w:sz w:val="20"/>
                      </w:rPr>
                      <w:t>Rodiklio pavadinimas ir tipas</w:t>
                    </w:r>
                  </w:p>
                </w:tc>
                <w:tc>
                  <w:tcPr>
                    <w:tcW w:w="1134" w:type="dxa"/>
                    <w:shd w:val="clear" w:color="auto" w:fill="DEEAF6" w:themeFill="accent1" w:themeFillTint="33"/>
                    <w:vAlign w:val="center"/>
                  </w:tcPr>
                  <w:p>
                    <w:pPr>
                      <w:jc w:val="center"/>
                      <w:rPr>
                        <w:b/>
                        <w:sz w:val="20"/>
                      </w:rPr>
                    </w:pPr>
                    <w:r>
                      <w:rPr>
                        <w:b/>
                        <w:sz w:val="20"/>
                      </w:rPr>
                      <w:t>Siektina galutinė rodiklio reikšmė (ir metai)</w:t>
                    </w:r>
                  </w:p>
                </w:tc>
                <w:tc>
                  <w:tcPr>
                    <w:tcW w:w="850" w:type="dxa"/>
                    <w:shd w:val="clear" w:color="auto" w:fill="DEEAF6" w:themeFill="accent1" w:themeFillTint="33"/>
                    <w:vAlign w:val="center"/>
                  </w:tcPr>
                  <w:p>
                    <w:pPr>
                      <w:jc w:val="center"/>
                      <w:rPr>
                        <w:b/>
                        <w:strike/>
                        <w:sz w:val="20"/>
                      </w:rPr>
                    </w:pPr>
                    <w:r>
                      <w:rPr>
                        <w:b/>
                        <w:sz w:val="20"/>
                      </w:rPr>
                      <w:t>Administruojančioji institucija</w:t>
                    </w:r>
                  </w:p>
                </w:tc>
                <w:tc>
                  <w:tcPr>
                    <w:tcW w:w="709" w:type="dxa"/>
                    <w:shd w:val="clear" w:color="auto" w:fill="DEEAF6" w:themeFill="accent1" w:themeFillTint="33"/>
                    <w:vAlign w:val="center"/>
                  </w:tcPr>
                  <w:p>
                    <w:pPr>
                      <w:jc w:val="center"/>
                      <w:rPr>
                        <w:b/>
                        <w:sz w:val="20"/>
                      </w:rPr>
                    </w:pPr>
                    <w:r>
                      <w:rPr>
                        <w:b/>
                        <w:sz w:val="20"/>
                      </w:rPr>
                      <w:t>Dalyvaujanti institucija</w:t>
                    </w:r>
                  </w:p>
                </w:tc>
              </w:tr>
              <w:tr>
                <w:trPr>
                  <w:trHeight w:val="288"/>
                </w:trPr>
                <w:tc>
                  <w:tcPr>
                    <w:tcW w:w="992" w:type="dxa"/>
                    <w:shd w:val="clear" w:color="auto" w:fill="DEEAF6" w:themeFill="accent1" w:themeFillTint="33"/>
                    <w:vAlign w:val="center"/>
                  </w:tcPr>
                  <w:p>
                    <w:pPr>
                      <w:jc w:val="center"/>
                      <w:rPr>
                        <w:b/>
                        <w:sz w:val="20"/>
                      </w:rPr>
                    </w:pPr>
                    <w:r>
                      <w:rPr>
                        <w:b/>
                        <w:sz w:val="20"/>
                      </w:rPr>
                      <w:t>1</w:t>
                    </w:r>
                  </w:p>
                </w:tc>
                <w:tc>
                  <w:tcPr>
                    <w:tcW w:w="709" w:type="dxa"/>
                    <w:shd w:val="clear" w:color="auto" w:fill="DEEAF6" w:themeFill="accent1" w:themeFillTint="33"/>
                    <w:vAlign w:val="center"/>
                  </w:tcPr>
                  <w:p>
                    <w:pPr>
                      <w:jc w:val="center"/>
                      <w:rPr>
                        <w:b/>
                        <w:sz w:val="20"/>
                      </w:rPr>
                    </w:pPr>
                    <w:r>
                      <w:rPr>
                        <w:b/>
                        <w:sz w:val="20"/>
                      </w:rPr>
                      <w:t>2</w:t>
                    </w:r>
                  </w:p>
                </w:tc>
                <w:tc>
                  <w:tcPr>
                    <w:tcW w:w="709" w:type="dxa"/>
                    <w:shd w:val="clear" w:color="auto" w:fill="DEEAF6" w:themeFill="accent1" w:themeFillTint="33"/>
                    <w:vAlign w:val="center"/>
                  </w:tcPr>
                  <w:p>
                    <w:pPr>
                      <w:jc w:val="center"/>
                      <w:rPr>
                        <w:b/>
                        <w:sz w:val="20"/>
                      </w:rPr>
                    </w:pPr>
                    <w:r>
                      <w:rPr>
                        <w:b/>
                        <w:sz w:val="20"/>
                      </w:rPr>
                      <w:t>3</w:t>
                    </w:r>
                  </w:p>
                </w:tc>
                <w:tc>
                  <w:tcPr>
                    <w:tcW w:w="709" w:type="dxa"/>
                    <w:shd w:val="clear" w:color="auto" w:fill="DEEAF6" w:themeFill="accent1" w:themeFillTint="33"/>
                    <w:vAlign w:val="center"/>
                  </w:tcPr>
                  <w:p>
                    <w:pPr>
                      <w:jc w:val="center"/>
                      <w:rPr>
                        <w:b/>
                        <w:sz w:val="20"/>
                      </w:rPr>
                    </w:pPr>
                    <w:r>
                      <w:rPr>
                        <w:b/>
                        <w:sz w:val="20"/>
                      </w:rPr>
                      <w:t>4</w:t>
                    </w:r>
                  </w:p>
                </w:tc>
                <w:tc>
                  <w:tcPr>
                    <w:tcW w:w="850" w:type="dxa"/>
                    <w:shd w:val="clear" w:color="auto" w:fill="DEEAF6" w:themeFill="accent1" w:themeFillTint="33"/>
                    <w:vAlign w:val="center"/>
                  </w:tcPr>
                  <w:p>
                    <w:pPr>
                      <w:jc w:val="center"/>
                      <w:rPr>
                        <w:b/>
                        <w:sz w:val="20"/>
                      </w:rPr>
                    </w:pPr>
                    <w:r>
                      <w:rPr>
                        <w:b/>
                        <w:sz w:val="20"/>
                      </w:rPr>
                      <w:t>5</w:t>
                    </w:r>
                  </w:p>
                </w:tc>
                <w:tc>
                  <w:tcPr>
                    <w:tcW w:w="562" w:type="dxa"/>
                    <w:shd w:val="clear" w:color="auto" w:fill="DEEAF6" w:themeFill="accent1" w:themeFillTint="33"/>
                    <w:vAlign w:val="center"/>
                  </w:tcPr>
                  <w:p>
                    <w:pPr>
                      <w:jc w:val="center"/>
                      <w:rPr>
                        <w:b/>
                        <w:sz w:val="20"/>
                      </w:rPr>
                    </w:pPr>
                    <w:r>
                      <w:rPr>
                        <w:b/>
                        <w:sz w:val="20"/>
                      </w:rPr>
                      <w:t>6</w:t>
                    </w:r>
                  </w:p>
                </w:tc>
                <w:tc>
                  <w:tcPr>
                    <w:tcW w:w="1281" w:type="dxa"/>
                    <w:shd w:val="clear" w:color="auto" w:fill="DEEAF6" w:themeFill="accent1" w:themeFillTint="33"/>
                    <w:vAlign w:val="center"/>
                  </w:tcPr>
                  <w:p>
                    <w:pPr>
                      <w:jc w:val="center"/>
                      <w:rPr>
                        <w:b/>
                        <w:sz w:val="20"/>
                      </w:rPr>
                    </w:pPr>
                    <w:r>
                      <w:rPr>
                        <w:b/>
                        <w:sz w:val="20"/>
                      </w:rPr>
                      <w:t>7</w:t>
                    </w:r>
                  </w:p>
                </w:tc>
                <w:tc>
                  <w:tcPr>
                    <w:tcW w:w="1087" w:type="dxa"/>
                    <w:shd w:val="clear" w:color="auto" w:fill="DEEAF6" w:themeFill="accent1" w:themeFillTint="33"/>
                    <w:vAlign w:val="center"/>
                  </w:tcPr>
                  <w:p>
                    <w:pPr>
                      <w:jc w:val="center"/>
                      <w:rPr>
                        <w:b/>
                        <w:sz w:val="20"/>
                      </w:rPr>
                    </w:pPr>
                    <w:r>
                      <w:rPr>
                        <w:b/>
                        <w:sz w:val="20"/>
                      </w:rPr>
                      <w:t>8</w:t>
                    </w:r>
                  </w:p>
                </w:tc>
                <w:tc>
                  <w:tcPr>
                    <w:tcW w:w="1318" w:type="dxa"/>
                    <w:shd w:val="clear" w:color="auto" w:fill="DEEAF6" w:themeFill="accent1" w:themeFillTint="33"/>
                    <w:vAlign w:val="center"/>
                  </w:tcPr>
                  <w:p>
                    <w:pPr>
                      <w:jc w:val="center"/>
                      <w:rPr>
                        <w:b/>
                        <w:sz w:val="20"/>
                      </w:rPr>
                    </w:pPr>
                    <w:r>
                      <w:rPr>
                        <w:b/>
                        <w:sz w:val="20"/>
                      </w:rPr>
                      <w:t>9</w:t>
                    </w:r>
                  </w:p>
                </w:tc>
                <w:tc>
                  <w:tcPr>
                    <w:tcW w:w="1134" w:type="dxa"/>
                    <w:shd w:val="clear" w:color="auto" w:fill="DEEAF6" w:themeFill="accent1" w:themeFillTint="33"/>
                    <w:vAlign w:val="center"/>
                  </w:tcPr>
                  <w:p>
                    <w:pPr>
                      <w:jc w:val="center"/>
                      <w:rPr>
                        <w:b/>
                        <w:sz w:val="20"/>
                      </w:rPr>
                    </w:pPr>
                    <w:r>
                      <w:rPr>
                        <w:b/>
                        <w:sz w:val="20"/>
                      </w:rPr>
                      <w:t>10</w:t>
                    </w:r>
                  </w:p>
                </w:tc>
                <w:tc>
                  <w:tcPr>
                    <w:tcW w:w="850" w:type="dxa"/>
                    <w:shd w:val="clear" w:color="auto" w:fill="DEEAF6" w:themeFill="accent1" w:themeFillTint="33"/>
                    <w:vAlign w:val="center"/>
                  </w:tcPr>
                  <w:p>
                    <w:pPr>
                      <w:jc w:val="center"/>
                      <w:rPr>
                        <w:b/>
                        <w:sz w:val="20"/>
                      </w:rPr>
                    </w:pPr>
                    <w:r>
                      <w:rPr>
                        <w:b/>
                        <w:sz w:val="20"/>
                      </w:rPr>
                      <w:t>11</w:t>
                    </w:r>
                  </w:p>
                </w:tc>
                <w:tc>
                  <w:tcPr>
                    <w:tcW w:w="709" w:type="dxa"/>
                    <w:shd w:val="clear" w:color="auto" w:fill="DEEAF6" w:themeFill="accent1" w:themeFillTint="33"/>
                    <w:vAlign w:val="center"/>
                  </w:tcPr>
                  <w:p>
                    <w:pPr>
                      <w:jc w:val="center"/>
                      <w:rPr>
                        <w:b/>
                        <w:sz w:val="20"/>
                      </w:rPr>
                    </w:pPr>
                    <w:r>
                      <w:rPr>
                        <w:b/>
                        <w:sz w:val="20"/>
                      </w:rPr>
                      <w:t>12</w:t>
                    </w:r>
                  </w:p>
                </w:tc>
              </w:tr>
              <w:tr>
                <w:trPr>
                  <w:trHeight w:val="1266"/>
                </w:trPr>
                <w:tc>
                  <w:tcPr>
                    <w:tcW w:w="992" w:type="dxa"/>
                  </w:tcPr>
                  <w:p>
                    <w:pPr>
                      <w:rPr>
                        <w:i/>
                        <w:sz w:val="20"/>
                      </w:rPr>
                    </w:pPr>
                    <w:r>
                      <w:rPr>
                        <w:sz w:val="20"/>
                      </w:rPr>
                      <w:t>1. MTEP vystymo paketas</w:t>
                    </w:r>
                  </w:p>
                </w:tc>
                <w:tc>
                  <w:tcPr>
                    <w:tcW w:w="709" w:type="dxa"/>
                  </w:tcPr>
                  <w:p>
                    <w:pPr>
                      <w:jc w:val="center"/>
                      <w:rPr>
                        <w:sz w:val="20"/>
                      </w:rPr>
                    </w:pPr>
                    <w:r>
                      <w:rPr>
                        <w:sz w:val="20"/>
                      </w:rPr>
                      <w:t>I</w:t>
                    </w:r>
                  </w:p>
                </w:tc>
                <w:tc>
                  <w:tcPr>
                    <w:tcW w:w="709" w:type="dxa"/>
                  </w:tcPr>
                  <w:p>
                    <w:pPr>
                      <w:jc w:val="center"/>
                      <w:rPr>
                        <w:sz w:val="20"/>
                      </w:rPr>
                    </w:pPr>
                    <w:r>
                      <w:rPr>
                        <w:sz w:val="20"/>
                      </w:rPr>
                      <w:t>MSI, LMT</w:t>
                    </w:r>
                  </w:p>
                </w:tc>
                <w:tc>
                  <w:tcPr>
                    <w:tcW w:w="709" w:type="dxa"/>
                  </w:tcPr>
                  <w:p>
                    <w:pPr>
                      <w:jc w:val="center"/>
                      <w:rPr>
                        <w:sz w:val="20"/>
                      </w:rPr>
                    </w:pPr>
                    <w:r>
                      <w:rPr>
                        <w:sz w:val="20"/>
                      </w:rPr>
                      <w:t>K, 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165 564,193;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val="en-US" w:eastAsia="lt-LT"/>
                      </w:rPr>
                    </w:pPr>
                    <w:r>
                      <w:rPr>
                        <w:sz w:val="20"/>
                        <w:lang w:eastAsia="lt-LT"/>
                      </w:rPr>
                      <w:t>34 768,</w:t>
                    </w:r>
                    <w:r>
                      <w:rPr>
                        <w:sz w:val="20"/>
                        <w:lang w:val="en-US" w:eastAsia="lt-LT"/>
                      </w:rPr>
                      <w:t>481</w:t>
                    </w:r>
                  </w:p>
                </w:tc>
                <w:tc>
                  <w:tcPr>
                    <w:tcW w:w="1087" w:type="dxa"/>
                  </w:tcPr>
                  <w:p>
                    <w:pPr>
                      <w:rPr>
                        <w:sz w:val="20"/>
                      </w:rPr>
                    </w:pPr>
                    <w:r>
                      <w:rPr>
                        <w:sz w:val="20"/>
                      </w:rPr>
                      <w:t xml:space="preserve">2021–2027 </w:t>
                    </w:r>
                    <w:r>
                      <w:rPr>
                        <w:sz w:val="20"/>
                        <w:lang w:eastAsia="lt-LT"/>
                      </w:rPr>
                      <w:t xml:space="preserve">m. </w:t>
                    </w:r>
                    <w:r>
                      <w:rPr>
                        <w:sz w:val="20"/>
                      </w:rPr>
                      <w:t>Europos Sąjungos (toliau –ES) fondų ir bendrojo finansavimo (toliau –BF)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rPr>
                        <w:sz w:val="20"/>
                      </w:rPr>
                    </w:pPr>
                    <w:r>
                      <w:rPr>
                        <w:sz w:val="20"/>
                      </w:rPr>
                      <w:t>R – Mokslo ir studijų institucijų pajamų už ūkio subjektų (įskaitant viešąjį sektorių) mokslinių tyrimų ir eksperimentinės plėtros užsakymus suma, tūkst. Eur</w:t>
                    </w:r>
                  </w:p>
                  <w:p>
                    <w:pPr>
                      <w:rPr>
                        <w:sz w:val="20"/>
                      </w:rPr>
                    </w:pPr>
                  </w:p>
                  <w:p>
                    <w:pPr>
                      <w:rPr>
                        <w:color w:val="000000"/>
                        <w:sz w:val="20"/>
                      </w:rPr>
                    </w:pPr>
                    <w:r>
                      <w:rPr>
                        <w:sz w:val="20"/>
                      </w:rPr>
                      <w:t xml:space="preserve">R – Publikacijų pagal </w:t>
                    </w:r>
                    <w:r>
                      <w:rPr>
                        <w:i/>
                        <w:iCs/>
                        <w:sz w:val="20"/>
                      </w:rPr>
                      <w:t>CA WoS</w:t>
                    </w:r>
                    <w:r>
                      <w:rPr>
                        <w:sz w:val="20"/>
                      </w:rPr>
                      <w:t xml:space="preserve"> duomenų bazę skaičius, vienetai (kaupiamuoju būdu)</w:t>
                    </w:r>
                  </w:p>
                </w:tc>
                <w:tc>
                  <w:tcPr>
                    <w:tcW w:w="1134" w:type="dxa"/>
                  </w:tcPr>
                  <w:p>
                    <w:pPr>
                      <w:rPr>
                        <w:sz w:val="20"/>
                      </w:rPr>
                    </w:pPr>
                    <w:r>
                      <w:rPr>
                        <w:sz w:val="20"/>
                      </w:rPr>
                      <w:t>21 000 (2030)</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31 660 (2030)</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 Mokslo ir inovacijų misijų programos</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EIM</w:t>
                    </w:r>
                  </w:p>
                </w:tc>
              </w:tr>
              <w:tr>
                <w:trPr>
                  <w:trHeight w:val="233"/>
                </w:trPr>
                <w:tc>
                  <w:tcPr>
                    <w:tcW w:w="992" w:type="dxa"/>
                  </w:tcPr>
                  <w:p>
                    <w:pPr>
                      <w:rPr>
                        <w:sz w:val="20"/>
                      </w:rPr>
                    </w:pPr>
                    <w:r>
                      <w:rPr>
                        <w:sz w:val="20"/>
                      </w:rPr>
                      <w:t>1.2. Valstybės MTEP užsakymai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1.3. Mokslininkų inicijuoti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bCs/>
                        <w:sz w:val="20"/>
                      </w:rPr>
                    </w:pPr>
                    <w:r>
                      <w:rPr>
                        <w:bCs/>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1.4. Skatinti vykdyti taikomuosius MTEP (Sostinė)</w:t>
                    </w:r>
                  </w:p>
                </w:tc>
                <w:tc>
                  <w:tcPr>
                    <w:tcW w:w="709" w:type="dxa"/>
                  </w:tcPr>
                  <w:p>
                    <w:pPr>
                      <w:jc w:val="center"/>
                      <w:rPr>
                        <w:sz w:val="20"/>
                      </w:rPr>
                    </w:pPr>
                    <w:r>
                      <w:rPr>
                        <w:sz w:val="20"/>
                      </w:rPr>
                      <w:t>I</w:t>
                    </w:r>
                  </w:p>
                </w:tc>
                <w:tc>
                  <w:tcPr>
                    <w:tcW w:w="709" w:type="dxa"/>
                  </w:tcPr>
                  <w:p>
                    <w:pPr>
                      <w:jc w:val="center"/>
                      <w:rPr>
                        <w:sz w:val="20"/>
                      </w:rPr>
                    </w:pPr>
                    <w:r>
                      <w:rPr>
                        <w:sz w:val="20"/>
                      </w:rPr>
                      <w:t xml:space="preserve">LMT </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,21 333,333:</w:t>
                    </w:r>
                  </w:p>
                  <w:p>
                    <w:pPr>
                      <w:rPr>
                        <w:sz w:val="20"/>
                      </w:rPr>
                    </w:pPr>
                    <w:r>
                      <w:rPr>
                        <w:sz w:val="20"/>
                      </w:rPr>
                      <w:t>10 666,667 – ES fondų lėšos,</w:t>
                    </w:r>
                  </w:p>
                  <w:p>
                    <w:pPr>
                      <w:rPr>
                        <w:sz w:val="20"/>
                      </w:rPr>
                    </w:pPr>
                    <w:r>
                      <w:rPr>
                        <w:sz w:val="20"/>
                      </w:rPr>
                      <w:t>10 666,666 – BF lėšos;</w:t>
                    </w:r>
                  </w:p>
                  <w:p>
                    <w:pPr>
                      <w:rPr>
                        <w:sz w:val="20"/>
                      </w:rPr>
                    </w:pPr>
                  </w:p>
                  <w:p>
                    <w:pPr>
                      <w:rPr>
                        <w:sz w:val="20"/>
                      </w:rPr>
                    </w:pPr>
                    <w:r>
                      <w:rPr>
                        <w:sz w:val="20"/>
                      </w:rPr>
                      <w:t>4 480,000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rPr>
                        <w:sz w:val="20"/>
                      </w:rPr>
                    </w:pPr>
                    <w:r>
                      <w:rPr>
                        <w:sz w:val="20"/>
                      </w:rPr>
                      <w:t>R – Remiamų projektų leidiniai</w:t>
                    </w:r>
                  </w:p>
                  <w:p>
                    <w:pPr>
                      <w:rPr>
                        <w:sz w:val="20"/>
                      </w:rPr>
                    </w:pPr>
                  </w:p>
                  <w:p>
                    <w:pPr>
                      <w:rPr>
                        <w:sz w:val="20"/>
                      </w:rPr>
                    </w:pPr>
                    <w:r>
                      <w:rPr>
                        <w:sz w:val="20"/>
                        <w:lang w:eastAsia="lt-LT"/>
                      </w:rPr>
                      <w:t xml:space="preserve">P </w:t>
                    </w:r>
                    <w:r>
                      <w:rPr>
                        <w:sz w:val="20"/>
                      </w:rPr>
                      <w:t>–</w:t>
                    </w:r>
                    <w:r>
                      <w:rPr>
                        <w:sz w:val="20"/>
                        <w:lang w:eastAsia="lt-LT"/>
                      </w:rPr>
                      <w:t xml:space="preserve"> Sukurti tarptautiniai kompetencijų centrai</w:t>
                    </w:r>
                  </w:p>
                  <w:p>
                    <w:pPr>
                      <w:rPr>
                        <w:sz w:val="20"/>
                      </w:rPr>
                    </w:pPr>
                  </w:p>
                  <w:p>
                    <w:pPr>
                      <w:textAlignment w:val="baseline"/>
                      <w:rPr>
                        <w:sz w:val="20"/>
                      </w:rPr>
                    </w:pPr>
                  </w:p>
                </w:tc>
                <w:tc>
                  <w:tcPr>
                    <w:tcW w:w="1134" w:type="dxa"/>
                  </w:tcPr>
                  <w:p>
                    <w:pPr>
                      <w:textAlignment w:val="baseline"/>
                      <w:rPr>
                        <w:sz w:val="20"/>
                        <w:lang w:eastAsia="lt-LT"/>
                      </w:rPr>
                    </w:pPr>
                    <w:r>
                      <w:rPr>
                        <w:sz w:val="20"/>
                        <w:lang w:eastAsia="lt-LT"/>
                      </w:rPr>
                      <w:t>100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5 318 716 </w:t>
                    </w:r>
                  </w:p>
                  <w:p>
                    <w:pPr>
                      <w:textAlignment w:val="baseline"/>
                      <w:rPr>
                        <w:sz w:val="20"/>
                        <w:lang w:eastAsia="lt-LT"/>
                      </w:rPr>
                    </w:pP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30 (2029)</w:t>
                    </w:r>
                  </w:p>
                  <w:p>
                    <w:pPr>
                      <w:rPr>
                        <w:sz w:val="20"/>
                      </w:rPr>
                    </w:pPr>
                  </w:p>
                  <w:p>
                    <w:pPr>
                      <w:rPr>
                        <w:sz w:val="20"/>
                      </w:rPr>
                    </w:pPr>
                  </w:p>
                  <w:p>
                    <w:pPr>
                      <w:rPr>
                        <w:sz w:val="20"/>
                      </w:rPr>
                    </w:pPr>
                  </w:p>
                  <w:p>
                    <w:pPr>
                      <w:rPr>
                        <w:sz w:val="20"/>
                      </w:rPr>
                    </w:pPr>
                  </w:p>
                  <w:p>
                    <w:pPr>
                      <w:rPr>
                        <w:sz w:val="20"/>
                      </w:rPr>
                    </w:pPr>
                    <w:r>
                      <w:rPr>
                        <w:sz w:val="20"/>
                      </w:rPr>
                      <w:t>2 (2029)</w:t>
                    </w:r>
                  </w:p>
                  <w:p>
                    <w:pPr>
                      <w:rPr>
                        <w:sz w:val="20"/>
                      </w:rPr>
                    </w:pPr>
                  </w:p>
                  <w:p>
                    <w:pPr>
                      <w:rPr>
                        <w:sz w:val="20"/>
                      </w:rPr>
                    </w:pPr>
                  </w:p>
                  <w:p>
                    <w:pPr>
                      <w:rPr>
                        <w:sz w:val="20"/>
                      </w:rPr>
                    </w:pPr>
                  </w:p>
                  <w:p>
                    <w:pPr>
                      <w:rPr>
                        <w:sz w:val="20"/>
                      </w:rPr>
                    </w:pPr>
                  </w:p>
                  <w:p>
                    <w:pPr>
                      <w:rPr>
                        <w:sz w:val="20"/>
                      </w:rPr>
                    </w:pP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1.5 Skatinti vykdyti taikomuosius MTEP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10 666,667;</w:t>
                    </w:r>
                  </w:p>
                  <w:p>
                    <w:pPr>
                      <w:rPr>
                        <w:sz w:val="20"/>
                      </w:rPr>
                    </w:pPr>
                  </w:p>
                  <w:p>
                    <w:pPr>
                      <w:rPr>
                        <w:sz w:val="20"/>
                      </w:rPr>
                    </w:pPr>
                  </w:p>
                  <w:p>
                    <w:pPr>
                      <w:rPr>
                        <w:sz w:val="20"/>
                      </w:rPr>
                    </w:pPr>
                  </w:p>
                  <w:p>
                    <w:pPr>
                      <w:rPr>
                        <w:sz w:val="20"/>
                      </w:rPr>
                    </w:pPr>
                  </w:p>
                  <w:p>
                    <w:pPr>
                      <w:rPr>
                        <w:sz w:val="20"/>
                      </w:rPr>
                    </w:pPr>
                    <w:r>
                      <w:rPr>
                        <w:sz w:val="20"/>
                      </w:rPr>
                      <w:t>2 240,000</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  </w:t>
                    </w:r>
                  </w:p>
                  <w:p>
                    <w:pPr>
                      <w:textAlignment w:val="baseline"/>
                      <w:rPr>
                        <w:sz w:val="20"/>
                        <w:lang w:eastAsia="lt-LT"/>
                      </w:rPr>
                    </w:pPr>
                  </w:p>
                  <w:p>
                    <w:pPr>
                      <w:rPr>
                        <w:sz w:val="20"/>
                      </w:rPr>
                    </w:pPr>
                    <w:r>
                      <w:rPr>
                        <w:sz w:val="20"/>
                      </w:rPr>
                      <w:t>R – Remiamų projektų leidiniai</w:t>
                    </w:r>
                  </w:p>
                  <w:p>
                    <w:pPr>
                      <w:rPr>
                        <w:sz w:val="20"/>
                      </w:rPr>
                    </w:pPr>
                  </w:p>
                  <w:p>
                    <w:pPr>
                      <w:rPr>
                        <w:sz w:val="20"/>
                        <w:lang w:eastAsia="lt-LT"/>
                      </w:rPr>
                    </w:pPr>
                    <w:r>
                      <w:rPr>
                        <w:sz w:val="20"/>
                        <w:lang w:eastAsia="lt-LT"/>
                      </w:rPr>
                      <w:t xml:space="preserve">P </w:t>
                    </w:r>
                    <w:r>
                      <w:rPr>
                        <w:sz w:val="20"/>
                      </w:rPr>
                      <w:t>–</w:t>
                    </w:r>
                    <w:r>
                      <w:rPr>
                        <w:sz w:val="20"/>
                        <w:lang w:eastAsia="lt-LT"/>
                      </w:rPr>
                      <w:t xml:space="preserve"> Sukurti tarptautiniai kompetencijų centrai</w:t>
                    </w:r>
                  </w:p>
                  <w:p>
                    <w:pPr>
                      <w:rPr>
                        <w:sz w:val="20"/>
                        <w:lang w:eastAsia="lt-LT"/>
                      </w:rPr>
                    </w:pPr>
                  </w:p>
                  <w:p>
                    <w:pPr>
                      <w:textAlignment w:val="baseline"/>
                      <w:rPr>
                        <w:sz w:val="20"/>
                      </w:rPr>
                    </w:pPr>
                  </w:p>
                </w:tc>
                <w:tc>
                  <w:tcPr>
                    <w:tcW w:w="1134" w:type="dxa"/>
                  </w:tcPr>
                  <w:p>
                    <w:pPr>
                      <w:textAlignment w:val="baseline"/>
                      <w:rPr>
                        <w:sz w:val="20"/>
                        <w:lang w:eastAsia="lt-LT"/>
                      </w:rPr>
                    </w:pPr>
                    <w:r>
                      <w:rPr>
                        <w:sz w:val="20"/>
                        <w:lang w:eastAsia="lt-LT"/>
                      </w:rPr>
                      <w:t>60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1 081 284</w:t>
                    </w:r>
                  </w:p>
                  <w:p>
                    <w:pPr>
                      <w:textAlignment w:val="baseline"/>
                      <w:rPr>
                        <w:sz w:val="20"/>
                        <w:lang w:eastAsia="lt-LT"/>
                      </w:rPr>
                    </w:pP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15 (2029)</w:t>
                    </w:r>
                  </w:p>
                  <w:p>
                    <w:pPr>
                      <w:rPr>
                        <w:sz w:val="20"/>
                      </w:rPr>
                    </w:pPr>
                  </w:p>
                  <w:p>
                    <w:pPr>
                      <w:rPr>
                        <w:sz w:val="20"/>
                      </w:rPr>
                    </w:pPr>
                  </w:p>
                  <w:p>
                    <w:pPr>
                      <w:rPr>
                        <w:sz w:val="20"/>
                      </w:rPr>
                    </w:pPr>
                  </w:p>
                  <w:p>
                    <w:pPr>
                      <w:rPr>
                        <w:sz w:val="20"/>
                      </w:rPr>
                    </w:pPr>
                  </w:p>
                  <w:p>
                    <w:pPr>
                      <w:rPr>
                        <w:sz w:val="20"/>
                      </w:rPr>
                    </w:pPr>
                    <w:r>
                      <w:rPr>
                        <w:sz w:val="20"/>
                      </w:rPr>
                      <w:t>1 (2029)</w:t>
                    </w:r>
                  </w:p>
                  <w:p>
                    <w:pPr>
                      <w:rPr>
                        <w:sz w:val="20"/>
                      </w:rPr>
                    </w:pPr>
                  </w:p>
                  <w:p>
                    <w:pPr>
                      <w:rPr>
                        <w:sz w:val="20"/>
                      </w:rPr>
                    </w:pPr>
                  </w:p>
                  <w:p>
                    <w:pPr>
                      <w:rPr>
                        <w:sz w:val="20"/>
                      </w:rPr>
                    </w:pPr>
                  </w:p>
                  <w:p>
                    <w:pPr>
                      <w:rPr>
                        <w:sz w:val="20"/>
                      </w:rPr>
                    </w:pPr>
                  </w:p>
                  <w:p>
                    <w:pPr>
                      <w:rPr>
                        <w:sz w:val="20"/>
                      </w:rPr>
                    </w:pP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1.6. Skatinti vykdyti taikomuosius MTEP (Sostinė)</w:t>
                    </w:r>
                  </w:p>
                </w:tc>
                <w:tc>
                  <w:tcPr>
                    <w:tcW w:w="709" w:type="dxa"/>
                  </w:tcPr>
                  <w:p>
                    <w:pPr>
                      <w:jc w:val="center"/>
                      <w:rPr>
                        <w:sz w:val="20"/>
                      </w:rPr>
                    </w:pPr>
                    <w:r>
                      <w:rPr>
                        <w:sz w:val="20"/>
                      </w:rPr>
                      <w:t>I</w:t>
                    </w:r>
                  </w:p>
                </w:tc>
                <w:tc>
                  <w:tcPr>
                    <w:tcW w:w="709" w:type="dxa"/>
                  </w:tcPr>
                  <w:p>
                    <w:pPr>
                      <w:ind w:firstLine="53"/>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55 334,145:</w:t>
                    </w:r>
                  </w:p>
                  <w:p>
                    <w:pPr>
                      <w:rPr>
                        <w:sz w:val="20"/>
                      </w:rPr>
                    </w:pPr>
                    <w:r>
                      <w:rPr>
                        <w:sz w:val="20"/>
                      </w:rPr>
                      <w:t>27 667,072 – ES fondų lėšos,</w:t>
                    </w:r>
                  </w:p>
                  <w:p>
                    <w:pPr>
                      <w:textAlignment w:val="baseline"/>
                      <w:rPr>
                        <w:sz w:val="20"/>
                      </w:rPr>
                    </w:pPr>
                    <w:r>
                      <w:rPr>
                        <w:sz w:val="20"/>
                      </w:rPr>
                      <w:t>27 667,073 – BF lėšos</w:t>
                    </w:r>
                  </w:p>
                  <w:p>
                    <w:pPr>
                      <w:textAlignment w:val="baseline"/>
                      <w:rPr>
                        <w:sz w:val="20"/>
                      </w:rPr>
                    </w:pPr>
                  </w:p>
                  <w:p>
                    <w:pPr>
                      <w:textAlignment w:val="baseline"/>
                      <w:rPr>
                        <w:sz w:val="20"/>
                        <w:lang w:eastAsia="lt-LT"/>
                      </w:rPr>
                    </w:pPr>
                    <w:r>
                      <w:rPr>
                        <w:sz w:val="20"/>
                      </w:rPr>
                      <w:t>11 620,170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Su mokslinių tyrimų organizacijomis bendradarbiaujančios įmonės</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rPr>
                        <w:sz w:val="20"/>
                      </w:rPr>
                    </w:pPr>
                    <w:r>
                      <w:rPr>
                        <w:sz w:val="20"/>
                      </w:rPr>
                      <w:t>R – Remiamų projektų leidiniai</w:t>
                    </w:r>
                  </w:p>
                  <w:p>
                    <w:pPr>
                      <w:rPr>
                        <w:sz w:val="20"/>
                      </w:rPr>
                    </w:pPr>
                  </w:p>
                  <w:p>
                    <w:pPr>
                      <w:textAlignment w:val="baseline"/>
                      <w:rPr>
                        <w:sz w:val="20"/>
                        <w:lang w:eastAsia="lt-LT"/>
                      </w:rPr>
                    </w:pPr>
                    <w:r>
                      <w:rPr>
                        <w:sz w:val="20"/>
                        <w:lang w:eastAsia="lt-LT"/>
                      </w:rPr>
                      <w:t>R – Mokslinių tyrimų ir eksperimentinės plėtros veiklos produktas</w:t>
                    </w:r>
                  </w:p>
                </w:tc>
                <w:tc>
                  <w:tcPr>
                    <w:tcW w:w="1134" w:type="dxa"/>
                  </w:tcPr>
                  <w:p>
                    <w:pPr>
                      <w:textAlignment w:val="baseline"/>
                      <w:rPr>
                        <w:sz w:val="20"/>
                        <w:lang w:eastAsia="lt-LT"/>
                      </w:rPr>
                    </w:pPr>
                    <w:r>
                      <w:rPr>
                        <w:sz w:val="20"/>
                        <w:lang w:eastAsia="lt-LT"/>
                      </w:rPr>
                      <w:t>808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13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11 066 829 </w:t>
                    </w: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190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92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800 (2029)</w:t>
                    </w:r>
                  </w:p>
                  <w:p>
                    <w:pPr>
                      <w:rPr>
                        <w:sz w:val="20"/>
                      </w:rPr>
                    </w:pPr>
                  </w:p>
                  <w:p>
                    <w:pPr>
                      <w:rPr>
                        <w:sz w:val="20"/>
                      </w:rPr>
                    </w:pPr>
                  </w:p>
                  <w:p>
                    <w:pPr>
                      <w:rPr>
                        <w:sz w:val="20"/>
                      </w:rPr>
                    </w:pPr>
                  </w:p>
                  <w:p>
                    <w:pPr>
                      <w:rPr>
                        <w:sz w:val="20"/>
                      </w:rPr>
                    </w:pPr>
                  </w:p>
                  <w:p>
                    <w:pPr>
                      <w:textAlignment w:val="baseline"/>
                      <w:rPr>
                        <w:sz w:val="20"/>
                        <w:lang w:eastAsia="lt-LT"/>
                      </w:rPr>
                    </w:pPr>
                    <w:r>
                      <w:rPr>
                        <w:sz w:val="20"/>
                      </w:rPr>
                      <w:t>15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1.7 Skatinti vykdyti taikomuosius MTEP (VVL)</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4 919,673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1 033,131</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P – Su mokslinių tyrimų organizacijomis bendradarbiaujančios įmonės </w:t>
                    </w:r>
                  </w:p>
                  <w:p>
                    <w:pPr>
                      <w:textAlignment w:val="baseline"/>
                      <w:rPr>
                        <w:sz w:val="20"/>
                        <w:lang w:eastAsia="lt-LT"/>
                      </w:rPr>
                    </w:pPr>
                  </w:p>
                  <w:p>
                    <w:pPr>
                      <w:textAlignment w:val="baseline"/>
                      <w:rPr>
                        <w:sz w:val="20"/>
                        <w:lang w:eastAsia="lt-LT"/>
                      </w:rPr>
                    </w:pPr>
                    <w:r>
                      <w:rPr>
                        <w:sz w:val="20"/>
                        <w:lang w:eastAsia="lt-LT"/>
                      </w:rPr>
                      <w:t>R – Pateiktos patentų paraiškos  </w:t>
                    </w:r>
                  </w:p>
                  <w:p>
                    <w:pPr>
                      <w:textAlignment w:val="baseline"/>
                      <w:rPr>
                        <w:sz w:val="20"/>
                        <w:lang w:eastAsia="lt-LT"/>
                      </w:rPr>
                    </w:pPr>
                  </w:p>
                  <w:p>
                    <w:pPr>
                      <w:rPr>
                        <w:sz w:val="20"/>
                      </w:rPr>
                    </w:pPr>
                    <w:r>
                      <w:rPr>
                        <w:sz w:val="20"/>
                      </w:rPr>
                      <w:t>R – Remiamų projektų leidiniai</w:t>
                    </w:r>
                  </w:p>
                  <w:p>
                    <w:pPr>
                      <w:rPr>
                        <w:sz w:val="20"/>
                      </w:rPr>
                    </w:pPr>
                  </w:p>
                  <w:p>
                    <w:pPr>
                      <w:textAlignment w:val="baseline"/>
                      <w:rPr>
                        <w:sz w:val="20"/>
                        <w:lang w:eastAsia="lt-LT"/>
                      </w:rPr>
                    </w:pPr>
                    <w:r>
                      <w:rPr>
                        <w:sz w:val="20"/>
                        <w:lang w:eastAsia="lt-LT"/>
                      </w:rPr>
                      <w:t>R – Mokslinių tyrimų ir eksperimentinės plėtros veiklos produktas</w:t>
                    </w:r>
                  </w:p>
                </w:tc>
                <w:tc>
                  <w:tcPr>
                    <w:tcW w:w="1134" w:type="dxa"/>
                  </w:tcPr>
                  <w:p>
                    <w:pPr>
                      <w:textAlignment w:val="baseline"/>
                      <w:rPr>
                        <w:sz w:val="20"/>
                        <w:lang w:eastAsia="lt-LT"/>
                      </w:rPr>
                    </w:pPr>
                    <w:r>
                      <w:rPr>
                        <w:sz w:val="20"/>
                        <w:lang w:eastAsia="lt-LT"/>
                      </w:rPr>
                      <w:t>72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4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983 935 </w:t>
                    </w: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28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101 (2029)</w:t>
                    </w:r>
                  </w:p>
                  <w:p>
                    <w:pPr>
                      <w:rPr>
                        <w:sz w:val="20"/>
                      </w:rPr>
                    </w:pPr>
                  </w:p>
                  <w:p>
                    <w:pPr>
                      <w:rPr>
                        <w:sz w:val="20"/>
                      </w:rPr>
                    </w:pPr>
                  </w:p>
                  <w:p>
                    <w:pPr>
                      <w:rPr>
                        <w:sz w:val="20"/>
                      </w:rPr>
                    </w:pPr>
                  </w:p>
                  <w:p>
                    <w:pPr>
                      <w:rPr>
                        <w:sz w:val="20"/>
                      </w:rPr>
                    </w:pPr>
                  </w:p>
                  <w:p>
                    <w:pPr>
                      <w:textAlignment w:val="baseline"/>
                      <w:rPr>
                        <w:sz w:val="20"/>
                        <w:lang w:eastAsia="lt-LT"/>
                      </w:rPr>
                    </w:pPr>
                    <w:r>
                      <w:rPr>
                        <w:sz w:val="20"/>
                      </w:rPr>
                      <w:t>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1.8. Technologinės plėtros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textAlignment w:val="baseline"/>
                      <w:rPr>
                        <w:sz w:val="20"/>
                        <w:lang w:eastAsia="lt-LT"/>
                      </w:rPr>
                    </w:pPr>
                    <w:r>
                      <w:rPr>
                        <w:sz w:val="20"/>
                        <w:lang w:eastAsia="lt-LT"/>
                      </w:rPr>
                      <w:t>-</w:t>
                    </w:r>
                  </w:p>
                </w:tc>
                <w:tc>
                  <w:tcPr>
                    <w:tcW w:w="1087" w:type="dxa"/>
                  </w:tcPr>
                  <w:p>
                    <w:pPr>
                      <w:jc w:val="center"/>
                      <w:rPr>
                        <w:sz w:val="20"/>
                      </w:rPr>
                    </w:pPr>
                    <w:r>
                      <w:rPr>
                        <w:sz w:val="20"/>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1.9. Žinių perdavimo ir komercinimo sistemos stiprinimas (Sostinė)</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19 889.219:</w:t>
                    </w:r>
                  </w:p>
                  <w:p>
                    <w:pPr>
                      <w:rPr>
                        <w:sz w:val="20"/>
                      </w:rPr>
                    </w:pPr>
                    <w:r>
                      <w:rPr>
                        <w:sz w:val="20"/>
                      </w:rPr>
                      <w:t>14 777,047</w:t>
                    </w:r>
                    <w:r>
                      <w:rPr>
                        <w:sz w:val="20"/>
                        <w:lang w:eastAsia="lt-LT"/>
                      </w:rPr>
                      <w:t xml:space="preserve"> – ES fondų lėšos,</w:t>
                    </w:r>
                  </w:p>
                  <w:p>
                    <w:pPr>
                      <w:rPr>
                        <w:sz w:val="20"/>
                      </w:rPr>
                    </w:pPr>
                    <w:r>
                      <w:rPr>
                        <w:sz w:val="20"/>
                      </w:rPr>
                      <w:t>5 112,172</w:t>
                    </w:r>
                    <w:r>
                      <w:rPr>
                        <w:sz w:val="20"/>
                        <w:lang w:eastAsia="lt-LT"/>
                      </w:rPr>
                      <w:t xml:space="preserve"> – BF lėšos;</w:t>
                    </w:r>
                  </w:p>
                  <w:p>
                    <w:pPr>
                      <w:rPr>
                        <w:sz w:val="20"/>
                      </w:rPr>
                    </w:pPr>
                  </w:p>
                  <w:p>
                    <w:pPr>
                      <w:rPr>
                        <w:sz w:val="20"/>
                      </w:rPr>
                    </w:pPr>
                    <w:r>
                      <w:rPr>
                        <w:sz w:val="20"/>
                      </w:rPr>
                      <w:t>4 176,736</w:t>
                    </w:r>
                  </w:p>
                </w:tc>
                <w:tc>
                  <w:tcPr>
                    <w:tcW w:w="1087" w:type="dxa"/>
                  </w:tcPr>
                  <w:p>
                    <w:pPr>
                      <w:rPr>
                        <w:sz w:val="20"/>
                      </w:rPr>
                    </w:pPr>
                    <w:r>
                      <w:rPr>
                        <w:sz w:val="20"/>
                        <w:lang w:eastAsia="lt-LT"/>
                      </w:rPr>
                      <w:t xml:space="preserve">2021–2027 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Investicijas gavusių mokslo ir studijų institucijų skaičius</w:t>
                    </w:r>
                  </w:p>
                  <w:p>
                    <w:pPr>
                      <w:textAlignment w:val="baseline"/>
                      <w:rPr>
                        <w:sz w:val="20"/>
                        <w:lang w:eastAsia="lt-LT"/>
                      </w:rPr>
                    </w:pPr>
                  </w:p>
                  <w:p>
                    <w:pPr>
                      <w:rPr>
                        <w:sz w:val="20"/>
                      </w:rPr>
                    </w:pPr>
                    <w:r>
                      <w:rPr>
                        <w:sz w:val="20"/>
                      </w:rPr>
                      <w:t>R – Investicijas gavusių mokslo ir studijų institucijų gautų mokslinių tyrimų ir eksperimentinės plėtros užsakymų skaičius</w:t>
                    </w:r>
                  </w:p>
                </w:tc>
                <w:tc>
                  <w:tcPr>
                    <w:tcW w:w="1134" w:type="dxa"/>
                  </w:tcPr>
                  <w:p>
                    <w:pPr>
                      <w:textAlignment w:val="baseline"/>
                      <w:rPr>
                        <w:sz w:val="20"/>
                        <w:lang w:eastAsia="lt-LT"/>
                      </w:rPr>
                    </w:pPr>
                    <w:r>
                      <w:rPr>
                        <w:sz w:val="20"/>
                        <w:lang w:eastAsia="lt-LT"/>
                      </w:rPr>
                      <w:t>3 977 840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140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1.10. Žinių perdavimo ir komercinimo sistemos stiprinimas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11 933,531</w:t>
                    </w:r>
                    <w:r>
                      <w:rPr>
                        <w:sz w:val="20"/>
                        <w:lang w:eastAsia="lt-LT"/>
                      </w:rPr>
                      <w:t>;</w:t>
                    </w:r>
                  </w:p>
                  <w:p>
                    <w:pPr>
                      <w:rPr>
                        <w:sz w:val="20"/>
                      </w:rPr>
                    </w:pPr>
                  </w:p>
                  <w:p>
                    <w:pPr>
                      <w:rPr>
                        <w:sz w:val="20"/>
                      </w:rPr>
                    </w:pPr>
                  </w:p>
                  <w:p>
                    <w:pPr>
                      <w:rPr>
                        <w:sz w:val="20"/>
                      </w:rPr>
                    </w:pPr>
                  </w:p>
                  <w:p>
                    <w:pPr>
                      <w:rPr>
                        <w:sz w:val="20"/>
                      </w:rPr>
                    </w:pPr>
                  </w:p>
                  <w:p>
                    <w:pPr>
                      <w:rPr>
                        <w:sz w:val="20"/>
                      </w:rPr>
                    </w:pPr>
                    <w:r>
                      <w:rPr>
                        <w:sz w:val="20"/>
                      </w:rPr>
                      <w:t>2 506,042</w:t>
                    </w:r>
                  </w:p>
                </w:tc>
                <w:tc>
                  <w:tcPr>
                    <w:tcW w:w="1087" w:type="dxa"/>
                  </w:tcPr>
                  <w:p>
                    <w:pPr>
                      <w:rPr>
                        <w:sz w:val="20"/>
                      </w:rPr>
                    </w:pPr>
                    <w:r>
                      <w:rPr>
                        <w:sz w:val="20"/>
                        <w:lang w:eastAsia="lt-LT"/>
                      </w:rPr>
                      <w:t xml:space="preserve">2021–2027 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Investicijas gavusių mokslo ir studijų institucijų skaičius</w:t>
                    </w:r>
                  </w:p>
                  <w:p>
                    <w:pPr>
                      <w:textAlignment w:val="baseline"/>
                      <w:rPr>
                        <w:sz w:val="20"/>
                        <w:lang w:eastAsia="lt-LT"/>
                      </w:rPr>
                    </w:pPr>
                  </w:p>
                  <w:p>
                    <w:pPr>
                      <w:rPr>
                        <w:sz w:val="20"/>
                      </w:rPr>
                    </w:pPr>
                    <w:r>
                      <w:rPr>
                        <w:sz w:val="20"/>
                      </w:rPr>
                      <w:t>R – Investicijas gavusių mokslo ir studijų institucijų gautų mokslinių tyrimų ir eksperimentinės plėtros užsakymų skaičius</w:t>
                    </w:r>
                  </w:p>
                </w:tc>
                <w:tc>
                  <w:tcPr>
                    <w:tcW w:w="1134" w:type="dxa"/>
                  </w:tcPr>
                  <w:p>
                    <w:pPr>
                      <w:textAlignment w:val="baseline"/>
                      <w:rPr>
                        <w:sz w:val="20"/>
                        <w:lang w:eastAsia="lt-LT"/>
                      </w:rPr>
                    </w:pPr>
                    <w:r>
                      <w:rPr>
                        <w:sz w:val="20"/>
                        <w:lang w:eastAsia="lt-LT"/>
                      </w:rPr>
                      <w:t>2 386 710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6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1.11. Mokslo vadybos ir žinių komercinimo gebėjimų mokslo ir studijų institucijose stiprinimas (</w:t>
                    </w:r>
                    <w:r>
                      <w:rPr>
                        <w:i/>
                        <w:sz w:val="20"/>
                      </w:rPr>
                      <w:t>spin-off</w:t>
                    </w:r>
                    <w:r>
                      <w:rPr>
                        <w:sz w:val="20"/>
                      </w:rPr>
                      <w:t>) (Sostinė)</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29 554,094:</w:t>
                    </w:r>
                  </w:p>
                  <w:p>
                    <w:pPr>
                      <w:rPr>
                        <w:sz w:val="20"/>
                      </w:rPr>
                    </w:pPr>
                    <w:r>
                      <w:rPr>
                        <w:sz w:val="20"/>
                      </w:rPr>
                      <w:t>14 777,047</w:t>
                    </w:r>
                    <w:r>
                      <w:rPr>
                        <w:sz w:val="20"/>
                        <w:lang w:eastAsia="lt-LT"/>
                      </w:rPr>
                      <w:t xml:space="preserve"> – ES fondų lėšos,</w:t>
                    </w:r>
                  </w:p>
                  <w:p>
                    <w:pPr>
                      <w:rPr>
                        <w:sz w:val="20"/>
                      </w:rPr>
                    </w:pPr>
                    <w:r>
                      <w:rPr>
                        <w:sz w:val="20"/>
                      </w:rPr>
                      <w:t>14 777,047</w:t>
                    </w:r>
                    <w:r>
                      <w:rPr>
                        <w:sz w:val="20"/>
                        <w:lang w:eastAsia="lt-LT"/>
                      </w:rPr>
                      <w:t xml:space="preserve"> – BF lėšos;</w:t>
                    </w:r>
                  </w:p>
                  <w:p>
                    <w:pPr>
                      <w:rPr>
                        <w:sz w:val="20"/>
                      </w:rPr>
                    </w:pPr>
                  </w:p>
                  <w:p>
                    <w:pPr>
                      <w:rPr>
                        <w:sz w:val="20"/>
                      </w:rPr>
                    </w:pPr>
                    <w:r>
                      <w:rPr>
                        <w:sz w:val="20"/>
                      </w:rPr>
                      <w:t>6 206,360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color w:val="000000"/>
                        <w:sz w:val="20"/>
                        <w:shd w:val="clear" w:color="auto" w:fill="FFFFFF"/>
                        <w:lang w:eastAsia="lt-LT"/>
                      </w:rPr>
                    </w:pPr>
                    <w:r>
                      <w:rPr>
                        <w:sz w:val="20"/>
                        <w:lang w:eastAsia="lt-LT"/>
                      </w:rPr>
                      <w:t xml:space="preserve">P – Paramą gavusios įmonės, </w:t>
                    </w:r>
                    <w:r>
                      <w:rPr>
                        <w:color w:val="000000"/>
                        <w:sz w:val="20"/>
                        <w:shd w:val="clear" w:color="auto" w:fill="FFFFFF"/>
                        <w:lang w:eastAsia="lt-LT"/>
                      </w:rPr>
                      <w:t>iš kurių labai mažos, mažos, vidutinės ir didelės įmonės</w:t>
                    </w:r>
                  </w:p>
                  <w:p>
                    <w:pPr>
                      <w:textAlignment w:val="baseline"/>
                      <w:rPr>
                        <w:sz w:val="20"/>
                        <w:lang w:eastAsia="lt-LT"/>
                      </w:rPr>
                    </w:pPr>
                  </w:p>
                  <w:p>
                    <w:pPr>
                      <w:textAlignment w:val="baseline"/>
                      <w:rPr>
                        <w:color w:val="000000"/>
                        <w:sz w:val="20"/>
                        <w:shd w:val="clear" w:color="auto" w:fill="FFFFFF"/>
                        <w:lang w:eastAsia="lt-LT"/>
                      </w:rPr>
                    </w:pPr>
                    <w:r>
                      <w:rPr>
                        <w:sz w:val="20"/>
                        <w:lang w:eastAsia="lt-LT"/>
                      </w:rPr>
                      <w:t xml:space="preserve">P – </w:t>
                    </w:r>
                    <w:r>
                      <w:rPr>
                        <w:color w:val="000000"/>
                        <w:sz w:val="20"/>
                        <w:shd w:val="clear" w:color="auto" w:fill="FFFFFF"/>
                        <w:lang w:eastAsia="lt-LT"/>
                      </w:rPr>
                      <w:t>Paramą gavusios įmonės, iš kurių labai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vidutinės įmonės</w:t>
                    </w:r>
                  </w:p>
                  <w:p>
                    <w:pPr>
                      <w:textAlignment w:val="baseline"/>
                      <w:rPr>
                        <w:color w:val="000000"/>
                        <w:sz w:val="20"/>
                        <w:shd w:val="clear" w:color="auto" w:fill="FFFFFF"/>
                        <w:lang w:eastAsia="lt-LT"/>
                      </w:rPr>
                    </w:pPr>
                  </w:p>
                  <w:p>
                    <w:pPr>
                      <w:textAlignment w:val="baseline"/>
                      <w:rPr>
                        <w:sz w:val="20"/>
                        <w:lang w:eastAsia="lt-LT"/>
                      </w:rPr>
                    </w:pPr>
                    <w:r>
                      <w:rPr>
                        <w:color w:val="000000"/>
                        <w:sz w:val="20"/>
                        <w:shd w:val="clear" w:color="auto" w:fill="FFFFFF"/>
                        <w:lang w:eastAsia="lt-LT"/>
                      </w:rPr>
                      <w:t>P – Paramą gavusios įmonės, iš kurių didelės įmonės</w:t>
                    </w:r>
                  </w:p>
                  <w:p>
                    <w:pPr>
                      <w:textAlignment w:val="baseline"/>
                      <w:rPr>
                        <w:sz w:val="20"/>
                        <w:lang w:eastAsia="lt-LT"/>
                      </w:rPr>
                    </w:pPr>
                  </w:p>
                  <w:p>
                    <w:pPr>
                      <w:textAlignment w:val="baseline"/>
                      <w:rPr>
                        <w:sz w:val="20"/>
                        <w:lang w:eastAsia="lt-LT"/>
                      </w:rPr>
                    </w:pPr>
                    <w:r>
                      <w:rPr>
                        <w:sz w:val="20"/>
                        <w:lang w:eastAsia="lt-LT"/>
                      </w:rPr>
                      <w:t>P – Nefinansinę paramą gavusios įmonės  </w:t>
                    </w:r>
                  </w:p>
                  <w:p>
                    <w:pPr>
                      <w:textAlignment w:val="baseline"/>
                      <w:rPr>
                        <w:sz w:val="20"/>
                        <w:lang w:eastAsia="lt-LT"/>
                      </w:rPr>
                    </w:pPr>
                  </w:p>
                  <w:p>
                    <w:pPr>
                      <w:textAlignment w:val="baseline"/>
                      <w:rPr>
                        <w:sz w:val="20"/>
                        <w:lang w:eastAsia="lt-LT"/>
                      </w:rPr>
                    </w:pPr>
                    <w:r>
                      <w:rPr>
                        <w:sz w:val="20"/>
                        <w:lang w:eastAsia="lt-LT"/>
                      </w:rPr>
                      <w:t>P – Paramą gavusios naujos įmonės  </w:t>
                    </w:r>
                  </w:p>
                  <w:p>
                    <w:pPr>
                      <w:textAlignment w:val="baseline"/>
                      <w:rPr>
                        <w:sz w:val="20"/>
                        <w:lang w:eastAsia="lt-LT"/>
                      </w:rPr>
                    </w:pPr>
                  </w:p>
                  <w:p>
                    <w:pPr>
                      <w:textAlignment w:val="baseline"/>
                      <w:rPr>
                        <w:sz w:val="20"/>
                        <w:lang w:eastAsia="lt-LT"/>
                      </w:rPr>
                    </w:pPr>
                    <w:r>
                      <w:rPr>
                        <w:sz w:val="20"/>
                        <w:lang w:eastAsia="lt-LT"/>
                      </w:rPr>
                      <w:t>R – Produktų ar procesų inovacijas diegiančios labai mažos, mažos ar vidutinės įmonės</w:t>
                    </w:r>
                  </w:p>
                  <w:p>
                    <w:pPr>
                      <w:textAlignment w:val="baseline"/>
                      <w:rPr>
                        <w:sz w:val="20"/>
                        <w:lang w:eastAsia="lt-LT"/>
                      </w:rPr>
                    </w:pPr>
                  </w:p>
                  <w:p>
                    <w:pPr>
                      <w:rPr>
                        <w:sz w:val="20"/>
                      </w:rPr>
                    </w:pPr>
                    <w:r>
                      <w:rPr>
                        <w:sz w:val="20"/>
                      </w:rPr>
                      <w:t>R – Pateiktos patentų paraiškos </w:t>
                    </w:r>
                  </w:p>
                  <w:p>
                    <w:pPr>
                      <w:rPr>
                        <w:sz w:val="20"/>
                      </w:rPr>
                    </w:pPr>
                  </w:p>
                  <w:p>
                    <w:pPr>
                      <w:rPr>
                        <w:sz w:val="20"/>
                      </w:rPr>
                    </w:pPr>
                    <w:r>
                      <w:rPr>
                        <w:sz w:val="20"/>
                      </w:rPr>
                      <w:t>P – Įgyvendintos preakceleravimo programos</w:t>
                    </w:r>
                  </w:p>
                  <w:p>
                    <w:pPr>
                      <w:rPr>
                        <w:sz w:val="20"/>
                      </w:rPr>
                    </w:pPr>
                  </w:p>
                  <w:p>
                    <w:pPr>
                      <w:rPr>
                        <w:sz w:val="20"/>
                      </w:rPr>
                    </w:pPr>
                    <w:r>
                      <w:rPr>
                        <w:sz w:val="20"/>
                      </w:rPr>
                      <w:t>P – Mentorystės programos veikla pasinaudoję dalyviai</w:t>
                    </w:r>
                  </w:p>
                  <w:p>
                    <w:pPr>
                      <w:rPr>
                        <w:sz w:val="20"/>
                      </w:rPr>
                    </w:pPr>
                  </w:p>
                  <w:p>
                    <w:pPr>
                      <w:rPr>
                        <w:sz w:val="20"/>
                      </w:rPr>
                    </w:pPr>
                    <w:r>
                      <w:rPr>
                        <w:sz w:val="20"/>
                      </w:rPr>
                      <w:t>P – Surengtos ekspertinės individualios ir grupinės konsultacijos</w:t>
                    </w:r>
                  </w:p>
                </w:tc>
                <w:tc>
                  <w:tcPr>
                    <w:tcW w:w="1134" w:type="dxa"/>
                  </w:tcPr>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47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 (2029)</w:t>
                    </w:r>
                  </w:p>
                  <w:p>
                    <w:pPr>
                      <w:rPr>
                        <w:sz w:val="20"/>
                      </w:rPr>
                    </w:pPr>
                  </w:p>
                  <w:p>
                    <w:pPr>
                      <w:rPr>
                        <w:sz w:val="20"/>
                      </w:rPr>
                    </w:pPr>
                  </w:p>
                  <w:p>
                    <w:pPr>
                      <w:rPr>
                        <w:sz w:val="20"/>
                      </w:rPr>
                    </w:pPr>
                  </w:p>
                  <w:p>
                    <w:pPr>
                      <w:rPr>
                        <w:sz w:val="20"/>
                      </w:rPr>
                    </w:pPr>
                    <w:r>
                      <w:rPr>
                        <w:sz w:val="20"/>
                      </w:rPr>
                      <w:t>6</w:t>
                    </w:r>
                  </w:p>
                  <w:p>
                    <w:pPr>
                      <w:rPr>
                        <w:sz w:val="20"/>
                      </w:rPr>
                    </w:pPr>
                  </w:p>
                  <w:p>
                    <w:pPr>
                      <w:rPr>
                        <w:sz w:val="20"/>
                      </w:rPr>
                    </w:pPr>
                  </w:p>
                  <w:p>
                    <w:pPr>
                      <w:rPr>
                        <w:sz w:val="20"/>
                      </w:rPr>
                    </w:pPr>
                  </w:p>
                  <w:p>
                    <w:pPr>
                      <w:rPr>
                        <w:sz w:val="20"/>
                      </w:rPr>
                    </w:pPr>
                  </w:p>
                  <w:p>
                    <w:pPr>
                      <w:rPr>
                        <w:sz w:val="20"/>
                      </w:rPr>
                    </w:pPr>
                  </w:p>
                  <w:p>
                    <w:pPr>
                      <w:rPr>
                        <w:sz w:val="20"/>
                      </w:rPr>
                    </w:pPr>
                    <w:r>
                      <w:rPr>
                        <w:sz w:val="20"/>
                      </w:rPr>
                      <w:t>21</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28</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1.12. Mokslo vadybos ir žinių komercinimo gebėjimų mokslo ir studijų institucijose stiprinimas (</w:t>
                    </w:r>
                    <w:r>
                      <w:rPr>
                        <w:i/>
                        <w:sz w:val="20"/>
                      </w:rPr>
                      <w:t>spin-off</w:t>
                    </w:r>
                    <w:r>
                      <w:rPr>
                        <w:sz w:val="20"/>
                      </w:rPr>
                      <w:t>)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11 933,531</w:t>
                    </w:r>
                    <w:r>
                      <w:rPr>
                        <w:sz w:val="20"/>
                        <w:lang w:eastAsia="lt-LT"/>
                      </w:rPr>
                      <w:t>;</w:t>
                    </w:r>
                  </w:p>
                  <w:p>
                    <w:pPr>
                      <w:rPr>
                        <w:sz w:val="20"/>
                      </w:rPr>
                    </w:pPr>
                  </w:p>
                  <w:p>
                    <w:pPr>
                      <w:rPr>
                        <w:sz w:val="20"/>
                      </w:rPr>
                    </w:pPr>
                  </w:p>
                  <w:p>
                    <w:pPr>
                      <w:rPr>
                        <w:sz w:val="20"/>
                      </w:rPr>
                    </w:pPr>
                  </w:p>
                  <w:p>
                    <w:pPr>
                      <w:rPr>
                        <w:sz w:val="20"/>
                      </w:rPr>
                    </w:pPr>
                  </w:p>
                  <w:p>
                    <w:pPr>
                      <w:rPr>
                        <w:sz w:val="20"/>
                      </w:rPr>
                    </w:pPr>
                    <w:r>
                      <w:rPr>
                        <w:sz w:val="20"/>
                      </w:rPr>
                      <w:t>2 506,042</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color w:val="000000"/>
                        <w:sz w:val="20"/>
                        <w:shd w:val="clear" w:color="auto" w:fill="FFFFFF"/>
                        <w:lang w:eastAsia="lt-LT"/>
                      </w:rPr>
                    </w:pPr>
                    <w:r>
                      <w:rPr>
                        <w:sz w:val="20"/>
                        <w:lang w:eastAsia="lt-LT"/>
                      </w:rPr>
                      <w:t xml:space="preserve">P – Paramą gavusios įmonės, </w:t>
                    </w:r>
                    <w:r>
                      <w:rPr>
                        <w:color w:val="000000"/>
                        <w:sz w:val="20"/>
                        <w:shd w:val="clear" w:color="auto" w:fill="FFFFFF"/>
                        <w:lang w:eastAsia="lt-LT"/>
                      </w:rPr>
                      <w:t>iš kurių labai mažos, mažos, vidutinės ir didelės įmonės</w:t>
                    </w:r>
                  </w:p>
                  <w:p>
                    <w:pPr>
                      <w:textAlignment w:val="baseline"/>
                      <w:rPr>
                        <w:sz w:val="20"/>
                        <w:lang w:eastAsia="lt-LT"/>
                      </w:rPr>
                    </w:pPr>
                  </w:p>
                  <w:p>
                    <w:pPr>
                      <w:textAlignment w:val="baseline"/>
                      <w:rPr>
                        <w:color w:val="000000"/>
                        <w:sz w:val="20"/>
                        <w:shd w:val="clear" w:color="auto" w:fill="FFFFFF"/>
                        <w:lang w:eastAsia="lt-LT"/>
                      </w:rPr>
                    </w:pPr>
                    <w:r>
                      <w:rPr>
                        <w:sz w:val="20"/>
                        <w:lang w:eastAsia="lt-LT"/>
                      </w:rPr>
                      <w:t xml:space="preserve">P – </w:t>
                    </w:r>
                    <w:r>
                      <w:rPr>
                        <w:color w:val="000000"/>
                        <w:sz w:val="20"/>
                        <w:shd w:val="clear" w:color="auto" w:fill="FFFFFF"/>
                        <w:lang w:eastAsia="lt-LT"/>
                      </w:rPr>
                      <w:t>Paramą gavusios įmonės, iš kurių labai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vidutinės įmonės</w:t>
                    </w:r>
                  </w:p>
                  <w:p>
                    <w:pPr>
                      <w:textAlignment w:val="baseline"/>
                      <w:rPr>
                        <w:color w:val="000000"/>
                        <w:sz w:val="20"/>
                        <w:shd w:val="clear" w:color="auto" w:fill="FFFFFF"/>
                        <w:lang w:eastAsia="lt-LT"/>
                      </w:rPr>
                    </w:pPr>
                  </w:p>
                  <w:p>
                    <w:pPr>
                      <w:textAlignment w:val="baseline"/>
                      <w:rPr>
                        <w:sz w:val="20"/>
                        <w:lang w:eastAsia="lt-LT"/>
                      </w:rPr>
                    </w:pPr>
                    <w:r>
                      <w:rPr>
                        <w:color w:val="000000"/>
                        <w:sz w:val="20"/>
                        <w:shd w:val="clear" w:color="auto" w:fill="FFFFFF"/>
                        <w:lang w:eastAsia="lt-LT"/>
                      </w:rPr>
                      <w:t>P – Paramą gavusios įmonės, iš kurių: didelės įmonės</w:t>
                    </w:r>
                  </w:p>
                  <w:p>
                    <w:pPr>
                      <w:textAlignment w:val="baseline"/>
                      <w:rPr>
                        <w:sz w:val="20"/>
                        <w:lang w:eastAsia="lt-LT"/>
                      </w:rPr>
                    </w:pPr>
                  </w:p>
                  <w:p>
                    <w:pPr>
                      <w:textAlignment w:val="baseline"/>
                      <w:rPr>
                        <w:sz w:val="20"/>
                        <w:lang w:eastAsia="lt-LT"/>
                      </w:rPr>
                    </w:pPr>
                    <w:r>
                      <w:rPr>
                        <w:sz w:val="20"/>
                        <w:lang w:eastAsia="lt-LT"/>
                      </w:rPr>
                      <w:t>P – Nefinansinę paramą gavusios įmonės  </w:t>
                    </w:r>
                  </w:p>
                  <w:p>
                    <w:pPr>
                      <w:textAlignment w:val="baseline"/>
                      <w:rPr>
                        <w:sz w:val="20"/>
                        <w:lang w:eastAsia="lt-LT"/>
                      </w:rPr>
                    </w:pPr>
                  </w:p>
                  <w:p>
                    <w:pPr>
                      <w:textAlignment w:val="baseline"/>
                      <w:rPr>
                        <w:sz w:val="20"/>
                        <w:lang w:eastAsia="lt-LT"/>
                      </w:rPr>
                    </w:pPr>
                    <w:r>
                      <w:rPr>
                        <w:sz w:val="20"/>
                        <w:lang w:eastAsia="lt-LT"/>
                      </w:rPr>
                      <w:t>P –Paramą gavusios naujos įmonės  </w:t>
                    </w:r>
                  </w:p>
                  <w:p>
                    <w:pPr>
                      <w:textAlignment w:val="baseline"/>
                      <w:rPr>
                        <w:sz w:val="20"/>
                        <w:lang w:eastAsia="lt-LT"/>
                      </w:rPr>
                    </w:pPr>
                  </w:p>
                  <w:p>
                    <w:pPr>
                      <w:textAlignment w:val="baseline"/>
                      <w:rPr>
                        <w:sz w:val="20"/>
                        <w:lang w:eastAsia="lt-LT"/>
                      </w:rPr>
                    </w:pPr>
                    <w:r>
                      <w:rPr>
                        <w:sz w:val="20"/>
                        <w:lang w:eastAsia="lt-LT"/>
                      </w:rPr>
                      <w:t>R – Produktų ar procesų inovacijas diegiančios labai mažos, mažos ar vidutinės įmonės</w:t>
                    </w:r>
                  </w:p>
                  <w:p>
                    <w:pPr>
                      <w:textAlignment w:val="baseline"/>
                      <w:rPr>
                        <w:sz w:val="20"/>
                        <w:lang w:eastAsia="lt-LT"/>
                      </w:rPr>
                    </w:pPr>
                  </w:p>
                  <w:p>
                    <w:pPr>
                      <w:rPr>
                        <w:sz w:val="20"/>
                      </w:rPr>
                    </w:pPr>
                    <w:r>
                      <w:rPr>
                        <w:sz w:val="20"/>
                      </w:rPr>
                      <w:t>R – Pateiktos patentų paraiškos</w:t>
                    </w:r>
                  </w:p>
                  <w:p>
                    <w:pPr>
                      <w:rPr>
                        <w:sz w:val="20"/>
                      </w:rPr>
                    </w:pPr>
                  </w:p>
                  <w:p>
                    <w:pPr>
                      <w:rPr>
                        <w:sz w:val="20"/>
                      </w:rPr>
                    </w:pPr>
                    <w:r>
                      <w:rPr>
                        <w:sz w:val="20"/>
                      </w:rPr>
                      <w:t>P – Įgyvendintos preakceleravimo programos</w:t>
                    </w:r>
                  </w:p>
                  <w:p>
                    <w:pPr>
                      <w:rPr>
                        <w:sz w:val="20"/>
                      </w:rPr>
                    </w:pPr>
                  </w:p>
                  <w:p>
                    <w:pPr>
                      <w:rPr>
                        <w:sz w:val="20"/>
                      </w:rPr>
                    </w:pPr>
                    <w:r>
                      <w:rPr>
                        <w:sz w:val="20"/>
                      </w:rPr>
                      <w:t>P – Mentorystės programos veikla pasinaudoję dalyviai</w:t>
                    </w:r>
                  </w:p>
                  <w:p>
                    <w:pPr>
                      <w:rPr>
                        <w:sz w:val="20"/>
                      </w:rPr>
                    </w:pPr>
                  </w:p>
                  <w:p>
                    <w:pPr>
                      <w:rPr>
                        <w:sz w:val="20"/>
                      </w:rPr>
                    </w:pPr>
                    <w:r>
                      <w:rPr>
                        <w:sz w:val="20"/>
                      </w:rPr>
                      <w:t>P – Surengtos ekspertinės individualios ir grupinės konsultacijos</w:t>
                    </w:r>
                  </w:p>
                </w:tc>
                <w:tc>
                  <w:tcPr>
                    <w:tcW w:w="1134" w:type="dxa"/>
                  </w:tcPr>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p>
                  <w:p>
                    <w:pPr>
                      <w:rPr>
                        <w:sz w:val="20"/>
                      </w:rPr>
                    </w:pPr>
                  </w:p>
                  <w:p>
                    <w:pPr>
                      <w:rPr>
                        <w:sz w:val="20"/>
                      </w:rPr>
                    </w:pPr>
                    <w:r>
                      <w:rPr>
                        <w:sz w:val="20"/>
                      </w:rPr>
                      <w:t>3 (2029)</w:t>
                    </w:r>
                  </w:p>
                  <w:p>
                    <w:pPr>
                      <w:rPr>
                        <w:sz w:val="20"/>
                      </w:rPr>
                    </w:pPr>
                  </w:p>
                  <w:p>
                    <w:pPr>
                      <w:rPr>
                        <w:sz w:val="20"/>
                      </w:rPr>
                    </w:pPr>
                  </w:p>
                  <w:p>
                    <w:pPr>
                      <w:rPr>
                        <w:sz w:val="20"/>
                      </w:rPr>
                    </w:pPr>
                  </w:p>
                  <w:p>
                    <w:pPr>
                      <w:rPr>
                        <w:sz w:val="20"/>
                      </w:rPr>
                    </w:pPr>
                    <w:r>
                      <w:rPr>
                        <w:sz w:val="20"/>
                      </w:rPr>
                      <w:t>2</w:t>
                    </w:r>
                  </w:p>
                  <w:p>
                    <w:pPr>
                      <w:rPr>
                        <w:sz w:val="20"/>
                      </w:rPr>
                    </w:pPr>
                  </w:p>
                  <w:p>
                    <w:pPr>
                      <w:rPr>
                        <w:sz w:val="20"/>
                      </w:rPr>
                    </w:pPr>
                  </w:p>
                  <w:p>
                    <w:pPr>
                      <w:rPr>
                        <w:sz w:val="20"/>
                      </w:rPr>
                    </w:pPr>
                  </w:p>
                  <w:p>
                    <w:pPr>
                      <w:rPr>
                        <w:sz w:val="20"/>
                      </w:rPr>
                    </w:pPr>
                  </w:p>
                  <w:p>
                    <w:pPr>
                      <w:rPr>
                        <w:sz w:val="20"/>
                      </w:rPr>
                    </w:pPr>
                  </w:p>
                  <w:p>
                    <w:pPr>
                      <w:rPr>
                        <w:sz w:val="20"/>
                      </w:rPr>
                    </w:pPr>
                    <w:r>
                      <w:rPr>
                        <w:sz w:val="20"/>
                      </w:rPr>
                      <w:t>9</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12</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1.13. Atžalinių įmonių mentorystė</w:t>
                    </w:r>
                  </w:p>
                </w:tc>
                <w:tc>
                  <w:tcPr>
                    <w:tcW w:w="709" w:type="dxa"/>
                  </w:tcPr>
                  <w:p>
                    <w:pPr>
                      <w:jc w:val="center"/>
                      <w:rPr>
                        <w:sz w:val="20"/>
                      </w:rPr>
                    </w:pPr>
                    <w:r>
                      <w:rPr>
                        <w:sz w:val="20"/>
                      </w:rPr>
                      <w:t>I</w:t>
                    </w:r>
                  </w:p>
                </w:tc>
                <w:tc>
                  <w:tcPr>
                    <w:tcW w:w="709" w:type="dxa"/>
                  </w:tcPr>
                  <w:p>
                    <w:pPr>
                      <w:jc w:val="center"/>
                      <w:rPr>
                        <w:sz w:val="20"/>
                      </w:rPr>
                    </w:pPr>
                    <w:r>
                      <w:rPr>
                        <w:sz w:val="20"/>
                      </w:rPr>
                      <w:t>LMT, MSI, atžalinės įmonės</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2. Tarptautiškumo skatinimo paketas</w:t>
                    </w:r>
                  </w:p>
                </w:tc>
                <w:tc>
                  <w:tcPr>
                    <w:tcW w:w="709" w:type="dxa"/>
                  </w:tcPr>
                  <w:p>
                    <w:pPr>
                      <w:jc w:val="center"/>
                      <w:rPr>
                        <w:sz w:val="20"/>
                      </w:rPr>
                    </w:pPr>
                  </w:p>
                </w:tc>
                <w:tc>
                  <w:tcPr>
                    <w:tcW w:w="709" w:type="dxa"/>
                  </w:tcPr>
                  <w:p>
                    <w:pPr>
                      <w:jc w:val="center"/>
                      <w:rPr>
                        <w:sz w:val="20"/>
                      </w:rPr>
                    </w:pPr>
                    <w:r>
                      <w:rPr>
                        <w:sz w:val="20"/>
                      </w:rPr>
                      <w:t>LMT, MSI, labai mažos, mažos, vidutinės įmonės (toliau – MVĮ), didelės įmonės (toliau – DĮ)</w:t>
                    </w:r>
                  </w:p>
                </w:tc>
                <w:tc>
                  <w:tcPr>
                    <w:tcW w:w="709" w:type="dxa"/>
                  </w:tcPr>
                  <w:p>
                    <w:pPr>
                      <w:jc w:val="center"/>
                      <w:rPr>
                        <w:sz w:val="20"/>
                      </w:rPr>
                    </w:pPr>
                    <w:r>
                      <w:rPr>
                        <w:sz w:val="20"/>
                      </w:rPr>
                      <w:t>T,</w:t>
                    </w:r>
                  </w:p>
                  <w:p>
                    <w:pPr>
                      <w:jc w:val="center"/>
                      <w:rPr>
                        <w:sz w:val="20"/>
                      </w:rPr>
                    </w:pPr>
                    <w:r>
                      <w:rPr>
                        <w:sz w:val="20"/>
                      </w:rPr>
                      <w:t>P , 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58 940,296;</w:t>
                    </w:r>
                  </w:p>
                  <w:p>
                    <w:pPr>
                      <w:rPr>
                        <w:sz w:val="20"/>
                      </w:rPr>
                    </w:pPr>
                  </w:p>
                  <w:p>
                    <w:pPr>
                      <w:rPr>
                        <w:sz w:val="20"/>
                      </w:rPr>
                    </w:pPr>
                  </w:p>
                  <w:p>
                    <w:pPr>
                      <w:rPr>
                        <w:sz w:val="20"/>
                      </w:rPr>
                    </w:pPr>
                  </w:p>
                  <w:p>
                    <w:pPr>
                      <w:rPr>
                        <w:sz w:val="20"/>
                      </w:rPr>
                    </w:pPr>
                  </w:p>
                  <w:p>
                    <w:pPr>
                      <w:rPr>
                        <w:sz w:val="20"/>
                      </w:rPr>
                    </w:pPr>
                    <w:r>
                      <w:rPr>
                        <w:sz w:val="20"/>
                      </w:rPr>
                      <w:t>40 000,000;</w:t>
                    </w:r>
                  </w:p>
                  <w:p>
                    <w:pPr>
                      <w:rPr>
                        <w:sz w:val="20"/>
                      </w:rPr>
                    </w:pPr>
                  </w:p>
                  <w:p>
                    <w:pPr>
                      <w:rPr>
                        <w:sz w:val="20"/>
                      </w:rPr>
                    </w:pPr>
                  </w:p>
                  <w:p>
                    <w:pPr>
                      <w:rPr>
                        <w:sz w:val="20"/>
                      </w:rPr>
                    </w:pPr>
                    <w:r>
                      <w:rPr>
                        <w:sz w:val="20"/>
                      </w:rPr>
                      <w:t>20 777,462</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r>
                      <w:rPr>
                        <w:sz w:val="20"/>
                      </w:rPr>
                      <w:t>EGADP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rPr>
                        <w:sz w:val="20"/>
                      </w:rPr>
                    </w:pPr>
                    <w:r>
                      <w:rPr>
                        <w:sz w:val="20"/>
                      </w:rPr>
                      <w:t>Lietuvos dalyvių pasirašytų dotacijos sutarčių skaičius programos „Europos horizontas“ finansuojamuose projektuose</w:t>
                    </w:r>
                  </w:p>
                </w:tc>
                <w:tc>
                  <w:tcPr>
                    <w:tcW w:w="1134" w:type="dxa"/>
                  </w:tcPr>
                  <w:p>
                    <w:pPr>
                      <w:rPr>
                        <w:sz w:val="20"/>
                      </w:rPr>
                    </w:pPr>
                    <w:r>
                      <w:rPr>
                        <w:sz w:val="20"/>
                      </w:rPr>
                      <w:t>605 (2030)</w:t>
                    </w:r>
                  </w:p>
                </w:tc>
                <w:tc>
                  <w:tcPr>
                    <w:tcW w:w="850" w:type="dxa"/>
                  </w:tcPr>
                  <w:p>
                    <w:pPr>
                      <w:jc w:val="center"/>
                      <w:rPr>
                        <w:sz w:val="20"/>
                      </w:rPr>
                    </w:pPr>
                  </w:p>
                </w:tc>
                <w:tc>
                  <w:tcPr>
                    <w:tcW w:w="709" w:type="dxa"/>
                  </w:tcPr>
                  <w:p>
                    <w:pPr>
                      <w:jc w:val="center"/>
                      <w:rPr>
                        <w:sz w:val="20"/>
                      </w:rPr>
                    </w:pPr>
                  </w:p>
                </w:tc>
              </w:tr>
              <w:tr>
                <w:trPr>
                  <w:trHeight w:val="233"/>
                </w:trPr>
                <w:tc>
                  <w:tcPr>
                    <w:tcW w:w="992" w:type="dxa"/>
                  </w:tcPr>
                  <w:p>
                    <w:pPr>
                      <w:rPr>
                        <w:sz w:val="20"/>
                      </w:rPr>
                    </w:pPr>
                    <w:r>
                      <w:rPr>
                        <w:sz w:val="20"/>
                      </w:rPr>
                      <w:t>2.1. Programos „Europos horizontas“ akceleravimas</w:t>
                    </w:r>
                  </w:p>
                </w:tc>
                <w:tc>
                  <w:tcPr>
                    <w:tcW w:w="709" w:type="dxa"/>
                  </w:tcPr>
                  <w:p>
                    <w:pPr>
                      <w:jc w:val="center"/>
                      <w:rPr>
                        <w:sz w:val="20"/>
                      </w:rPr>
                    </w:pPr>
                    <w:r>
                      <w:rPr>
                        <w:sz w:val="20"/>
                      </w:rPr>
                      <w:t>I</w:t>
                    </w:r>
                  </w:p>
                </w:tc>
                <w:tc>
                  <w:tcPr>
                    <w:tcW w:w="709" w:type="dxa"/>
                  </w:tcPr>
                  <w:p>
                    <w:pPr>
                      <w:jc w:val="center"/>
                      <w:rPr>
                        <w:sz w:val="20"/>
                      </w:rPr>
                    </w:pPr>
                    <w:r>
                      <w:rPr>
                        <w:sz w:val="20"/>
                      </w:rPr>
                      <w:t>LMT,</w:t>
                    </w:r>
                  </w:p>
                  <w:p>
                    <w:pPr>
                      <w:jc w:val="center"/>
                      <w:rPr>
                        <w:sz w:val="20"/>
                      </w:rPr>
                    </w:pPr>
                    <w:r>
                      <w:rPr>
                        <w:sz w:val="20"/>
                      </w:rPr>
                      <w:t>MSI</w:t>
                    </w:r>
                    <w:r>
                      <w:rPr>
                        <w:sz w:val="20"/>
                        <w:lang w:eastAsia="lt-LT"/>
                      </w:rPr>
                      <w:t xml:space="preserve">, </w:t>
                    </w:r>
                    <w:r>
                      <w:rPr>
                        <w:sz w:val="20"/>
                      </w:rPr>
                      <w:t>MVĮ, DĮ</w:t>
                    </w:r>
                  </w:p>
                </w:tc>
                <w:tc>
                  <w:tcPr>
                    <w:tcW w:w="709" w:type="dxa"/>
                  </w:tcPr>
                  <w:p>
                    <w:pPr>
                      <w:jc w:val="center"/>
                      <w:rPr>
                        <w:sz w:val="20"/>
                      </w:rPr>
                    </w:pPr>
                    <w:r>
                      <w:rPr>
                        <w:sz w:val="20"/>
                      </w:rPr>
                      <w:t>T,</w:t>
                    </w:r>
                  </w:p>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40 000,000;</w:t>
                    </w:r>
                  </w:p>
                  <w:p>
                    <w:pPr>
                      <w:rPr>
                        <w:sz w:val="20"/>
                      </w:rPr>
                    </w:pPr>
                  </w:p>
                  <w:p>
                    <w:pPr>
                      <w:rPr>
                        <w:sz w:val="20"/>
                      </w:rPr>
                    </w:pPr>
                  </w:p>
                  <w:p>
                    <w:pPr>
                      <w:rPr>
                        <w:sz w:val="20"/>
                      </w:rPr>
                    </w:pPr>
                    <w:r>
                      <w:rPr>
                        <w:sz w:val="20"/>
                      </w:rPr>
                      <w:t>8 400,000</w:t>
                    </w:r>
                  </w:p>
                </w:tc>
                <w:tc>
                  <w:tcPr>
                    <w:tcW w:w="1087" w:type="dxa"/>
                  </w:tcPr>
                  <w:p>
                    <w:pPr>
                      <w:rPr>
                        <w:sz w:val="20"/>
                      </w:rPr>
                    </w:pPr>
                    <w:r>
                      <w:rPr>
                        <w:sz w:val="20"/>
                      </w:rPr>
                      <w:t>EGADP lėšos</w:t>
                    </w:r>
                  </w:p>
                  <w:p>
                    <w:pPr>
                      <w:rPr>
                        <w:sz w:val="20"/>
                      </w:rPr>
                    </w:pPr>
                  </w:p>
                  <w:p>
                    <w:pPr>
                      <w:rPr>
                        <w:sz w:val="20"/>
                      </w:rPr>
                    </w:pPr>
                    <w:r>
                      <w:rPr>
                        <w:sz w:val="20"/>
                        <w:shd w:val="clear" w:color="auto" w:fill="FFFFFF"/>
                      </w:rPr>
                      <w:t xml:space="preserve">VB </w:t>
                    </w:r>
                    <w:r>
                      <w:rPr>
                        <w:sz w:val="20"/>
                      </w:rPr>
                      <w:t>lėšos, skirtos apmokėti bendrai finansuojamų iš ES fondų lėšų projektų netinkamam finansuoti iš ES fondų lėšų pirkimo ir (arba) importo PVM</w:t>
                    </w:r>
                  </w:p>
                </w:tc>
                <w:tc>
                  <w:tcPr>
                    <w:tcW w:w="1318" w:type="dxa"/>
                  </w:tcPr>
                  <w:p>
                    <w:pPr>
                      <w:rPr>
                        <w:sz w:val="20"/>
                      </w:rPr>
                    </w:pPr>
                    <w:r>
                      <w:rPr>
                        <w:sz w:val="20"/>
                      </w:rPr>
                      <w:t xml:space="preserve">P – Programos „Europos horizontas“ įgyvendinimo spartinimo veiksmų plano rengimas ir priėmimas </w:t>
                    </w:r>
                  </w:p>
                  <w:p>
                    <w:pPr>
                      <w:rPr>
                        <w:sz w:val="20"/>
                      </w:rPr>
                    </w:pPr>
                  </w:p>
                  <w:p>
                    <w:pPr>
                      <w:rPr>
                        <w:sz w:val="20"/>
                      </w:rPr>
                    </w:pPr>
                    <w:r>
                      <w:rPr>
                        <w:sz w:val="20"/>
                      </w:rPr>
                      <w:t>P – Sukurtas mokslo ir inovacijų srities pareigūnų veiklos modelis</w:t>
                    </w:r>
                  </w:p>
                  <w:p>
                    <w:pPr>
                      <w:rPr>
                        <w:sz w:val="20"/>
                      </w:rPr>
                    </w:pPr>
                  </w:p>
                  <w:p>
                    <w:pPr>
                      <w:rPr>
                        <w:sz w:val="20"/>
                      </w:rPr>
                    </w:pPr>
                    <w:r>
                      <w:rPr>
                        <w:sz w:val="20"/>
                      </w:rPr>
                      <w:t>P – Įsteigtos mokslo pareigūnų ir nacionalinių kontaktinių asmenų (NCP) pareigybės</w:t>
                    </w:r>
                  </w:p>
                  <w:p>
                    <w:pPr>
                      <w:rPr>
                        <w:sz w:val="20"/>
                      </w:rPr>
                    </w:pPr>
                  </w:p>
                  <w:p>
                    <w:pPr>
                      <w:rPr>
                        <w:sz w:val="20"/>
                      </w:rPr>
                    </w:pPr>
                  </w:p>
                  <w:p>
                    <w:pPr>
                      <w:rPr>
                        <w:sz w:val="20"/>
                      </w:rPr>
                    </w:pPr>
                  </w:p>
                  <w:p>
                    <w:pPr>
                      <w:rPr>
                        <w:sz w:val="20"/>
                      </w:rPr>
                    </w:pPr>
                    <w:r>
                      <w:rPr>
                        <w:sz w:val="20"/>
                      </w:rPr>
                      <w:t xml:space="preserve">P – Finansuoti projektai ir konsultavimo paslaugos mokslo ir studijų institucijų ir mažų ir vidutinių įmonių potencialiems  programos „Europos horizontas“ pareiškėjams</w:t>
                    </w:r>
                  </w:p>
                  <w:p>
                    <w:pPr>
                      <w:rPr>
                        <w:sz w:val="20"/>
                      </w:rPr>
                    </w:pPr>
                  </w:p>
                  <w:p>
                    <w:pPr>
                      <w:rPr>
                        <w:sz w:val="20"/>
                      </w:rPr>
                    </w:pPr>
                    <w:r>
                      <w:rPr>
                        <w:sz w:val="20"/>
                      </w:rPr>
                      <w:t>R – Paramą gavusiose mokslinių tyrimų įstaigose dirbantys mokslininkai</w:t>
                    </w:r>
                  </w:p>
                  <w:p>
                    <w:pPr>
                      <w:rPr>
                        <w:sz w:val="20"/>
                      </w:rPr>
                    </w:pPr>
                  </w:p>
                  <w:p>
                    <w:pPr>
                      <w:rPr>
                        <w:sz w:val="20"/>
                      </w:rPr>
                    </w:pPr>
                    <w:r>
                      <w:rPr>
                        <w:sz w:val="20"/>
                      </w:rPr>
                      <w:t>R – Paramą gavusios įmonės</w:t>
                    </w:r>
                  </w:p>
                  <w:p>
                    <w:pPr>
                      <w:rPr>
                        <w:sz w:val="20"/>
                      </w:rPr>
                    </w:pPr>
                  </w:p>
                  <w:p>
                    <w:pPr>
                      <w:rPr>
                        <w:sz w:val="20"/>
                      </w:rPr>
                    </w:pPr>
                    <w:r>
                      <w:rPr>
                        <w:sz w:val="20"/>
                      </w:rPr>
                      <w:t>R – Paramą gavusios įmonės, iš jų: mažos ir labai mažos</w:t>
                    </w:r>
                  </w:p>
                  <w:p>
                    <w:pPr>
                      <w:rPr>
                        <w:sz w:val="20"/>
                      </w:rPr>
                    </w:pPr>
                  </w:p>
                  <w:p>
                    <w:pPr>
                      <w:rPr>
                        <w:sz w:val="20"/>
                      </w:rPr>
                    </w:pPr>
                    <w:r>
                      <w:rPr>
                        <w:sz w:val="20"/>
                      </w:rPr>
                      <w:t>R – Paramą gavusios įmonės, iš jų: vidutinės</w:t>
                    </w:r>
                  </w:p>
                  <w:p>
                    <w:pPr>
                      <w:rPr>
                        <w:sz w:val="20"/>
                      </w:rPr>
                    </w:pPr>
                  </w:p>
                  <w:p>
                    <w:pPr>
                      <w:rPr>
                        <w:sz w:val="20"/>
                      </w:rPr>
                    </w:pPr>
                    <w:r>
                      <w:rPr>
                        <w:sz w:val="20"/>
                      </w:rPr>
                      <w:t>R – Paramą gavusios įmonės, iš jų didelės</w:t>
                    </w:r>
                  </w:p>
                </w:tc>
                <w:tc>
                  <w:tcPr>
                    <w:tcW w:w="1134" w:type="dxa"/>
                  </w:tcPr>
                  <w:p>
                    <w:pPr>
                      <w:rPr>
                        <w:sz w:val="20"/>
                      </w:rPr>
                    </w:pPr>
                    <w:r>
                      <w:rPr>
                        <w:sz w:val="20"/>
                      </w:rPr>
                      <w:t>1 (2022 m. II ketv.)</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1 (2022 m. II ketv.)</w:t>
                    </w:r>
                  </w:p>
                  <w:p>
                    <w:pPr>
                      <w:rPr>
                        <w:sz w:val="20"/>
                      </w:rPr>
                    </w:pPr>
                  </w:p>
                  <w:p>
                    <w:pPr>
                      <w:rPr>
                        <w:sz w:val="20"/>
                      </w:rPr>
                    </w:pPr>
                  </w:p>
                  <w:p>
                    <w:pPr>
                      <w:rPr>
                        <w:sz w:val="20"/>
                      </w:rPr>
                    </w:pPr>
                  </w:p>
                  <w:p>
                    <w:pPr>
                      <w:rPr>
                        <w:sz w:val="20"/>
                      </w:rPr>
                    </w:pPr>
                  </w:p>
                  <w:p>
                    <w:pPr>
                      <w:rPr>
                        <w:sz w:val="20"/>
                      </w:rPr>
                    </w:pPr>
                  </w:p>
                  <w:p>
                    <w:pPr>
                      <w:rPr>
                        <w:sz w:val="20"/>
                      </w:rPr>
                    </w:pPr>
                  </w:p>
                  <w:p>
                    <w:pPr>
                      <w:ind w:right="-110"/>
                      <w:rPr>
                        <w:sz w:val="20"/>
                      </w:rPr>
                    </w:pPr>
                    <w:r>
                      <w:rPr>
                        <w:sz w:val="20"/>
                      </w:rPr>
                      <w:t xml:space="preserve">30 </w:t>
                    </w:r>
                    <w:r>
                      <w:rPr>
                        <w:sz w:val="20"/>
                        <w:lang w:eastAsia="lt-LT"/>
                      </w:rPr>
                      <w:t xml:space="preserve">(2026 m. II ketv.) </w:t>
                    </w:r>
                    <w:r>
                      <w:rPr>
                        <w:sz w:val="20"/>
                      </w:rPr>
                      <w:t>(15 mokslo ir inovacijų pareigūnų / patarėjų pozicijų ir 15 NCP pareigybių)</w:t>
                    </w:r>
                  </w:p>
                  <w:p>
                    <w:pPr>
                      <w:rPr>
                        <w:sz w:val="20"/>
                      </w:rPr>
                    </w:pPr>
                  </w:p>
                  <w:p>
                    <w:pPr>
                      <w:rPr>
                        <w:sz w:val="20"/>
                      </w:rPr>
                    </w:pPr>
                  </w:p>
                  <w:p>
                    <w:pPr>
                      <w:rPr>
                        <w:sz w:val="20"/>
                      </w:rPr>
                    </w:pPr>
                    <w:r>
                      <w:rPr>
                        <w:sz w:val="20"/>
                      </w:rPr>
                      <w:t>477 (2026 m. II ketv.)</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/a</w:t>
                    </w:r>
                  </w:p>
                  <w:p>
                    <w:pPr>
                      <w:rPr>
                        <w:sz w:val="20"/>
                      </w:rPr>
                    </w:pPr>
                  </w:p>
                  <w:p>
                    <w:pPr>
                      <w:rPr>
                        <w:sz w:val="20"/>
                      </w:rPr>
                    </w:pPr>
                  </w:p>
                  <w:p>
                    <w:pPr>
                      <w:rPr>
                        <w:sz w:val="20"/>
                      </w:rPr>
                    </w:pPr>
                  </w:p>
                  <w:p>
                    <w:pPr>
                      <w:rPr>
                        <w:sz w:val="20"/>
                      </w:rPr>
                    </w:pPr>
                  </w:p>
                  <w:p>
                    <w:pPr>
                      <w:rPr>
                        <w:sz w:val="20"/>
                      </w:rPr>
                    </w:pPr>
                    <w:r>
                      <w:rPr>
                        <w:sz w:val="20"/>
                      </w:rPr>
                      <w:t>n / a</w:t>
                    </w:r>
                  </w:p>
                </w:tc>
                <w:tc>
                  <w:tcPr>
                    <w:tcW w:w="850" w:type="dxa"/>
                  </w:tcPr>
                  <w:p>
                    <w:pPr>
                      <w:jc w:val="center"/>
                      <w:rPr>
                        <w:sz w:val="20"/>
                      </w:rPr>
                    </w:pPr>
                    <w:r>
                      <w:rPr>
                        <w:sz w:val="20"/>
                      </w:rPr>
                      <w:t>CPVA</w:t>
                    </w:r>
                  </w:p>
                </w:tc>
                <w:tc>
                  <w:tcPr>
                    <w:tcW w:w="709" w:type="dxa"/>
                  </w:tcPr>
                  <w:p>
                    <w:pPr>
                      <w:jc w:val="center"/>
                      <w:rPr>
                        <w:sz w:val="20"/>
                      </w:rPr>
                    </w:pPr>
                    <w:r>
                      <w:rPr>
                        <w:sz w:val="20"/>
                      </w:rPr>
                      <w:t>EIM</w:t>
                    </w:r>
                  </w:p>
                </w:tc>
              </w:tr>
              <w:tr>
                <w:trPr>
                  <w:trHeight w:val="233"/>
                </w:trPr>
                <w:tc>
                  <w:tcPr>
                    <w:tcW w:w="992" w:type="dxa"/>
                  </w:tcPr>
                  <w:p>
                    <w:pPr>
                      <w:rPr>
                        <w:sz w:val="20"/>
                      </w:rPr>
                    </w:pPr>
                    <w:r>
                      <w:rPr>
                        <w:sz w:val="20"/>
                      </w:rPr>
                      <w:t>2.2. Didinti mokslo tarptautiškumo lygį (Sostinė)</w:t>
                    </w:r>
                  </w:p>
                </w:tc>
                <w:tc>
                  <w:tcPr>
                    <w:tcW w:w="709" w:type="dxa"/>
                  </w:tcPr>
                  <w:p>
                    <w:pPr>
                      <w:jc w:val="center"/>
                      <w:rPr>
                        <w:sz w:val="20"/>
                      </w:rPr>
                    </w:pPr>
                    <w:r>
                      <w:rPr>
                        <w:sz w:val="20"/>
                      </w:rPr>
                      <w:t>I</w:t>
                    </w:r>
                  </w:p>
                </w:tc>
                <w:tc>
                  <w:tcPr>
                    <w:tcW w:w="709" w:type="dxa"/>
                  </w:tcPr>
                  <w:p>
                    <w:pPr>
                      <w:jc w:val="center"/>
                      <w:rPr>
                        <w:sz w:val="20"/>
                      </w:rPr>
                    </w:pPr>
                    <w:r>
                      <w:rPr>
                        <w:sz w:val="20"/>
                      </w:rPr>
                      <w:t>LMT, MSI</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30 725,273:</w:t>
                    </w:r>
                  </w:p>
                  <w:p>
                    <w:pPr>
                      <w:textAlignment w:val="baseline"/>
                      <w:rPr>
                        <w:sz w:val="20"/>
                        <w:lang w:eastAsia="lt-LT"/>
                      </w:rPr>
                    </w:pPr>
                    <w:r>
                      <w:rPr>
                        <w:sz w:val="20"/>
                        <w:lang w:eastAsia="lt-LT"/>
                      </w:rPr>
                      <w:t>10 530,199 – ES fondų lėšos,</w:t>
                    </w:r>
                  </w:p>
                  <w:p>
                    <w:pPr>
                      <w:textAlignment w:val="baseline"/>
                      <w:rPr>
                        <w:sz w:val="20"/>
                        <w:lang w:eastAsia="lt-LT"/>
                      </w:rPr>
                    </w:pPr>
                    <w:r>
                      <w:rPr>
                        <w:sz w:val="20"/>
                        <w:lang w:eastAsia="lt-LT"/>
                      </w:rPr>
                      <w:t>20 195,074 – BF lėšos;</w:t>
                    </w:r>
                  </w:p>
                  <w:p>
                    <w:pPr>
                      <w:textAlignment w:val="baseline"/>
                      <w:rPr>
                        <w:sz w:val="20"/>
                        <w:lang w:eastAsia="lt-LT"/>
                      </w:rPr>
                    </w:pPr>
                  </w:p>
                  <w:p>
                    <w:pPr>
                      <w:textAlignment w:val="baseline"/>
                      <w:rPr>
                        <w:sz w:val="20"/>
                        <w:lang w:eastAsia="lt-LT"/>
                      </w:rPr>
                    </w:pPr>
                    <w:r>
                      <w:rPr>
                        <w:sz w:val="20"/>
                        <w:lang w:eastAsia="lt-LT"/>
                      </w:rPr>
                      <w:t>6 452,307</w:t>
                    </w:r>
                  </w:p>
                </w:tc>
                <w:tc>
                  <w:tcPr>
                    <w:tcW w:w="1087" w:type="dxa"/>
                  </w:tcPr>
                  <w:p>
                    <w:pPr>
                      <w:textAlignment w:val="baseline"/>
                      <w:rPr>
                        <w:sz w:val="20"/>
                        <w:lang w:eastAsia="lt-LT"/>
                      </w:rPr>
                    </w:pPr>
                    <w:r>
                      <w:rPr>
                        <w:sz w:val="20"/>
                        <w:lang w:eastAsia="lt-LT"/>
                      </w:rPr>
                      <w:t xml:space="preserve">2021–2027 m. </w:t>
                    </w:r>
                    <w:r>
                      <w:rPr>
                        <w:sz w:val="20"/>
                      </w:rPr>
                      <w:t>ES fondų ir BF lėšos</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VB lėšos, ,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textAlignment w:val="baseline"/>
                      <w:rPr>
                        <w:sz w:val="20"/>
                        <w:lang w:eastAsia="lt-LT"/>
                      </w:rPr>
                    </w:pPr>
                    <w:r>
                      <w:rPr>
                        <w:sz w:val="20"/>
                        <w:lang w:eastAsia="lt-LT"/>
                      </w:rPr>
                      <w:t>R – Mokslinių tyrimų ir eksperimentinės plėtros veiklos produktas</w:t>
                    </w:r>
                  </w:p>
                  <w:p>
                    <w:pPr>
                      <w:textAlignment w:val="baseline"/>
                      <w:rPr>
                        <w:sz w:val="20"/>
                        <w:lang w:eastAsia="lt-LT"/>
                      </w:rPr>
                    </w:pPr>
                  </w:p>
                  <w:p>
                    <w:pPr>
                      <w:rPr>
                        <w:sz w:val="20"/>
                      </w:rPr>
                    </w:pPr>
                    <w:r>
                      <w:rPr>
                        <w:sz w:val="20"/>
                      </w:rPr>
                      <w:t>R – Remiamų projektų leidiniai  </w:t>
                    </w:r>
                  </w:p>
                  <w:p>
                    <w:pPr>
                      <w:rPr>
                        <w:sz w:val="20"/>
                      </w:rPr>
                    </w:pPr>
                  </w:p>
                  <w:p>
                    <w:pPr>
                      <w:rPr>
                        <w:color w:val="000000"/>
                        <w:sz w:val="20"/>
                        <w:lang w:eastAsia="lt-LT"/>
                      </w:rPr>
                    </w:pPr>
                    <w:r>
                      <w:rPr>
                        <w:color w:val="000000"/>
                        <w:sz w:val="20"/>
                        <w:lang w:eastAsia="lt-LT"/>
                      </w:rPr>
                      <w:t>P – Asmenys, dalyvavę EURO HPC centro veiklose</w:t>
                    </w:r>
                  </w:p>
                  <w:p>
                    <w:pPr>
                      <w:rPr>
                        <w:color w:val="000000"/>
                        <w:sz w:val="20"/>
                        <w:lang w:eastAsia="lt-LT"/>
                      </w:rPr>
                    </w:pPr>
                  </w:p>
                  <w:p>
                    <w:pPr>
                      <w:rPr>
                        <w:sz w:val="20"/>
                      </w:rPr>
                    </w:pPr>
                    <w:r>
                      <w:rPr>
                        <w:color w:val="000000"/>
                        <w:sz w:val="20"/>
                        <w:lang w:eastAsia="lt-LT"/>
                      </w:rPr>
                      <w:t>P – LINO renginiai / susitikimai apie ES tarptautines programas, iniciatyvas bei galimybes, aktualias Lietuvos mokslo ir inovacijų ekosistemai</w:t>
                    </w:r>
                  </w:p>
                </w:tc>
                <w:tc>
                  <w:tcPr>
                    <w:tcW w:w="1134" w:type="dxa"/>
                  </w:tcPr>
                  <w:p>
                    <w:pPr>
                      <w:textAlignment w:val="baseline"/>
                      <w:rPr>
                        <w:sz w:val="20"/>
                        <w:lang w:eastAsia="lt-LT"/>
                      </w:rPr>
                    </w:pPr>
                    <w:r>
                      <w:rPr>
                        <w:sz w:val="20"/>
                        <w:lang w:eastAsia="lt-LT"/>
                      </w:rPr>
                      <w:t>175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8 084 730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95 (2029)</w:t>
                    </w:r>
                  </w:p>
                  <w:p>
                    <w:pPr>
                      <w:rPr>
                        <w:sz w:val="20"/>
                      </w:rPr>
                    </w:pPr>
                  </w:p>
                  <w:p>
                    <w:pPr>
                      <w:rPr>
                        <w:sz w:val="20"/>
                      </w:rPr>
                    </w:pPr>
                  </w:p>
                  <w:p>
                    <w:pPr>
                      <w:rPr>
                        <w:sz w:val="20"/>
                      </w:rPr>
                    </w:pPr>
                  </w:p>
                  <w:p>
                    <w:pPr>
                      <w:rPr>
                        <w:sz w:val="20"/>
                      </w:rPr>
                    </w:pPr>
                  </w:p>
                  <w:p>
                    <w:pPr>
                      <w:rPr>
                        <w:sz w:val="20"/>
                      </w:rPr>
                    </w:pPr>
                  </w:p>
                  <w:p>
                    <w:pPr>
                      <w:rPr>
                        <w:sz w:val="20"/>
                      </w:rPr>
                    </w:pPr>
                    <w:r>
                      <w:rPr>
                        <w:sz w:val="20"/>
                      </w:rPr>
                      <w:t>130 (2029)</w:t>
                    </w:r>
                  </w:p>
                  <w:p>
                    <w:pPr>
                      <w:rPr>
                        <w:sz w:val="20"/>
                      </w:rPr>
                    </w:pPr>
                  </w:p>
                  <w:p>
                    <w:pPr>
                      <w:rPr>
                        <w:sz w:val="20"/>
                      </w:rPr>
                    </w:pPr>
                  </w:p>
                  <w:p>
                    <w:pPr>
                      <w:rPr>
                        <w:sz w:val="20"/>
                      </w:rPr>
                    </w:pPr>
                  </w:p>
                  <w:p>
                    <w:pPr>
                      <w:rPr>
                        <w:sz w:val="20"/>
                      </w:rPr>
                    </w:pPr>
                  </w:p>
                  <w:p>
                    <w:pPr>
                      <w:rPr>
                        <w:sz w:val="20"/>
                      </w:rPr>
                    </w:pPr>
                  </w:p>
                  <w:p>
                    <w:pPr>
                      <w:rPr>
                        <w:sz w:val="20"/>
                      </w:rPr>
                    </w:pPr>
                    <w:r>
                      <w:rPr>
                        <w:sz w:val="20"/>
                      </w:rPr>
                      <w:t>60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2.3. Didinti mokslo tarptautiškumo lygį (VVL)</w:t>
                    </w:r>
                  </w:p>
                </w:tc>
                <w:tc>
                  <w:tcPr>
                    <w:tcW w:w="709" w:type="dxa"/>
                  </w:tcPr>
                  <w:p>
                    <w:pPr>
                      <w:jc w:val="center"/>
                      <w:rPr>
                        <w:sz w:val="20"/>
                      </w:rPr>
                    </w:pPr>
                    <w:r>
                      <w:rPr>
                        <w:sz w:val="20"/>
                      </w:rPr>
                      <w:t>I</w:t>
                    </w:r>
                  </w:p>
                </w:tc>
                <w:tc>
                  <w:tcPr>
                    <w:tcW w:w="709" w:type="dxa"/>
                  </w:tcPr>
                  <w:p>
                    <w:pPr>
                      <w:jc w:val="center"/>
                      <w:rPr>
                        <w:sz w:val="20"/>
                      </w:rPr>
                    </w:pPr>
                    <w:r>
                      <w:rPr>
                        <w:sz w:val="20"/>
                      </w:rPr>
                      <w:t>LMT, MSI</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28 215,023;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5 925,155</w:t>
                    </w:r>
                  </w:p>
                </w:tc>
                <w:tc>
                  <w:tcPr>
                    <w:tcW w:w="1087" w:type="dxa"/>
                  </w:tcPr>
                  <w:p>
                    <w:pPr>
                      <w:textAlignment w:val="baseline"/>
                      <w:rPr>
                        <w:sz w:val="20"/>
                        <w:lang w:eastAsia="lt-LT"/>
                      </w:rPr>
                    </w:pPr>
                    <w:r>
                      <w:rPr>
                        <w:sz w:val="20"/>
                        <w:lang w:eastAsia="lt-LT"/>
                      </w:rPr>
                      <w:t xml:space="preserve">2021–2027 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textAlignment w:val="baseline"/>
                      <w:rPr>
                        <w:sz w:val="20"/>
                        <w:lang w:eastAsia="lt-LT"/>
                      </w:rPr>
                    </w:pPr>
                    <w:r>
                      <w:rPr>
                        <w:sz w:val="20"/>
                        <w:lang w:eastAsia="lt-LT"/>
                      </w:rPr>
                      <w:t>R – Mokslinių tyrimų ir eksperimentinės plėtros veiklos produktas</w:t>
                    </w:r>
                  </w:p>
                  <w:p>
                    <w:pPr>
                      <w:textAlignment w:val="baseline"/>
                      <w:rPr>
                        <w:sz w:val="20"/>
                        <w:lang w:eastAsia="lt-LT"/>
                      </w:rPr>
                    </w:pPr>
                  </w:p>
                  <w:p>
                    <w:pPr>
                      <w:rPr>
                        <w:sz w:val="20"/>
                      </w:rPr>
                    </w:pPr>
                    <w:r>
                      <w:rPr>
                        <w:sz w:val="20"/>
                      </w:rPr>
                      <w:t>R – Remiamų projektų leidiniai</w:t>
                    </w:r>
                  </w:p>
                  <w:p>
                    <w:pPr>
                      <w:rPr>
                        <w:sz w:val="20"/>
                      </w:rPr>
                    </w:pPr>
                  </w:p>
                  <w:p>
                    <w:pPr>
                      <w:rPr>
                        <w:sz w:val="20"/>
                      </w:rPr>
                    </w:pPr>
                    <w:r>
                      <w:rPr>
                        <w:sz w:val="20"/>
                      </w:rPr>
                      <w:t xml:space="preserve">P </w:t>
                    </w:r>
                    <w:r>
                      <w:rPr>
                        <w:color w:val="000000"/>
                        <w:sz w:val="20"/>
                        <w:lang w:eastAsia="lt-LT"/>
                      </w:rPr>
                      <w:t>– Asmenys, dalyvavę EURO HPC centro veiklose</w:t>
                    </w:r>
                  </w:p>
                </w:tc>
                <w:tc>
                  <w:tcPr>
                    <w:tcW w:w="1134" w:type="dxa"/>
                  </w:tcPr>
                  <w:p>
                    <w:pPr>
                      <w:textAlignment w:val="baseline"/>
                      <w:rPr>
                        <w:sz w:val="20"/>
                        <w:lang w:eastAsia="lt-LT"/>
                      </w:rPr>
                    </w:pPr>
                    <w:r>
                      <w:rPr>
                        <w:sz w:val="20"/>
                        <w:lang w:eastAsia="lt-LT"/>
                      </w:rPr>
                      <w:t>300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3 453 080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8 (2029)</w:t>
                    </w:r>
                  </w:p>
                  <w:p>
                    <w:pPr>
                      <w:textAlignment w:val="baseline"/>
                      <w:rPr>
                        <w:sz w:val="20"/>
                        <w:lang w:eastAsia="lt-LT"/>
                      </w:rPr>
                    </w:pPr>
                  </w:p>
                  <w:p>
                    <w:pPr>
                      <w:rPr>
                        <w:sz w:val="20"/>
                      </w:rPr>
                    </w:pPr>
                  </w:p>
                  <w:p>
                    <w:pPr>
                      <w:rPr>
                        <w:sz w:val="20"/>
                      </w:rPr>
                    </w:pPr>
                  </w:p>
                  <w:p>
                    <w:pPr>
                      <w:rPr>
                        <w:sz w:val="20"/>
                      </w:rPr>
                    </w:pPr>
                  </w:p>
                  <w:p>
                    <w:pPr>
                      <w:rPr>
                        <w:sz w:val="20"/>
                      </w:rPr>
                    </w:pPr>
                  </w:p>
                  <w:p>
                    <w:pPr>
                      <w:rPr>
                        <w:sz w:val="20"/>
                      </w:rPr>
                    </w:pPr>
                  </w:p>
                  <w:p>
                    <w:pPr>
                      <w:rPr>
                        <w:sz w:val="20"/>
                      </w:rPr>
                    </w:pPr>
                  </w:p>
                  <w:p>
                    <w:pPr>
                      <w:rPr>
                        <w:sz w:val="20"/>
                        <w:lang w:val="en-GB"/>
                      </w:rPr>
                    </w:pPr>
                  </w:p>
                  <w:p>
                    <w:pPr>
                      <w:rPr>
                        <w:sz w:val="20"/>
                      </w:rPr>
                    </w:pPr>
                    <w:r>
                      <w:rPr>
                        <w:sz w:val="20"/>
                      </w:rPr>
                      <w:t>100 (2029)</w:t>
                    </w:r>
                  </w:p>
                  <w:p>
                    <w:pPr>
                      <w:rPr>
                        <w:sz w:val="20"/>
                      </w:rPr>
                    </w:pPr>
                  </w:p>
                  <w:p>
                    <w:pPr>
                      <w:rPr>
                        <w:sz w:val="20"/>
                      </w:rPr>
                    </w:pPr>
                  </w:p>
                  <w:p>
                    <w:pPr>
                      <w:rPr>
                        <w:sz w:val="20"/>
                      </w:rPr>
                    </w:pPr>
                  </w:p>
                  <w:p>
                    <w:pPr>
                      <w:rPr>
                        <w:sz w:val="20"/>
                      </w:rPr>
                    </w:pPr>
                  </w:p>
                  <w:p>
                    <w:pPr>
                      <w:rPr>
                        <w:sz w:val="20"/>
                      </w:rPr>
                    </w:pPr>
                    <w:r>
                      <w:rPr>
                        <w:sz w:val="20"/>
                      </w:rPr>
                      <w:t>30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2.4. Tarptautiniai MTEP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textAlignment w:val="baseline"/>
                      <w:rPr>
                        <w:sz w:val="20"/>
                        <w:lang w:eastAsia="lt-LT"/>
                      </w:rPr>
                    </w:pPr>
                    <w:r>
                      <w:rPr>
                        <w:sz w:val="20"/>
                        <w:lang w:eastAsia="lt-LT"/>
                      </w:rPr>
                      <w:t>-</w:t>
                    </w:r>
                  </w:p>
                </w:tc>
                <w:tc>
                  <w:tcPr>
                    <w:tcW w:w="1087" w:type="dxa"/>
                  </w:tcPr>
                  <w:p>
                    <w:pPr>
                      <w:jc w:val="center"/>
                      <w:textAlignment w:val="baseline"/>
                      <w:rPr>
                        <w:sz w:val="20"/>
                        <w:lang w:eastAsia="lt-LT"/>
                      </w:rPr>
                    </w:pPr>
                    <w:r>
                      <w:rPr>
                        <w:sz w:val="20"/>
                        <w:lang w:eastAsia="lt-LT"/>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bl>
            <w:sdt>
              <w:sdtPr>
                <w:alias w:val="pastaba"/>
                <w:tag w:val="part_3e1ef213c5c741c68d0ef0229a8aada3"/>
                <w:lock w:val="sdtLocked"/>
                <w:richText/>
              </w:sdtPr>
              <w:sdtContent>
                <w:p>
                  <w:pPr>
                    <w:ind w:firstLine="742"/>
                    <w:jc w:val="both"/>
                    <w:rPr>
                      <w:b/>
                      <w:bCs/>
                      <w:sz w:val="20"/>
                    </w:rPr>
                  </w:pPr>
                  <w:sdt>
                    <w:sdtPr>
                      <w:alias w:val="Pavadinimas"/>
                      <w:tag w:val="title_3e1ef213c5c741c68d0ef0229a8aada3"/>
                      <w:lock w:val="sdtLocked"/>
                      <w:richText/>
                    </w:sdtPr>
                    <w:sdtContent>
                      <w:r>
                        <w:rPr>
                          <w:b/>
                          <w:bCs/>
                          <w:sz w:val="20"/>
                        </w:rPr>
                        <w:t>Pastabos:</w:t>
                      </w:r>
                    </w:sdtContent>
                  </w:sdt>
                </w:p>
                <w:sdt>
                  <w:sdtPr>
                    <w:alias w:val="1 p."/>
                    <w:tag w:val="part_af51d13165104dde938986eb3c56c13c"/>
                    <w:lock w:val="sdtLocked"/>
                    <w:richText/>
                  </w:sdtPr>
                  <w:sdtContent>
                    <w:p>
                      <w:pPr>
                        <w:ind w:firstLine="742"/>
                        <w:jc w:val="both"/>
                        <w:rPr>
                          <w:sz w:val="20"/>
                        </w:rPr>
                      </w:pPr>
                      <w:sdt>
                        <w:sdtPr>
                          <w:alias w:val="Numeris"/>
                          <w:tag w:val="nr_af51d13165104dde938986eb3c56c13c"/>
                          <w:lock w:val="sdtLocked"/>
                          <w:richText/>
                        </w:sdtPr>
                        <w:sdtContent>
                          <w:r>
                            <w:rPr>
                              <w:sz w:val="20"/>
                            </w:rPr>
                            <w:t>1</w:t>
                          </w:r>
                        </w:sdtContent>
                      </w:sdt>
                      <w:r>
                        <w:rPr>
                          <w:sz w:val="20"/>
                        </w:rPr>
                        <w:t xml:space="preserve">. Veikla „1.1. Mokslo ir inovacijų misijų programos“ visa apimtimi bus pradėta įgyvendinti gavus papildomą finansavimą (639 000 000,00 Eur (šešis šimtus trisdešimt devynis milijonus eurų, 00 ct)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 </w:t>
                      </w:r>
                    </w:p>
                  </w:sdtContent>
                </w:sdt>
                <w:sdt>
                  <w:sdtPr>
                    <w:alias w:val="2 p."/>
                    <w:tag w:val="part_169e019d0a064953b099dc49ec926a32"/>
                    <w:lock w:val="sdtLocked"/>
                    <w:richText/>
                  </w:sdtPr>
                  <w:sdtContent>
                    <w:p>
                      <w:pPr>
                        <w:ind w:firstLine="742"/>
                        <w:jc w:val="both"/>
                        <w:rPr>
                          <w:sz w:val="20"/>
                        </w:rPr>
                      </w:pPr>
                      <w:sdt>
                        <w:sdtPr>
                          <w:alias w:val="Numeris"/>
                          <w:tag w:val="nr_169e019d0a064953b099dc49ec926a32"/>
                          <w:lock w:val="sdtLocked"/>
                          <w:richText/>
                        </w:sdtPr>
                        <w:sdtContent>
                          <w:r>
                            <w:rPr>
                              <w:sz w:val="20"/>
                            </w:rPr>
                            <w:t>2</w:t>
                          </w:r>
                        </w:sdtContent>
                      </w:sdt>
                      <w:r>
                        <w:rPr>
                          <w:sz w:val="20"/>
                        </w:rPr>
                        <w:t xml:space="preserve">. Veikla „1.2. Valstybės MTEP užsakymai“ bus pradėta įgyvendinti gavus papildomą finansavimą (117 000 000,00 Eur (vieną šimtą septyniolika milijonų eurų, 00 ct) iš valstybės biudžeto ar kitų finansavimo šaltinių. Siekiamas rezultatas 2030 m.: įgyvendinti MTEP projektai – 420, paskelbtos publikacijos – 1254, rezultatų, kurie sprendžia šaliai aktualias problemas, skaičius – 90. </w:t>
                      </w:r>
                    </w:p>
                  </w:sdtContent>
                </w:sdt>
                <w:sdt>
                  <w:sdtPr>
                    <w:alias w:val="3 p."/>
                    <w:tag w:val="part_37b82081b0c84df0ab94e2941218c970"/>
                    <w:lock w:val="sdtLocked"/>
                    <w:richText/>
                  </w:sdtPr>
                  <w:sdtContent>
                    <w:p>
                      <w:pPr>
                        <w:ind w:firstLine="742"/>
                        <w:jc w:val="both"/>
                        <w:rPr>
                          <w:sz w:val="20"/>
                        </w:rPr>
                      </w:pPr>
                      <w:sdt>
                        <w:sdtPr>
                          <w:alias w:val="Numeris"/>
                          <w:tag w:val="nr_37b82081b0c84df0ab94e2941218c970"/>
                          <w:lock w:val="sdtLocked"/>
                          <w:richText/>
                        </w:sdtPr>
                        <w:sdtContent>
                          <w:r>
                            <w:rPr>
                              <w:sz w:val="20"/>
                            </w:rPr>
                            <w:t>3</w:t>
                          </w:r>
                        </w:sdtContent>
                      </w:sdt>
                      <w:r>
                        <w:rPr>
                          <w:sz w:val="20"/>
                        </w:rPr>
                        <w:t>. Veikla „1.3. Mokslininkų inicijuoti projektai“ visa apimtimi bus pradėta įgyvendinti gavus papildomą finansavimą (133 000 000, 00 Eur (vieną šimtą trisdešimt tris milijonų eurų, 00 ct) iš valstybės biudžeto tar kitų finansavimo šaltinių. Siekiamas rezultatas 2030 m.: įgyvendinti MTEP projektai – 665, paskelbtos publikacijos – 1 995.</w:t>
                      </w:r>
                    </w:p>
                  </w:sdtContent>
                </w:sdt>
                <w:sdt>
                  <w:sdtPr>
                    <w:alias w:val="4 p."/>
                    <w:tag w:val="part_47085b1a7c1e4cb7a9c16d791091860f"/>
                    <w:lock w:val="sdtLocked"/>
                    <w:richText/>
                  </w:sdtPr>
                  <w:sdtContent>
                    <w:p>
                      <w:pPr>
                        <w:ind w:firstLine="742"/>
                        <w:jc w:val="both"/>
                        <w:rPr>
                          <w:sz w:val="20"/>
                        </w:rPr>
                      </w:pPr>
                      <w:sdt>
                        <w:sdtPr>
                          <w:alias w:val="Numeris"/>
                          <w:tag w:val="nr_47085b1a7c1e4cb7a9c16d791091860f"/>
                          <w:lock w:val="sdtLocked"/>
                          <w:richText/>
                        </w:sdtPr>
                        <w:sdtContent>
                          <w:r>
                            <w:rPr>
                              <w:sz w:val="20"/>
                            </w:rPr>
                            <w:t>4</w:t>
                          </w:r>
                        </w:sdtContent>
                      </w:sdt>
                      <w:r>
                        <w:rPr>
                          <w:sz w:val="20"/>
                        </w:rPr>
                        <w:t xml:space="preserve">. Veikla „1.8. Technologinės plėtros projektai“ visa apimtimi bus pradėta įgyvendinti gavus papildomą finansavimą (5 400 000,00  Eur (penkis milijonus keturis šimtus tūkstančių eurų, 00 ct) iš valstybės biudžeto ar kitų finansavimo šaltinių. Siekiamas rezultatas 2030 m.: įgyvendinti MTEP projektai – 60, sukurti prototipai – 60, pritraukta privataus verslo lėšų – 480 000,00 Eur (keturis šimtus aštuoniasdešimt tūkstančių eurų, 00 ct), iš projektų tematikų apgintų mokslų daktaro disertacijų – 30.</w:t>
                      </w:r>
                    </w:p>
                  </w:sdtContent>
                </w:sdt>
                <w:sdt>
                  <w:sdtPr>
                    <w:alias w:val="5 p."/>
                    <w:tag w:val="part_d192d7c6e7cd4059af698de02fdddb9e"/>
                    <w:lock w:val="sdtLocked"/>
                    <w:richText/>
                  </w:sdtPr>
                  <w:sdtContent>
                    <w:p>
                      <w:pPr>
                        <w:ind w:firstLine="742"/>
                        <w:jc w:val="both"/>
                        <w:rPr>
                          <w:sz w:val="20"/>
                        </w:rPr>
                      </w:pPr>
                      <w:sdt>
                        <w:sdtPr>
                          <w:alias w:val="Numeris"/>
                          <w:tag w:val="nr_d192d7c6e7cd4059af698de02fdddb9e"/>
                          <w:lock w:val="sdtLocked"/>
                          <w:richText/>
                        </w:sdtPr>
                        <w:sdtContent>
                          <w:r>
                            <w:rPr>
                              <w:sz w:val="20"/>
                            </w:rPr>
                            <w:t>5</w:t>
                          </w:r>
                        </w:sdtContent>
                      </w:sdt>
                      <w:r>
                        <w:rPr>
                          <w:sz w:val="20"/>
                        </w:rPr>
                        <w:t xml:space="preserve">. Veikla „1.13 Atžalinių įmonių mentorystė“ visa apimtimi bus pradėta įgyvendinti gavus papildomą finansavimą (19 000 000,00  Eur (devyniolika milijonų eurų, 00 ct)  iš valstybės biudžeto ar kitų finansavimo šaltinių. Siekiamas rezultatas 2030 m.: įgyvendinti MTEP projektai – 100, MTEP veiklos produktas – 33.</w:t>
                      </w:r>
                    </w:p>
                  </w:sdtContent>
                </w:sdt>
                <w:sdt>
                  <w:sdtPr>
                    <w:alias w:val="6 p."/>
                    <w:tag w:val="part_d6065f9c3e6549368be9d6c9c3a6d91d"/>
                    <w:lock w:val="sdtLocked"/>
                    <w:richText/>
                  </w:sdtPr>
                  <w:sdtContent>
                    <w:p>
                      <w:pPr>
                        <w:ind w:firstLine="742"/>
                        <w:jc w:val="both"/>
                      </w:pPr>
                      <w:sdt>
                        <w:sdtPr>
                          <w:alias w:val="Numeris"/>
                          <w:tag w:val="nr_d6065f9c3e6549368be9d6c9c3a6d91d"/>
                          <w:lock w:val="sdtLocked"/>
                          <w:richText/>
                        </w:sdtPr>
                        <w:sdtContent>
                          <w:r>
                            <w:rPr>
                              <w:sz w:val="20"/>
                            </w:rPr>
                            <w:t>6</w:t>
                          </w:r>
                        </w:sdtContent>
                      </w:sdt>
                      <w:r>
                        <w:rPr>
                          <w:sz w:val="20"/>
                        </w:rPr>
                        <w:t xml:space="preserve">. Veikla „2.4. Tarptautiniai MTEP projektai“ visa apimtimi bus pradėta įgyvendinti gavus papildomą finansavimą (281 000 000, 00 Eur (du šimtai aštuoniasdešimt vieną milijoną eurų, 00 ct)  iš valstybės biudžeto ar kitų finansavimo šaltinių. Siekiamas rezultatas 2030 m.: įgyvendinti MTEP projektai – 1 234, paskelbtos publikacijos – 4 588, MTEP veiklos produktas – 87, pateiktos tarptautinių patentų paraiškos – 33, įkurtos atžalinės įmonės – 16.</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sdtContent>
        </w:sdt>
        <w:sdt>
          <w:sdtPr>
            <w:alias w:val="pabaiga"/>
            <w:tag w:val="part_6baa4f206cfe47a78faa3f2677d2f7cb"/>
            <w:lock w:val="sdtLocked"/>
            <w:richText/>
          </w:sdtPr>
          <w:sdtContent>
            <w:p>
              <w:pPr>
                <w:jc w:val="center"/>
                <w:rPr>
                  <w:szCs w:val="24"/>
                </w:rPr>
              </w:pPr>
              <w:r>
                <w:rPr>
                  <w:bCs/>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1+priedas++PFSA+(NCP+ir+mokslo+pat.)+22+12+29 (pagal V-778)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2394f0a78a11ed8df094f359a60216">
            <w:r w:rsidRPr="00532B9F">
              <w:rPr>
                <w:rFonts w:ascii="Times New Roman" w:eastAsia="MS Mincho" w:hAnsi="Times New Roman"/>
                <w:sz w:val="20"/>
                <w:i/>
                <w:iCs/>
                <w:color w:val="0000FF" w:themeColor="hyperlink"/>
                <w:u w:val="single"/>
              </w:rPr>
              <w:t>V-148</w:t>
            </w:r>
          </w:fldSimple>
          <w:r>
            <w:rPr>
              <w:rFonts w:ascii="Times New Roman" w:eastAsia="MS Mincho" w:hAnsi="Times New Roman"/>
              <w:sz w:val="20"/>
              <w:i/>
              <w:iCs/>
            </w:rPr>
            <w:t>,
2023-02-08,
paskelbta TAR 2023-02-08, i. k. 2023-02363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2d360443411efbdaea558de59136c">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2024-07-17,
paskelbta TAR 2024-07-17, i. k. 2024-13166        </w:t>
          </w:r>
        </w:p>
        <w:p/>
        <w:p>
          <w:pPr>
            <w:pStyle w:val="PlainText"/>
            <w:rPr>
              <w:rFonts w:ascii="Times New Roman" w:eastAsia="MS Mincho" w:hAnsi="Times New Roman"/>
              <w:sz w:val="20"/>
              <w:iCs/>
            </w:rPr>
          </w:pPr>
          <w:r>
            <w:rPr>
              <w:rFonts w:ascii="Times New Roman" w:eastAsia="MS Mincho" w:hAnsi="Times New Roman"/>
              <w:sz w:val="20"/>
              <w:iCs/>
            </w:rPr>
            <w:t>2+priedas++PFSA+(ERA)+22+12+29 (pagal V-147)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7a30b01fb811eeb233e8b04dc9bb3d">
            <w:r w:rsidRPr="00532B9F">
              <w:rPr>
                <w:rFonts w:ascii="Times New Roman" w:eastAsia="MS Mincho" w:hAnsi="Times New Roman"/>
                <w:sz w:val="20"/>
                <w:i/>
                <w:iCs/>
                <w:color w:val="0000FF" w:themeColor="hyperlink"/>
                <w:u w:val="single"/>
              </w:rPr>
              <w:t>V-958</w:t>
            </w:r>
          </w:fldSimple>
          <w:r>
            <w:rPr>
              <w:rFonts w:ascii="Times New Roman" w:eastAsia="MS Mincho" w:hAnsi="Times New Roman"/>
              <w:sz w:val="20"/>
              <w:i/>
              <w:iCs/>
            </w:rPr>
            <w:t>,
2023-07-11,
paskelbta TAR 2023-07-11, i. k. 2023-14340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da950c64711eea5a28c81c82193a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2024-02-08,
paskelbta TAR 2024-02-08, i. k. 2024-02331        </w:t>
          </w:r>
        </w:p>
        <w:p/>
        <w:p>
          <w:pPr>
            <w:pStyle w:val="PlainText"/>
            <w:rPr>
              <w:rFonts w:ascii="Times New Roman" w:eastAsia="MS Mincho" w:hAnsi="Times New Roman"/>
              <w:sz w:val="20"/>
              <w:iCs/>
            </w:rPr>
          </w:pPr>
          <w:r>
            <w:rPr>
              <w:rFonts w:ascii="Times New Roman" w:eastAsia="MS Mincho" w:hAnsi="Times New Roman"/>
              <w:sz w:val="20"/>
              <w:iCs/>
            </w:rPr>
            <w:t>3 priedas PFSA+Nr3+kofinansavimas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
          <w:pPr>
            <w:pStyle w:val="PlainText"/>
            <w:rPr>
              <w:rFonts w:ascii="Times New Roman" w:eastAsia="MS Mincho" w:hAnsi="Times New Roman"/>
              <w:sz w:val="20"/>
              <w:iCs/>
            </w:rPr>
          </w:pPr>
          <w:r>
            <w:rPr>
              <w:rFonts w:ascii="Times New Roman" w:eastAsia="MS Mincho" w:hAnsi="Times New Roman"/>
              <w:sz w:val="20"/>
              <w:iCs/>
            </w:rPr>
            <w:t>4 priedas PFSA (pagal V-588)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54dd63c7f11f0b070ee7f1ceefc75">
            <w:r w:rsidRPr="00532B9F">
              <w:rPr>
                <w:rFonts w:ascii="Times New Roman" w:eastAsia="MS Mincho" w:hAnsi="Times New Roman"/>
                <w:sz w:val="20"/>
                <w:i/>
                <w:iCs/>
                <w:color w:val="0000FF" w:themeColor="hyperlink"/>
                <w:u w:val="single"/>
              </w:rPr>
              <w:t>V-588</w:t>
            </w:r>
          </w:fldSimple>
          <w:r>
            <w:rPr>
              <w:rFonts w:ascii="Times New Roman" w:eastAsia="MS Mincho" w:hAnsi="Times New Roman"/>
              <w:sz w:val="20"/>
              <w:i/>
              <w:iCs/>
            </w:rPr>
            <w:t>,
2025-05-29,
paskelbta TAR 2025-05-29, i. k. 2025-09506        </w:t>
          </w:r>
        </w:p>
        <w:p/>
        <w:p>
          <w:pPr>
            <w:pStyle w:val="PlainText"/>
            <w:rPr>
              <w:rFonts w:ascii="Times New Roman" w:eastAsia="MS Mincho" w:hAnsi="Times New Roman"/>
              <w:sz w:val="20"/>
              <w:iCs/>
            </w:rPr>
          </w:pPr>
          <w:r>
            <w:rPr>
              <w:rFonts w:ascii="Times New Roman" w:eastAsia="MS Mincho" w:hAnsi="Times New Roman"/>
              <w:sz w:val="20"/>
              <w:iCs/>
            </w:rPr>
            <w:t>5 priedas PFSA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0fc670381511ee9de9e7e0fd363afc">
            <w:r w:rsidRPr="00532B9F">
              <w:rPr>
                <w:rFonts w:ascii="Times New Roman" w:eastAsia="MS Mincho" w:hAnsi="Times New Roman"/>
                <w:sz w:val="20"/>
                <w:i/>
                <w:iCs/>
                <w:color w:val="0000FF" w:themeColor="hyperlink"/>
                <w:u w:val="single"/>
              </w:rPr>
              <w:t>V-1057</w:t>
            </w:r>
          </w:fldSimple>
          <w:r>
            <w:rPr>
              <w:rFonts w:ascii="Times New Roman" w:eastAsia="MS Mincho" w:hAnsi="Times New Roman"/>
              <w:sz w:val="20"/>
              <w:i/>
              <w:iCs/>
            </w:rPr>
            <w:t>,
2023-08-11,
paskelbta TAR 2023-08-11, i. k. 2023-16147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
          <w:pPr>
            <w:pStyle w:val="PlainText"/>
            <w:rPr>
              <w:rFonts w:ascii="Times New Roman" w:eastAsia="MS Mincho" w:hAnsi="Times New Roman"/>
              <w:sz w:val="20"/>
              <w:iCs/>
            </w:rPr>
          </w:pPr>
          <w:r>
            <w:rPr>
              <w:rFonts w:ascii="Times New Roman" w:eastAsia="MS Mincho" w:hAnsi="Times New Roman"/>
              <w:sz w:val="20"/>
              <w:iCs/>
            </w:rPr>
            <w:t>6 priedas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
          <w:pPr>
            <w:pStyle w:val="PlainText"/>
            <w:rPr>
              <w:rFonts w:ascii="Times New Roman" w:eastAsia="MS Mincho" w:hAnsi="Times New Roman"/>
              <w:sz w:val="20"/>
              <w:iCs/>
            </w:rPr>
          </w:pPr>
          <w:r>
            <w:rPr>
              <w:rFonts w:ascii="Times New Roman" w:eastAsia="MS Mincho" w:hAnsi="Times New Roman"/>
              <w:sz w:val="20"/>
              <w:iCs/>
            </w:rPr>
            <w:t>7 priedas PFSA_EuroHPC (pagal V-390)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9308414fc11f08fdabd4950271e2c">
            <w:r w:rsidRPr="00532B9F">
              <w:rPr>
                <w:rFonts w:ascii="Times New Roman" w:eastAsia="MS Mincho" w:hAnsi="Times New Roman"/>
                <w:sz w:val="20"/>
                <w:i/>
                <w:iCs/>
                <w:color w:val="0000FF" w:themeColor="hyperlink"/>
                <w:u w:val="single"/>
              </w:rPr>
              <w:t>V-390</w:t>
            </w:r>
          </w:fldSimple>
          <w:r>
            <w:rPr>
              <w:rFonts w:ascii="Times New Roman" w:eastAsia="MS Mincho" w:hAnsi="Times New Roman"/>
              <w:sz w:val="20"/>
              <w:i/>
              <w:iCs/>
            </w:rPr>
            <w:t>,
2025-04-09,
paskelbta TAR 2025-04-09, i. k. 2025-06209        </w:t>
          </w:r>
        </w:p>
        <w:p/>
        <w:p>
          <w:pPr>
            <w:pStyle w:val="PlainText"/>
            <w:rPr>
              <w:rFonts w:ascii="Times New Roman" w:eastAsia="MS Mincho" w:hAnsi="Times New Roman"/>
              <w:sz w:val="20"/>
              <w:iCs/>
            </w:rPr>
          </w:pPr>
          <w:r>
            <w:rPr>
              <w:rFonts w:ascii="Times New Roman" w:eastAsia="MS Mincho" w:hAnsi="Times New Roman"/>
              <w:sz w:val="20"/>
              <w:iCs/>
            </w:rPr>
            <w:t>8 priedas PFSA (pagal V-360)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ff31b40c0b11f08e9f87c0d053bf09">
            <w:r w:rsidRPr="00532B9F">
              <w:rPr>
                <w:rFonts w:ascii="Times New Roman" w:eastAsia="MS Mincho" w:hAnsi="Times New Roman"/>
                <w:sz w:val="20"/>
                <w:i/>
                <w:iCs/>
                <w:color w:val="0000FF" w:themeColor="hyperlink"/>
                <w:u w:val="single"/>
              </w:rPr>
              <w:t>V-360</w:t>
            </w:r>
          </w:fldSimple>
          <w:r>
            <w:rPr>
              <w:rFonts w:ascii="Times New Roman" w:eastAsia="MS Mincho" w:hAnsi="Times New Roman"/>
              <w:sz w:val="20"/>
              <w:i/>
              <w:iCs/>
            </w:rPr>
            <w:t>,
2025-03-28,
paskelbta TAR 2025-03-31, i. k. 2025-05451        </w:t>
          </w:r>
        </w:p>
        <w:p/>
        <w:p>
          <w:pPr>
            <w:pStyle w:val="PlainText"/>
            <w:rPr>
              <w:rFonts w:ascii="Times New Roman" w:eastAsia="MS Mincho" w:hAnsi="Times New Roman"/>
              <w:sz w:val="20"/>
              <w:iCs/>
            </w:rPr>
          </w:pPr>
          <w:r>
            <w:rPr>
              <w:rFonts w:ascii="Times New Roman" w:eastAsia="MS Mincho" w:hAnsi="Times New Roman"/>
              <w:sz w:val="20"/>
              <w:iCs/>
            </w:rPr>
            <w:t>9 priedas (pagal V-325)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1d9ee006b011efbcbfb318996800a8">
            <w:r w:rsidRPr="00532B9F">
              <w:rPr>
                <w:rFonts w:ascii="Times New Roman" w:eastAsia="MS Mincho" w:hAnsi="Times New Roman"/>
                <w:sz w:val="20"/>
                <w:i/>
                <w:iCs/>
                <w:color w:val="0000FF" w:themeColor="hyperlink"/>
                <w:u w:val="single"/>
              </w:rPr>
              <w:t>V-477</w:t>
            </w:r>
          </w:fldSimple>
          <w:r>
            <w:rPr>
              <w:rFonts w:ascii="Times New Roman" w:eastAsia="MS Mincho" w:hAnsi="Times New Roman"/>
              <w:sz w:val="20"/>
              <w:i/>
              <w:iCs/>
            </w:rPr>
            <w:t>,
2024-04-30,
paskelbta TAR 2024-04-30, i. k. 2024-08000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d11a04b0e11efbdaea558de59136c">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2024-07-26,
paskelbta TAR 2024-07-26, i. k. 2024-13706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
          <w:pPr>
            <w:pStyle w:val="PlainText"/>
            <w:rPr>
              <w:rFonts w:ascii="Times New Roman" w:eastAsia="MS Mincho" w:hAnsi="Times New Roman"/>
              <w:sz w:val="20"/>
              <w:iCs/>
            </w:rPr>
          </w:pPr>
          <w:r>
            <w:rPr>
              <w:rFonts w:ascii="Times New Roman" w:eastAsia="MS Mincho" w:hAnsi="Times New Roman"/>
              <w:sz w:val="20"/>
              <w:iCs/>
            </w:rPr>
            <w:t>10 priedas (pagal  V-512)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afce6df9811ef84c3a3cb4f439b27">
            <w:r w:rsidRPr="00532B9F">
              <w:rPr>
                <w:rFonts w:ascii="Times New Roman" w:eastAsia="MS Mincho" w:hAnsi="Times New Roman"/>
                <w:sz w:val="20"/>
                <w:i/>
                <w:iCs/>
                <w:color w:val="0000FF" w:themeColor="hyperlink"/>
                <w:u w:val="single"/>
              </w:rPr>
              <w:t>V-120</w:t>
            </w:r>
          </w:fldSimple>
          <w:r>
            <w:rPr>
              <w:rFonts w:ascii="Times New Roman" w:eastAsia="MS Mincho" w:hAnsi="Times New Roman"/>
              <w:sz w:val="20"/>
              <w:i/>
              <w:iCs/>
            </w:rPr>
            <w:t>,
2025-01-31,
paskelbta TAR 2025-01-31, i. k. 2025-01394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b602312eea11f08fdabd4950271e2c">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2025-05-12,
paskelbta TAR 2025-05-12, i. k. 2025-08383        </w:t>
          </w:r>
        </w:p>
        <w:p/>
        <w:p>
          <w:pPr>
            <w:pStyle w:val="PlainText"/>
            <w:rPr>
              <w:rFonts w:ascii="Times New Roman" w:eastAsia="MS Mincho" w:hAnsi="Times New Roman"/>
              <w:sz w:val="20"/>
              <w:iCs/>
            </w:rPr>
          </w:pPr>
          <w:r>
            <w:rPr>
              <w:rFonts w:ascii="Times New Roman" w:eastAsia="MS Mincho" w:hAnsi="Times New Roman"/>
              <w:sz w:val="20"/>
              <w:iCs/>
            </w:rPr>
            <w:t>11 priedas (pagal V-1378)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5a6a0b22d11ef88c08519262548c4">
            <w:r w:rsidRPr="00532B9F">
              <w:rPr>
                <w:rFonts w:ascii="Times New Roman" w:eastAsia="MS Mincho" w:hAnsi="Times New Roman"/>
                <w:sz w:val="20"/>
                <w:i/>
                <w:iCs/>
                <w:color w:val="0000FF" w:themeColor="hyperlink"/>
                <w:u w:val="single"/>
              </w:rPr>
              <w:t>V-1378</w:t>
            </w:r>
          </w:fldSimple>
          <w:r>
            <w:rPr>
              <w:rFonts w:ascii="Times New Roman" w:eastAsia="MS Mincho" w:hAnsi="Times New Roman"/>
              <w:sz w:val="20"/>
              <w:i/>
              <w:iCs/>
            </w:rPr>
            <w:t>,
2024-12-04,
paskelbta TAR 2024-12-04, i. k. 2024-21452        </w:t>
          </w:r>
        </w:p>
        <w:p/>
        <w:p>
          <w:pPr>
            <w:pStyle w:val="PlainText"/>
            <w:rPr>
              <w:rFonts w:ascii="Times New Roman" w:eastAsia="MS Mincho" w:hAnsi="Times New Roman"/>
              <w:sz w:val="20"/>
              <w:iCs/>
            </w:rPr>
          </w:pPr>
          <w:r>
            <w:rPr>
              <w:rFonts w:ascii="Times New Roman" w:eastAsia="MS Mincho" w:hAnsi="Times New Roman"/>
              <w:sz w:val="20"/>
              <w:iCs/>
            </w:rPr>
            <w:t>12 priedas (pagal V-299)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13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84b16d49d11efa5ddd96c482819f5">
            <w:r w:rsidRPr="00532B9F">
              <w:rPr>
                <w:rFonts w:ascii="Times New Roman" w:eastAsia="MS Mincho" w:hAnsi="Times New Roman"/>
                <w:sz w:val="20"/>
                <w:i/>
                <w:iCs/>
                <w:color w:val="0000FF" w:themeColor="hyperlink"/>
                <w:u w:val="single"/>
              </w:rPr>
              <w:t>V-51</w:t>
            </w:r>
          </w:fldSimple>
          <w:r>
            <w:rPr>
              <w:rFonts w:ascii="Times New Roman" w:eastAsia="MS Mincho" w:hAnsi="Times New Roman"/>
              <w:sz w:val="20"/>
              <w:i/>
              <w:iCs/>
            </w:rPr>
            <w:t>,
2025-01-17,
paskelbta TAR 2025-01-17, i. k. 2025-00533        </w:t>
          </w:r>
        </w:p>
        <w:p/>
        <w:p>
          <w:pPr>
            <w:pStyle w:val="PlainText"/>
            <w:rPr>
              <w:rFonts w:ascii="Times New Roman" w:eastAsia="MS Mincho" w:hAnsi="Times New Roman"/>
              <w:sz w:val="20"/>
              <w:iCs/>
            </w:rPr>
          </w:pPr>
          <w:r>
            <w:rPr>
              <w:rFonts w:ascii="Times New Roman" w:eastAsia="MS Mincho" w:hAnsi="Times New Roman"/>
              <w:sz w:val="20"/>
              <w:iCs/>
            </w:rPr>
            <w:t>14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7788643a3211f0b070ee7f1ceefc75">
            <w:r w:rsidRPr="00532B9F">
              <w:rPr>
                <w:rFonts w:ascii="Times New Roman" w:eastAsia="MS Mincho" w:hAnsi="Times New Roman"/>
                <w:sz w:val="20"/>
                <w:i/>
                <w:iCs/>
                <w:color w:val="0000FF" w:themeColor="hyperlink"/>
                <w:u w:val="single"/>
              </w:rPr>
              <w:t>V-579</w:t>
            </w:r>
          </w:fldSimple>
          <w:r>
            <w:rPr>
              <w:rFonts w:ascii="Times New Roman" w:eastAsia="MS Mincho" w:hAnsi="Times New Roman"/>
              <w:sz w:val="20"/>
              <w:i/>
              <w:iCs/>
            </w:rPr>
            <w:t>,
2025-05-26,
paskelbta TAR 2025-05-26, i. k. 2025-09295        </w:t>
          </w:r>
        </w:p>
        <w:p/>
        <w:p>
          <w:pPr>
            <w:pStyle w:val="PlainText"/>
            <w:rPr>
              <w:rFonts w:ascii="Times New Roman" w:eastAsia="MS Mincho" w:hAnsi="Times New Roman"/>
              <w:sz w:val="20"/>
              <w:iCs/>
            </w:rPr>
          </w:pPr>
          <w:r>
            <w:rPr>
              <w:rFonts w:ascii="Times New Roman" w:eastAsia="MS Mincho" w:hAnsi="Times New Roman"/>
              <w:sz w:val="20"/>
              <w:iCs/>
            </w:rPr>
            <w:t>15 priedas (pagal V-914)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
          <w:pPr>
            <w:pStyle w:val="PlainText"/>
            <w:rPr>
              <w:rFonts w:ascii="Times New Roman" w:eastAsia="MS Mincho" w:hAnsi="Times New Roman"/>
              <w:sz w:val="20"/>
              <w:iCs/>
            </w:rPr>
          </w:pPr>
          <w:r>
            <w:rPr>
              <w:rFonts w:ascii="Times New Roman" w:eastAsia="MS Mincho" w:hAnsi="Times New Roman"/>
              <w:sz w:val="20"/>
              <w:iCs/>
            </w:rPr>
            <w:t>16 priedas (pagal V-325)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aca668d2911ef92b19bb92dd76d17">
            <w:r w:rsidRPr="00532B9F">
              <w:rPr>
                <w:rFonts w:ascii="Times New Roman" w:eastAsia="MS Mincho" w:hAnsi="Times New Roman"/>
                <w:sz w:val="20"/>
                <w:i/>
                <w:iCs/>
                <w:color w:val="0000FF" w:themeColor="hyperlink"/>
                <w:u w:val="single"/>
              </w:rPr>
              <w:t>V-1173</w:t>
            </w:r>
          </w:fldSimple>
          <w:r>
            <w:rPr>
              <w:rFonts w:ascii="Times New Roman" w:eastAsia="MS Mincho" w:hAnsi="Times New Roman"/>
              <w:sz w:val="20"/>
              <w:i/>
              <w:iCs/>
            </w:rPr>
            <w:t>,
2024-10-18,
paskelbta TAR 2024-10-18, i. k. 2024-18172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6b1644b3db11ef88c08519262548c4">
            <w:r w:rsidRPr="00532B9F">
              <w:rPr>
                <w:rFonts w:ascii="Times New Roman" w:eastAsia="MS Mincho" w:hAnsi="Times New Roman"/>
                <w:sz w:val="20"/>
                <w:i/>
                <w:iCs/>
                <w:color w:val="0000FF" w:themeColor="hyperlink"/>
                <w:u w:val="single"/>
              </w:rPr>
              <w:t>V-1389</w:t>
            </w:r>
          </w:fldSimple>
          <w:r>
            <w:rPr>
              <w:rFonts w:ascii="Times New Roman" w:eastAsia="MS Mincho" w:hAnsi="Times New Roman"/>
              <w:sz w:val="20"/>
              <w:i/>
              <w:iCs/>
            </w:rPr>
            <w:t>,
2024-12-06,
paskelbta TAR 2024-12-06, i. k. 2024-21694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
          <w:pPr>
            <w:pStyle w:val="PlainText"/>
            <w:rPr>
              <w:rFonts w:ascii="Times New Roman" w:eastAsia="MS Mincho" w:hAnsi="Times New Roman"/>
              <w:sz w:val="20"/>
              <w:iCs/>
            </w:rPr>
          </w:pPr>
          <w:r>
            <w:rPr>
              <w:rFonts w:ascii="Times New Roman" w:eastAsia="MS Mincho" w:hAnsi="Times New Roman"/>
              <w:sz w:val="20"/>
              <w:iCs/>
            </w:rPr>
            <w:t>17 priedas (pagal V-325)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39108b2c11ed8df094f359a60216">
            <w:r w:rsidRPr="00532B9F">
              <w:rPr>
                <w:rFonts w:ascii="Times New Roman" w:eastAsia="MS Mincho" w:hAnsi="Times New Roman"/>
                <w:sz w:val="20"/>
                <w:iCs/>
                <w:color w:val="0000FF" w:themeColor="hyperlink"/>
                <w:u w:val="single"/>
              </w:rPr>
              <w:t>V-4</w:t>
            </w:r>
          </w:fldSimple>
          <w:r>
            <w:rPr>
              <w:rFonts w:ascii="Times New Roman" w:eastAsia="MS Mincho" w:hAnsi="Times New Roman"/>
              <w:sz w:val="20"/>
              <w:iCs/>
            </w:rPr>
            <w:t>,
2023-01-03,
paskelbta TAR 2023-01-03, i. k. 2023-00079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2394f0a78a11ed8df094f359a60216">
            <w:r w:rsidRPr="00532B9F">
              <w:rPr>
                <w:rFonts w:ascii="Times New Roman" w:eastAsia="MS Mincho" w:hAnsi="Times New Roman"/>
                <w:sz w:val="20"/>
                <w:iCs/>
                <w:color w:val="0000FF" w:themeColor="hyperlink"/>
                <w:u w:val="single"/>
              </w:rPr>
              <w:t>V-148</w:t>
            </w:r>
          </w:fldSimple>
          <w:r>
            <w:rPr>
              <w:rFonts w:ascii="Times New Roman" w:eastAsia="MS Mincho" w:hAnsi="Times New Roman"/>
              <w:sz w:val="20"/>
              <w:iCs/>
            </w:rPr>
            <w:t>,
2023-02-08,
paskelbta TAR 2023-02-08, i. k. 2023-02363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a519a0b28e11ed8df094f359a60216">
            <w:r w:rsidRPr="00532B9F">
              <w:rPr>
                <w:rFonts w:ascii="Times New Roman" w:eastAsia="MS Mincho" w:hAnsi="Times New Roman"/>
                <w:sz w:val="20"/>
                <w:iCs/>
                <w:color w:val="0000FF" w:themeColor="hyperlink"/>
                <w:u w:val="single"/>
              </w:rPr>
              <w:t>V-205</w:t>
            </w:r>
          </w:fldSimple>
          <w:r>
            <w:rPr>
              <w:rFonts w:ascii="Times New Roman" w:eastAsia="MS Mincho" w:hAnsi="Times New Roman"/>
              <w:sz w:val="20"/>
              <w:iCs/>
            </w:rPr>
            <w:t>,
2023-02-22,
paskelbta TAR 2023-02-22, i. k. 2023-03104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631db0c3d911ed97b2975f7dad7488">
            <w:r w:rsidRPr="00532B9F">
              <w:rPr>
                <w:rFonts w:ascii="Times New Roman" w:eastAsia="MS Mincho" w:hAnsi="Times New Roman"/>
                <w:sz w:val="20"/>
                <w:iCs/>
                <w:color w:val="0000FF" w:themeColor="hyperlink"/>
                <w:u w:val="single"/>
              </w:rPr>
              <w:t>V-347</w:t>
            </w:r>
          </w:fldSimple>
          <w:r>
            <w:rPr>
              <w:rFonts w:ascii="Times New Roman" w:eastAsia="MS Mincho" w:hAnsi="Times New Roman"/>
              <w:sz w:val="20"/>
              <w:iCs/>
            </w:rPr>
            <w:t>,
2023-03-16,
paskelbta TAR 2023-03-16, i. k. 2023-04671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bd0e10d9bf11ed9978886e85107ab2">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2023-04-13,
paskelbta TAR 2023-04-13, i. k. 2023-07142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41d0c005f011ee9978886e85107ab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2023-06-08,
paskelbta TAR 2023-06-08, i. k. 2023-11449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c31d40170011ee9f7ec2ffce8b47bc">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2023-06-29,
paskelbta TAR 2023-06-30, i. k. 2023-13271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7a30b01fb811eeb233e8b04dc9bb3d">
            <w:r w:rsidRPr="00532B9F">
              <w:rPr>
                <w:rFonts w:ascii="Times New Roman" w:eastAsia="MS Mincho" w:hAnsi="Times New Roman"/>
                <w:sz w:val="20"/>
                <w:iCs/>
                <w:color w:val="0000FF" w:themeColor="hyperlink"/>
                <w:u w:val="single"/>
              </w:rPr>
              <w:t>V-958</w:t>
            </w:r>
          </w:fldSimple>
          <w:r>
            <w:rPr>
              <w:rFonts w:ascii="Times New Roman" w:eastAsia="MS Mincho" w:hAnsi="Times New Roman"/>
              <w:sz w:val="20"/>
              <w:iCs/>
            </w:rPr>
            <w:t>,
2023-07-11,
paskelbta TAR 2023-07-11, i. k. 2023-14340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d5bbc035aa11ee9de9e7e0fd363afc">
            <w:r w:rsidRPr="00532B9F">
              <w:rPr>
                <w:rFonts w:ascii="Times New Roman" w:eastAsia="MS Mincho" w:hAnsi="Times New Roman"/>
                <w:sz w:val="20"/>
                <w:iCs/>
                <w:color w:val="0000FF" w:themeColor="hyperlink"/>
                <w:u w:val="single"/>
              </w:rPr>
              <w:t>V-1049</w:t>
            </w:r>
          </w:fldSimple>
          <w:r>
            <w:rPr>
              <w:rFonts w:ascii="Times New Roman" w:eastAsia="MS Mincho" w:hAnsi="Times New Roman"/>
              <w:sz w:val="20"/>
              <w:iCs/>
            </w:rPr>
            <w:t>,
2023-08-08,
paskelbta TAR 2023-08-08, i. k. 2023-15963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0fc670381511ee9de9e7e0fd363afc">
            <w:r w:rsidRPr="00532B9F">
              <w:rPr>
                <w:rFonts w:ascii="Times New Roman" w:eastAsia="MS Mincho" w:hAnsi="Times New Roman"/>
                <w:sz w:val="20"/>
                <w:iCs/>
                <w:color w:val="0000FF" w:themeColor="hyperlink"/>
                <w:u w:val="single"/>
              </w:rPr>
              <w:t>V-1057</w:t>
            </w:r>
          </w:fldSimple>
          <w:r>
            <w:rPr>
              <w:rFonts w:ascii="Times New Roman" w:eastAsia="MS Mincho" w:hAnsi="Times New Roman"/>
              <w:sz w:val="20"/>
              <w:iCs/>
            </w:rPr>
            <w:t>,
2023-08-11,
paskelbta TAR 2023-08-11, i. k. 2023-16147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2f3a0047ec11ee9de9e7e0fd363afc">
            <w:r w:rsidRPr="00532B9F">
              <w:rPr>
                <w:rFonts w:ascii="Times New Roman" w:eastAsia="MS Mincho" w:hAnsi="Times New Roman"/>
                <w:sz w:val="20"/>
                <w:iCs/>
                <w:color w:val="0000FF" w:themeColor="hyperlink"/>
                <w:u w:val="single"/>
              </w:rPr>
              <w:t>V-1122</w:t>
            </w:r>
          </w:fldSimple>
          <w:r>
            <w:rPr>
              <w:rFonts w:ascii="Times New Roman" w:eastAsia="MS Mincho" w:hAnsi="Times New Roman"/>
              <w:sz w:val="20"/>
              <w:iCs/>
            </w:rPr>
            <w:t>,
2023-08-31,
paskelbta TAR 2023-08-31, i. k. 2023-17185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e892704baa11ee9de9e7e0fd363afc">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2023-09-05,
paskelbta TAR 2023-09-05, i. k. 2023-17504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7856109b4811eea5a28c81c82193a8">
            <w:r w:rsidRPr="00532B9F">
              <w:rPr>
                <w:rFonts w:ascii="Times New Roman" w:eastAsia="MS Mincho" w:hAnsi="Times New Roman"/>
                <w:sz w:val="20"/>
                <w:iCs/>
                <w:color w:val="0000FF" w:themeColor="hyperlink"/>
                <w:u w:val="single"/>
              </w:rPr>
              <w:t>V-1571</w:t>
            </w:r>
          </w:fldSimple>
          <w:r>
            <w:rPr>
              <w:rFonts w:ascii="Times New Roman" w:eastAsia="MS Mincho" w:hAnsi="Times New Roman"/>
              <w:sz w:val="20"/>
              <w:iCs/>
            </w:rPr>
            <w:t>,
2023-12-15,
paskelbta TAR 2023-12-15, i. k. 2023-24331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a2abf09f4411eea5a28c81c82193a8">
            <w:r w:rsidRPr="00532B9F">
              <w:rPr>
                <w:rFonts w:ascii="Times New Roman" w:eastAsia="MS Mincho" w:hAnsi="Times New Roman"/>
                <w:sz w:val="20"/>
                <w:iCs/>
                <w:color w:val="0000FF" w:themeColor="hyperlink"/>
                <w:u w:val="single"/>
              </w:rPr>
              <w:t>V-1586</w:t>
            </w:r>
          </w:fldSimple>
          <w:r>
            <w:rPr>
              <w:rFonts w:ascii="Times New Roman" w:eastAsia="MS Mincho" w:hAnsi="Times New Roman"/>
              <w:sz w:val="20"/>
              <w:iCs/>
            </w:rPr>
            <w:t>,
2023-12-20,
paskelbta TAR 2023-12-20, i. k. 2023-24718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3da950c64711eea5a28c81c82193a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2024-02-08,
paskelbta TAR 2024-02-08, i. k. 2024-02331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747970e29011eead77e967e3995264">
            <w:r w:rsidRPr="00532B9F">
              <w:rPr>
                <w:rFonts w:ascii="Times New Roman" w:eastAsia="MS Mincho" w:hAnsi="Times New Roman"/>
                <w:sz w:val="20"/>
                <w:iCs/>
                <w:color w:val="0000FF" w:themeColor="hyperlink"/>
                <w:u w:val="single"/>
              </w:rPr>
              <w:t>V-299</w:t>
            </w:r>
          </w:fldSimple>
          <w:r>
            <w:rPr>
              <w:rFonts w:ascii="Times New Roman" w:eastAsia="MS Mincho" w:hAnsi="Times New Roman"/>
              <w:sz w:val="20"/>
              <w:iCs/>
            </w:rPr>
            <w:t>,
2024-03-15,
paskelbta TAR 2024-03-15, i. k. 2024-04729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1d9ee006b011efbcbfb318996800a8">
            <w:r w:rsidRPr="00532B9F">
              <w:rPr>
                <w:rFonts w:ascii="Times New Roman" w:eastAsia="MS Mincho" w:hAnsi="Times New Roman"/>
                <w:sz w:val="20"/>
                <w:iCs/>
                <w:color w:val="0000FF" w:themeColor="hyperlink"/>
                <w:u w:val="single"/>
              </w:rPr>
              <w:t>V-477</w:t>
            </w:r>
          </w:fldSimple>
          <w:r>
            <w:rPr>
              <w:rFonts w:ascii="Times New Roman" w:eastAsia="MS Mincho" w:hAnsi="Times New Roman"/>
              <w:sz w:val="20"/>
              <w:iCs/>
            </w:rPr>
            <w:t>,
2024-04-30,
paskelbta TAR 2024-04-30, i. k. 2024-08000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d866a042cb11efbdaea558de59136c">
            <w:r w:rsidRPr="00532B9F">
              <w:rPr>
                <w:rFonts w:ascii="Times New Roman" w:eastAsia="MS Mincho" w:hAnsi="Times New Roman"/>
                <w:sz w:val="20"/>
                <w:iCs/>
                <w:color w:val="0000FF" w:themeColor="hyperlink"/>
                <w:u w:val="single"/>
              </w:rPr>
              <w:t>V-775</w:t>
            </w:r>
          </w:fldSimple>
          <w:r>
            <w:rPr>
              <w:rFonts w:ascii="Times New Roman" w:eastAsia="MS Mincho" w:hAnsi="Times New Roman"/>
              <w:sz w:val="20"/>
              <w:iCs/>
            </w:rPr>
            <w:t>,
2024-07-15,
paskelbta TAR 2024-07-16, i. k. 2024-13084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12d360443411efbdaea558de59136c">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2024-07-17,
paskelbta TAR 2024-07-17, i. k. 2024-13166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d11a04b0e11efbdaea558de59136c">
            <w:r w:rsidRPr="00532B9F">
              <w:rPr>
                <w:rFonts w:ascii="Times New Roman" w:eastAsia="MS Mincho" w:hAnsi="Times New Roman"/>
                <w:sz w:val="20"/>
                <w:iCs/>
                <w:color w:val="0000FF" w:themeColor="hyperlink"/>
                <w:u w:val="single"/>
              </w:rPr>
              <w:t>V-832</w:t>
            </w:r>
          </w:fldSimple>
          <w:r>
            <w:rPr>
              <w:rFonts w:ascii="Times New Roman" w:eastAsia="MS Mincho" w:hAnsi="Times New Roman"/>
              <w:sz w:val="20"/>
              <w:iCs/>
            </w:rPr>
            <w:t>,
2024-07-26,
paskelbta TAR 2024-07-26, i. k. 2024-13706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ed02a0564d11efbdaea558de59136c">
            <w:r w:rsidRPr="00532B9F">
              <w:rPr>
                <w:rFonts w:ascii="Times New Roman" w:eastAsia="MS Mincho" w:hAnsi="Times New Roman"/>
                <w:sz w:val="20"/>
                <w:iCs/>
                <w:color w:val="0000FF" w:themeColor="hyperlink"/>
                <w:u w:val="single"/>
              </w:rPr>
              <w:t>V-850</w:t>
            </w:r>
          </w:fldSimple>
          <w:r>
            <w:rPr>
              <w:rFonts w:ascii="Times New Roman" w:eastAsia="MS Mincho" w:hAnsi="Times New Roman"/>
              <w:sz w:val="20"/>
              <w:iCs/>
            </w:rPr>
            <w:t>,
2024-08-09,
paskelbta TAR 2024-08-09, i. k. 2024-14397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ea0400648311efafbb8694c098bac5">
            <w:r w:rsidRPr="00532B9F">
              <w:rPr>
                <w:rFonts w:ascii="Times New Roman" w:eastAsia="MS Mincho" w:hAnsi="Times New Roman"/>
                <w:sz w:val="20"/>
                <w:iCs/>
                <w:color w:val="0000FF" w:themeColor="hyperlink"/>
                <w:u w:val="single"/>
              </w:rPr>
              <w:t>V-914</w:t>
            </w:r>
          </w:fldSimple>
          <w:r>
            <w:rPr>
              <w:rFonts w:ascii="Times New Roman" w:eastAsia="MS Mincho" w:hAnsi="Times New Roman"/>
              <w:sz w:val="20"/>
              <w:iCs/>
            </w:rPr>
            <w:t>,
2024-08-27,
paskelbta TAR 2024-08-27, i. k. 2024-14915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4773967b4411efabdbb4a1fc8b0b63">
            <w:r w:rsidRPr="00532B9F">
              <w:rPr>
                <w:rFonts w:ascii="Times New Roman" w:eastAsia="MS Mincho" w:hAnsi="Times New Roman"/>
                <w:sz w:val="20"/>
                <w:iCs/>
                <w:color w:val="0000FF" w:themeColor="hyperlink"/>
                <w:u w:val="single"/>
              </w:rPr>
              <w:t>V-1073</w:t>
            </w:r>
          </w:fldSimple>
          <w:r>
            <w:rPr>
              <w:rFonts w:ascii="Times New Roman" w:eastAsia="MS Mincho" w:hAnsi="Times New Roman"/>
              <w:sz w:val="20"/>
              <w:iCs/>
            </w:rPr>
            <w:t>,
2024-09-25,
paskelbta TAR 2024-09-25, i. k. 2024-16673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2aca668d2911ef92b19bb92dd76d17">
            <w:r w:rsidRPr="00532B9F">
              <w:rPr>
                <w:rFonts w:ascii="Times New Roman" w:eastAsia="MS Mincho" w:hAnsi="Times New Roman"/>
                <w:sz w:val="20"/>
                <w:iCs/>
                <w:color w:val="0000FF" w:themeColor="hyperlink"/>
                <w:u w:val="single"/>
              </w:rPr>
              <w:t>V-1173</w:t>
            </w:r>
          </w:fldSimple>
          <w:r>
            <w:rPr>
              <w:rFonts w:ascii="Times New Roman" w:eastAsia="MS Mincho" w:hAnsi="Times New Roman"/>
              <w:sz w:val="20"/>
              <w:iCs/>
            </w:rPr>
            <w:t>,
2024-10-18,
paskelbta TAR 2024-10-18, i. k. 2024-18172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55a6a0b22d11ef88c08519262548c4">
            <w:r w:rsidRPr="00532B9F">
              <w:rPr>
                <w:rFonts w:ascii="Times New Roman" w:eastAsia="MS Mincho" w:hAnsi="Times New Roman"/>
                <w:sz w:val="20"/>
                <w:iCs/>
                <w:color w:val="0000FF" w:themeColor="hyperlink"/>
                <w:u w:val="single"/>
              </w:rPr>
              <w:t>V-1378</w:t>
            </w:r>
          </w:fldSimple>
          <w:r>
            <w:rPr>
              <w:rFonts w:ascii="Times New Roman" w:eastAsia="MS Mincho" w:hAnsi="Times New Roman"/>
              <w:sz w:val="20"/>
              <w:iCs/>
            </w:rPr>
            <w:t>,
2024-12-04,
paskelbta TAR 2024-12-04, i. k. 2024-21452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6b1644b3db11ef88c08519262548c4">
            <w:r w:rsidRPr="00532B9F">
              <w:rPr>
                <w:rFonts w:ascii="Times New Roman" w:eastAsia="MS Mincho" w:hAnsi="Times New Roman"/>
                <w:sz w:val="20"/>
                <w:iCs/>
                <w:color w:val="0000FF" w:themeColor="hyperlink"/>
                <w:u w:val="single"/>
              </w:rPr>
              <w:t>V-1389</w:t>
            </w:r>
          </w:fldSimple>
          <w:r>
            <w:rPr>
              <w:rFonts w:ascii="Times New Roman" w:eastAsia="MS Mincho" w:hAnsi="Times New Roman"/>
              <w:sz w:val="20"/>
              <w:iCs/>
            </w:rPr>
            <w:t>,
2024-12-06,
paskelbta TAR 2024-12-06, i. k. 2024-21694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284b16d49d11efa5ddd96c482819f5">
            <w:r w:rsidRPr="00532B9F">
              <w:rPr>
                <w:rFonts w:ascii="Times New Roman" w:eastAsia="MS Mincho" w:hAnsi="Times New Roman"/>
                <w:sz w:val="20"/>
                <w:iCs/>
                <w:color w:val="0000FF" w:themeColor="hyperlink"/>
                <w:u w:val="single"/>
              </w:rPr>
              <w:t>V-51</w:t>
            </w:r>
          </w:fldSimple>
          <w:r>
            <w:rPr>
              <w:rFonts w:ascii="Times New Roman" w:eastAsia="MS Mincho" w:hAnsi="Times New Roman"/>
              <w:sz w:val="20"/>
              <w:iCs/>
            </w:rPr>
            <w:t>,
2025-01-17,
paskelbta TAR 2025-01-17, i. k. 2025-00533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157403d7bb11efa5ddd96c482819f5">
            <w:r w:rsidRPr="00532B9F">
              <w:rPr>
                <w:rFonts w:ascii="Times New Roman" w:eastAsia="MS Mincho" w:hAnsi="Times New Roman"/>
                <w:sz w:val="20"/>
                <w:iCs/>
                <w:color w:val="0000FF" w:themeColor="hyperlink"/>
                <w:u w:val="single"/>
              </w:rPr>
              <w:t>V-60</w:t>
            </w:r>
          </w:fldSimple>
          <w:r>
            <w:rPr>
              <w:rFonts w:ascii="Times New Roman" w:eastAsia="MS Mincho" w:hAnsi="Times New Roman"/>
              <w:sz w:val="20"/>
              <w:iCs/>
            </w:rPr>
            <w:t>,
2025-01-21,
paskelbta TAR 2025-01-21, i. k. 2025-00665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7afce6df9811ef84c3a3cb4f439b27">
            <w:r w:rsidRPr="00532B9F">
              <w:rPr>
                <w:rFonts w:ascii="Times New Roman" w:eastAsia="MS Mincho" w:hAnsi="Times New Roman"/>
                <w:sz w:val="20"/>
                <w:iCs/>
                <w:color w:val="0000FF" w:themeColor="hyperlink"/>
                <w:u w:val="single"/>
              </w:rPr>
              <w:t>V-120</w:t>
            </w:r>
          </w:fldSimple>
          <w:r>
            <w:rPr>
              <w:rFonts w:ascii="Times New Roman" w:eastAsia="MS Mincho" w:hAnsi="Times New Roman"/>
              <w:sz w:val="20"/>
              <w:iCs/>
            </w:rPr>
            <w:t>,
2025-01-31,
paskelbta TAR 2025-01-31, i. k. 2025-01394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2b9c30087311f08e9f87c0d053bf09">
            <w:r w:rsidRPr="00532B9F">
              <w:rPr>
                <w:rFonts w:ascii="Times New Roman" w:eastAsia="MS Mincho" w:hAnsi="Times New Roman"/>
                <w:sz w:val="20"/>
                <w:iCs/>
                <w:color w:val="0000FF" w:themeColor="hyperlink"/>
                <w:u w:val="single"/>
              </w:rPr>
              <w:t>V-325</w:t>
            </w:r>
          </w:fldSimple>
          <w:r>
            <w:rPr>
              <w:rFonts w:ascii="Times New Roman" w:eastAsia="MS Mincho" w:hAnsi="Times New Roman"/>
              <w:sz w:val="20"/>
              <w:iCs/>
            </w:rPr>
            <w:t>,
2025-03-24,
paskelbta TAR 2025-03-24, i. k. 2025-04757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ff31b40c0b11f08e9f87c0d053bf09">
            <w:r w:rsidRPr="00532B9F">
              <w:rPr>
                <w:rFonts w:ascii="Times New Roman" w:eastAsia="MS Mincho" w:hAnsi="Times New Roman"/>
                <w:sz w:val="20"/>
                <w:iCs/>
                <w:color w:val="0000FF" w:themeColor="hyperlink"/>
                <w:u w:val="single"/>
              </w:rPr>
              <w:t>V-360</w:t>
            </w:r>
          </w:fldSimple>
          <w:r>
            <w:rPr>
              <w:rFonts w:ascii="Times New Roman" w:eastAsia="MS Mincho" w:hAnsi="Times New Roman"/>
              <w:sz w:val="20"/>
              <w:iCs/>
            </w:rPr>
            <w:t>,
2025-03-28,
paskelbta TAR 2025-03-31, i. k. 2025-05451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99308414fc11f08fdabd4950271e2c">
            <w:r w:rsidRPr="00532B9F">
              <w:rPr>
                <w:rFonts w:ascii="Times New Roman" w:eastAsia="MS Mincho" w:hAnsi="Times New Roman"/>
                <w:sz w:val="20"/>
                <w:iCs/>
                <w:color w:val="0000FF" w:themeColor="hyperlink"/>
                <w:u w:val="single"/>
              </w:rPr>
              <w:t>V-390</w:t>
            </w:r>
          </w:fldSimple>
          <w:r>
            <w:rPr>
              <w:rFonts w:ascii="Times New Roman" w:eastAsia="MS Mincho" w:hAnsi="Times New Roman"/>
              <w:sz w:val="20"/>
              <w:iCs/>
            </w:rPr>
            <w:t>,
2025-04-09,
paskelbta TAR 2025-04-09, i. k. 2025-06209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56265120ef11f08fdabd4950271e2c">
            <w:r w:rsidRPr="00532B9F">
              <w:rPr>
                <w:rFonts w:ascii="Times New Roman" w:eastAsia="MS Mincho" w:hAnsi="Times New Roman"/>
                <w:sz w:val="20"/>
                <w:iCs/>
                <w:color w:val="0000FF" w:themeColor="hyperlink"/>
                <w:u w:val="single"/>
              </w:rPr>
              <w:t>V-461</w:t>
            </w:r>
          </w:fldSimple>
          <w:r>
            <w:rPr>
              <w:rFonts w:ascii="Times New Roman" w:eastAsia="MS Mincho" w:hAnsi="Times New Roman"/>
              <w:sz w:val="20"/>
              <w:iCs/>
            </w:rPr>
            <w:t>,
2025-04-24,
paskelbta TAR 2025-04-24, i. k. 2025-07167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b602312eea11f08fdabd4950271e2c">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2025-05-12,
paskelbta TAR 2025-05-12, i. k. 2025-08383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7788643a3211f0b070ee7f1ceefc75">
            <w:r w:rsidRPr="00532B9F">
              <w:rPr>
                <w:rFonts w:ascii="Times New Roman" w:eastAsia="MS Mincho" w:hAnsi="Times New Roman"/>
                <w:sz w:val="20"/>
                <w:iCs/>
                <w:color w:val="0000FF" w:themeColor="hyperlink"/>
                <w:u w:val="single"/>
              </w:rPr>
              <w:t>V-579</w:t>
            </w:r>
          </w:fldSimple>
          <w:r>
            <w:rPr>
              <w:rFonts w:ascii="Times New Roman" w:eastAsia="MS Mincho" w:hAnsi="Times New Roman"/>
              <w:sz w:val="20"/>
              <w:iCs/>
            </w:rPr>
            <w:t>,
2025-05-26,
paskelbta TAR 2025-05-26, i. k. 2025-09295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354dd63c7f11f0b070ee7f1ceefc75">
            <w:r w:rsidRPr="00532B9F">
              <w:rPr>
                <w:rFonts w:ascii="Times New Roman" w:eastAsia="MS Mincho" w:hAnsi="Times New Roman"/>
                <w:sz w:val="20"/>
                <w:iCs/>
                <w:color w:val="0000FF" w:themeColor="hyperlink"/>
                <w:u w:val="single"/>
              </w:rPr>
              <w:t>V-588</w:t>
            </w:r>
          </w:fldSimple>
          <w:r>
            <w:rPr>
              <w:rFonts w:ascii="Times New Roman" w:eastAsia="MS Mincho" w:hAnsi="Times New Roman"/>
              <w:sz w:val="20"/>
              <w:iCs/>
            </w:rPr>
            <w:t>,
2025-05-29,
paskelbta TAR 2025-05-29, i. k. 2025-09506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Times New Roman"/>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09.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110.xml"/>
  <Relationship Id="rId20" Type="http://schemas.openxmlformats.org/officeDocument/2006/relationships/header" Target="header115.xml"/>
  <Relationship Id="rId21" Type="http://schemas.openxmlformats.org/officeDocument/2006/relationships/header" Target="header116.xml"/>
  <Relationship Id="rId22" Type="http://schemas.openxmlformats.org/officeDocument/2006/relationships/footer" Target="footer115.xml"/>
  <Relationship Id="rId23" Type="http://schemas.openxmlformats.org/officeDocument/2006/relationships/footer" Target="footer116.xml"/>
  <Relationship Id="rId24" Type="http://schemas.openxmlformats.org/officeDocument/2006/relationships/header" Target="header117.xml"/>
  <Relationship Id="rId25" Type="http://schemas.openxmlformats.org/officeDocument/2006/relationships/footer" Target="footer117.xml"/>
  <Relationship Id="rId26" Type="http://schemas.openxmlformats.org/officeDocument/2006/relationships/customXml" Target="../customXml/item4.xml"/>
  <Relationship Id="rId3" Type="http://schemas.openxmlformats.org/officeDocument/2006/relationships/footer" Target="footer109.xml"/>
  <Relationship Id="rId4" Type="http://schemas.openxmlformats.org/officeDocument/2006/relationships/footer" Target="footer110.xml"/>
  <Relationship Id="rId5" Type="http://schemas.openxmlformats.org/officeDocument/2006/relationships/header" Target="header111.xml"/>
  <Relationship Id="rId6" Type="http://schemas.openxmlformats.org/officeDocument/2006/relationships/footer" Target="footer111.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a69133b10c874118b2dab60685f9ed07"/>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6edc0aab1df4a73a94bf2f07f753560"/>
      </Part>
    </Part>
    <Part Type="skyrius" Nr="3" Title="PLĖTROS PROGRAMOS PAŽANGOS PRIEMONĖS VEIKLŲ SUVESTINĖ" DocPartId="a4b054442e584e91975ea5160cdc199d" PartId="e6210b6ba19c4e669b5ca89b4050ab3a">
      <Part Type="pastaba" DocPartId="c8e18f7f11a44e1b9a7da4e98ddde8ee" PartId="3e1ef213c5c741c68d0ef0229a8aada3">
        <Part Type="punktas" Nr="1" Abbr="1 p." DocPartId="a0368f2fbf164a49b580b925cf0754ab" PartId="af51d13165104dde938986eb3c56c13c"/>
        <Part Type="punktas" Nr="2" Abbr="2 p." DocPartId="d564f7a8f120462b8ea4f03f73b4ca66" PartId="169e019d0a064953b099dc49ec926a32"/>
        <Part Type="punktas" Nr="3" Abbr="3 p." DocPartId="be51a992699d44fc8c47d69d3a0cd77b" PartId="37b82081b0c84df0ab94e2941218c970"/>
        <Part Type="punktas" Nr="4" Abbr="4 p." DocPartId="b8a4ebe98b9c47a2ab195bfbb2513de2" PartId="47085b1a7c1e4cb7a9c16d791091860f"/>
        <Part Type="punktas" Nr="5" Abbr="5 p." DocPartId="5a23a32c279b454a96123692872f680f" PartId="d192d7c6e7cd4059af698de02fdddb9e"/>
        <Part Type="punktas" Nr="6" Abbr="6 p." DocPartId="d60c57a2e4ce42d0bad8c3b6d5176421" PartId="d6065f9c3e6549368be9d6c9c3a6d91d"/>
      </Part>
    </Part>
    <Part Type="pabaiga" DocPartId="d054188cae054845bce68c44c8e9c4c8" PartId="6baa4f206cfe47a78faa3f2677d2f7cb"/>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3.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50C43076-8119-4F0B-A277-96CA88695AB9}">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185C06C7-CEC5-422F-B93C-DE04717C2AC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33</TotalTime>
  <Pages>28</Pages>
  <Words>4148</Words>
  <Characters>25923</Characters>
  <Application>Microsoft Office Word</Application>
  <DocSecurity>0</DocSecurity>
  <Lines>216</Lines>
  <Paragraphs>60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30011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DZIKAITĖ Jolanta</lastModifiedBy>
  <lastPrinted>2018-09-10T12:13:00Z</lastPrinted>
  <dcterms:modified xsi:type="dcterms:W3CDTF">2025-05-30T04:58:00Z</dcterms:modified>
  <revision>40</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