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Arial" w:hAnsi="Arial"/>
            </w:rPr>
          </w:pPr>
          <w:r>
            <w:rPr>
              <w:rFonts w:ascii="Arial" w:hAnsi="Arial"/>
              <w:b/>
              <w:i/>
            </w:rPr>
            <w:t>Suvestinė redakcija nuo 2023-04-14 iki 2023-06-08</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2022-08-17, i. k. 2022-17227</w:t>
          </w:r>
        </w:p>
        <w:p>
          <w:pPr>
            <w:jc w:val="both"/>
            <w:rPr>
              <w:rFonts w:ascii="Arial" w:hAnsi="Arial"/>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sdtContent>
        </w:sdt>
        <w:sdt>
          <w:sdtPr>
            <w:alias w:val="pastraipa"/>
            <w:tag w:val="part_1420b5faeaa74003b44ca6285582c7b3"/>
            <w:lock w:val="sdtLocked"/>
            <w:richText/>
          </w:sdtPr>
          <w:sdtContent>
            <w:p>
              <w:pPr>
                <w:spacing w:line="276" w:lineRule="auto"/>
                <w:ind w:firstLine="1276"/>
                <w:jc w:val="both"/>
                <w:rPr>
                  <w:sz w:val="2"/>
                  <w:szCs w:val="2"/>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p>
              <w:pPr>
                <w:tabs>
                  <w:tab w:val="center" w:pos="4819"/>
                  <w:tab w:val="right" w:pos="9071"/>
                </w:tabs>
                <w:overflowPunct w:val="0"/>
                <w:spacing w:line="360" w:lineRule="auto"/>
                <w:jc w:val="both"/>
                <w:textAlignment w:val="baseline"/>
                <w:rPr>
                  <w:rFonts w:ascii="HelveticaLT" w:hAnsi="HelveticaLT"/>
                  <w:sz w:val="20"/>
                </w:rPr>
              </w:pPr>
            </w:p>
            <w:p>
              <w:pPr>
                <w:jc w:val="both"/>
                <w:rPr>
                  <w:sz w:val="2"/>
                  <w:szCs w:val="2"/>
                </w:rPr>
              </w:pPr>
            </w:p>
            <w:p>
              <w:pPr>
                <w:tabs>
                  <w:tab w:val="left" w:pos="5886"/>
                </w:tabs>
                <w:overflowPunct w:val="0"/>
                <w:spacing w:line="276" w:lineRule="auto"/>
                <w:jc w:val="both"/>
                <w:textAlignment w:val="baseline"/>
                <w:rPr>
                  <w:szCs w:val="24"/>
                </w:rPr>
              </w:pPr>
            </w:p>
            <w:p>
              <w:pPr>
                <w:tabs>
                  <w:tab w:val="left" w:pos="5886"/>
                </w:tabs>
                <w:overflowPunct w:val="0"/>
                <w:spacing w:line="276" w:lineRule="auto"/>
                <w:jc w:val="both"/>
                <w:textAlignment w:val="baseline"/>
                <w:rPr>
                  <w:szCs w:val="24"/>
                </w:rPr>
              </w:pPr>
            </w:p>
          </w:sdtContent>
        </w:sdt>
        <w:sdt>
          <w:sdtPr>
            <w:alias w:val="signatura"/>
            <w:tag w:val="part_cb724fd6616044e2a23c5602d9105b54"/>
            <w:lock w:val="sdtLocked"/>
            <w:richText/>
          </w:sdtPr>
          <w:sdtContent>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9f8290f50eae42afa7e3510d001595d5"/>
            <w:lock w:val="sdtLocked"/>
            <w:richText/>
          </w:sdtPr>
          <w:sdtContent>
            <w:p>
              <w:pPr>
                <w:tabs>
                  <w:tab w:val="left" w:pos="1985"/>
                </w:tabs>
                <w:jc w:val="center"/>
                <w:rPr>
                  <w:b/>
                  <w:bCs/>
                  <w:szCs w:val="24"/>
                </w:rPr>
              </w:pPr>
              <w:sdt>
                <w:sdtPr>
                  <w:alias w:val="Numeris"/>
                  <w:tag w:val="nr_9f8290f50eae42afa7e3510d001595d5"/>
                  <w:lock w:val="sdtLocked"/>
                  <w:richText/>
                </w:sdtPr>
                <w:sdtContent>
                  <w:r>
                    <w:rPr>
                      <w:b/>
                      <w:bCs/>
                      <w:szCs w:val="24"/>
                    </w:rPr>
                    <w:t>I</w:t>
                  </w:r>
                </w:sdtContent>
              </w:sdt>
              <w:r>
                <w:rPr>
                  <w:b/>
                  <w:bCs/>
                  <w:szCs w:val="24"/>
                </w:rPr>
                <w:t xml:space="preserve"> SKYRIUS</w:t>
              </w:r>
            </w:p>
            <w:p>
              <w:pPr>
                <w:jc w:val="center"/>
                <w:rPr>
                  <w:b/>
                  <w:bCs/>
                  <w:lang w:eastAsia="lt-LT"/>
                </w:rPr>
              </w:pPr>
              <w:sdt>
                <w:sdtPr>
                  <w:alias w:val="Pavadinimas"/>
                  <w:tag w:val="title_9f8290f50eae42afa7e3510d001595d5"/>
                  <w:lock w:val="sdtLocked"/>
                  <w:richText/>
                </w:sdtPr>
                <w:sdtContent>
                  <w:r>
                    <w:rPr>
                      <w:b/>
                      <w:bCs/>
                      <w:lang w:eastAsia="lt-LT"/>
                    </w:rPr>
                    <w:t>PLĖTROS PROGRAMOS PAŽANGOS PRIEMONĖS SIEKIAMI REZULTATAI</w:t>
                  </w:r>
                </w:sdtContent>
              </w:sdt>
            </w:p>
            <w:p>
              <w:pPr>
                <w:jc w:val="center"/>
                <w:rPr>
                  <w:b/>
                  <w:bCs/>
                  <w:lang w:eastAsia="lt-LT"/>
                </w:rPr>
              </w:pPr>
            </w:p>
            <w:tbl>
              <w:tblPr>
                <w:tblW w:w="14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417"/>
                <w:gridCol w:w="2978"/>
                <w:gridCol w:w="1275"/>
                <w:gridCol w:w="1560"/>
                <w:gridCol w:w="992"/>
                <w:gridCol w:w="1134"/>
                <w:gridCol w:w="2551"/>
              </w:tblGrid>
              <w:tr>
                <w:trPr>
                  <w:jc w:val="center"/>
                </w:trPr>
                <w:tc>
                  <w:tcPr>
                    <w:tcW w:w="2547" w:type="dxa"/>
                    <w:vMerge w:val="restart"/>
                    <w:shd w:val="clear" w:color="auto" w:fill="DEEAF6" w:themeFill="accent1" w:themeFillTint="33"/>
                    <w:vAlign w:val="center"/>
                  </w:tcPr>
                  <w:p>
                    <w:pPr>
                      <w:jc w:val="center"/>
                      <w:rPr>
                        <w:b/>
                        <w:sz w:val="22"/>
                        <w:szCs w:val="22"/>
                      </w:rPr>
                    </w:pPr>
                    <w:r>
                      <w:rPr>
                        <w:b/>
                        <w:sz w:val="22"/>
                        <w:szCs w:val="22"/>
                      </w:rPr>
                      <w:t>Rodiklio kodas</w:t>
                    </w:r>
                  </w:p>
                </w:tc>
                <w:tc>
                  <w:tcPr>
                    <w:tcW w:w="1417" w:type="dxa"/>
                    <w:vMerge w:val="restart"/>
                    <w:shd w:val="clear" w:color="auto" w:fill="DEEAF6" w:themeFill="accent1" w:themeFillTint="33"/>
                    <w:vAlign w:val="center"/>
                  </w:tcPr>
                  <w:p>
                    <w:pPr>
                      <w:jc w:val="center"/>
                      <w:rPr>
                        <w:b/>
                        <w:sz w:val="22"/>
                        <w:szCs w:val="22"/>
                      </w:rPr>
                    </w:pPr>
                    <w:r>
                      <w:rPr>
                        <w:b/>
                        <w:sz w:val="22"/>
                        <w:szCs w:val="22"/>
                      </w:rPr>
                      <w:t>Rodiklio tipas (rezultato / produkto)</w:t>
                    </w:r>
                  </w:p>
                </w:tc>
                <w:tc>
                  <w:tcPr>
                    <w:tcW w:w="2978" w:type="dxa"/>
                    <w:vMerge w:val="restart"/>
                    <w:shd w:val="clear" w:color="auto" w:fill="DEEAF6" w:themeFill="accent1" w:themeFillTint="33"/>
                    <w:vAlign w:val="center"/>
                  </w:tcPr>
                  <w:p>
                    <w:pPr>
                      <w:jc w:val="center"/>
                      <w:rPr>
                        <w:b/>
                        <w:sz w:val="22"/>
                        <w:szCs w:val="22"/>
                      </w:rPr>
                    </w:pPr>
                    <w:r>
                      <w:rPr>
                        <w:b/>
                        <w:sz w:val="22"/>
                        <w:szCs w:val="22"/>
                      </w:rPr>
                      <w:t xml:space="preserve">Rodiklio pavadinimas </w:t>
                    </w:r>
                  </w:p>
                </w:tc>
                <w:tc>
                  <w:tcPr>
                    <w:tcW w:w="1275" w:type="dxa"/>
                    <w:vMerge w:val="restart"/>
                    <w:shd w:val="clear" w:color="auto" w:fill="DEEAF6" w:themeFill="accent1" w:themeFillTint="33"/>
                    <w:vAlign w:val="center"/>
                  </w:tcPr>
                  <w:p>
                    <w:pPr>
                      <w:jc w:val="center"/>
                      <w:rPr>
                        <w:b/>
                        <w:sz w:val="22"/>
                        <w:szCs w:val="22"/>
                      </w:rPr>
                    </w:pPr>
                    <w:r>
                      <w:rPr>
                        <w:b/>
                        <w:sz w:val="22"/>
                        <w:szCs w:val="22"/>
                      </w:rPr>
                      <w:t>Matavimo vienetas</w:t>
                    </w:r>
                  </w:p>
                </w:tc>
                <w:tc>
                  <w:tcPr>
                    <w:tcW w:w="1560" w:type="dxa"/>
                    <w:vMerge w:val="restart"/>
                    <w:shd w:val="clear" w:color="auto" w:fill="DEEAF6" w:themeFill="accent1" w:themeFillTint="33"/>
                    <w:vAlign w:val="center"/>
                  </w:tcPr>
                  <w:p>
                    <w:pPr>
                      <w:rPr>
                        <w:b/>
                        <w:sz w:val="22"/>
                        <w:szCs w:val="22"/>
                      </w:rPr>
                    </w:pPr>
                  </w:p>
                  <w:p>
                    <w:pPr>
                      <w:jc w:val="center"/>
                      <w:rPr>
                        <w:b/>
                        <w:sz w:val="22"/>
                        <w:szCs w:val="22"/>
                      </w:rPr>
                    </w:pPr>
                    <w:r>
                      <w:rPr>
                        <w:b/>
                        <w:sz w:val="22"/>
                        <w:szCs w:val="22"/>
                      </w:rPr>
                      <w:t>Pradinė rodiklio reikšmė (metai)</w:t>
                    </w:r>
                  </w:p>
                </w:tc>
                <w:tc>
                  <w:tcPr>
                    <w:tcW w:w="2126" w:type="dxa"/>
                    <w:gridSpan w:val="2"/>
                    <w:shd w:val="clear" w:color="auto" w:fill="DEEAF6" w:themeFill="accent1" w:themeFillTint="33"/>
                    <w:vAlign w:val="center"/>
                  </w:tcPr>
                  <w:p>
                    <w:pPr>
                      <w:jc w:val="center"/>
                      <w:rPr>
                        <w:b/>
                        <w:sz w:val="22"/>
                        <w:szCs w:val="22"/>
                      </w:rPr>
                    </w:pPr>
                    <w:r>
                      <w:rPr>
                        <w:b/>
                        <w:sz w:val="22"/>
                        <w:szCs w:val="22"/>
                      </w:rPr>
                      <w:t>Siektinos rodiklio reikšmės</w:t>
                    </w:r>
                  </w:p>
                </w:tc>
                <w:tc>
                  <w:tcPr>
                    <w:tcW w:w="2551" w:type="dxa"/>
                    <w:vMerge w:val="restart"/>
                    <w:shd w:val="clear" w:color="auto" w:fill="DEEAF6" w:themeFill="accent1" w:themeFillTint="33"/>
                    <w:vAlign w:val="center"/>
                  </w:tcPr>
                  <w:p>
                    <w:pPr>
                      <w:jc w:val="center"/>
                      <w:rPr>
                        <w:b/>
                        <w:sz w:val="22"/>
                        <w:szCs w:val="22"/>
                      </w:rPr>
                    </w:pPr>
                  </w:p>
                  <w:p>
                    <w:pPr>
                      <w:jc w:val="center"/>
                      <w:rPr>
                        <w:b/>
                        <w:sz w:val="22"/>
                        <w:szCs w:val="22"/>
                      </w:rPr>
                    </w:pPr>
                    <w:r>
                      <w:rPr>
                        <w:b/>
                        <w:sz w:val="22"/>
                        <w:szCs w:val="22"/>
                      </w:rPr>
                      <w:t>Finansavimo šaltinis</w:t>
                    </w:r>
                  </w:p>
                </w:tc>
              </w:tr>
              <w:tr>
                <w:trPr>
                  <w:jc w:val="center"/>
                </w:trPr>
                <w:tc>
                  <w:tcPr>
                    <w:tcW w:w="2547" w:type="dxa"/>
                    <w:vMerge/>
                    <w:vAlign w:val="center"/>
                  </w:tcPr>
                  <w:p>
                    <w:pPr>
                      <w:spacing w:line="276" w:lineRule="auto"/>
                      <w:jc w:val="center"/>
                      <w:rPr>
                        <w:b/>
                        <w:sz w:val="22"/>
                        <w:szCs w:val="22"/>
                      </w:rPr>
                    </w:pPr>
                  </w:p>
                </w:tc>
                <w:tc>
                  <w:tcPr>
                    <w:tcW w:w="1417" w:type="dxa"/>
                    <w:vMerge/>
                    <w:vAlign w:val="center"/>
                  </w:tcPr>
                  <w:p>
                    <w:pPr>
                      <w:spacing w:line="276" w:lineRule="auto"/>
                      <w:jc w:val="center"/>
                      <w:rPr>
                        <w:b/>
                        <w:sz w:val="22"/>
                        <w:szCs w:val="22"/>
                      </w:rPr>
                    </w:pPr>
                  </w:p>
                </w:tc>
                <w:tc>
                  <w:tcPr>
                    <w:tcW w:w="2978" w:type="dxa"/>
                    <w:vMerge/>
                    <w:vAlign w:val="center"/>
                  </w:tcPr>
                  <w:p>
                    <w:pPr>
                      <w:spacing w:line="276" w:lineRule="auto"/>
                      <w:jc w:val="center"/>
                      <w:rPr>
                        <w:b/>
                        <w:sz w:val="22"/>
                        <w:szCs w:val="22"/>
                      </w:rPr>
                    </w:pPr>
                  </w:p>
                </w:tc>
                <w:tc>
                  <w:tcPr>
                    <w:tcW w:w="1275" w:type="dxa"/>
                    <w:vMerge/>
                    <w:vAlign w:val="center"/>
                  </w:tcPr>
                  <w:p>
                    <w:pPr>
                      <w:spacing w:line="276" w:lineRule="auto"/>
                      <w:jc w:val="center"/>
                      <w:rPr>
                        <w:b/>
                        <w:sz w:val="22"/>
                        <w:szCs w:val="22"/>
                      </w:rPr>
                    </w:pPr>
                  </w:p>
                </w:tc>
                <w:tc>
                  <w:tcPr>
                    <w:tcW w:w="1560" w:type="dxa"/>
                    <w:vMerge/>
                    <w:vAlign w:val="center"/>
                  </w:tcPr>
                  <w:p>
                    <w:pPr>
                      <w:spacing w:line="276" w:lineRule="auto"/>
                      <w:jc w:val="center"/>
                      <w:rPr>
                        <w:b/>
                        <w:sz w:val="22"/>
                        <w:szCs w:val="22"/>
                      </w:rPr>
                    </w:pPr>
                  </w:p>
                </w:tc>
                <w:tc>
                  <w:tcPr>
                    <w:tcW w:w="992" w:type="dxa"/>
                    <w:shd w:val="clear" w:color="auto" w:fill="DEEAF6" w:themeFill="accent1" w:themeFillTint="33"/>
                    <w:vAlign w:val="center"/>
                  </w:tcPr>
                  <w:p>
                    <w:pPr>
                      <w:jc w:val="center"/>
                      <w:rPr>
                        <w:b/>
                        <w:sz w:val="22"/>
                        <w:szCs w:val="22"/>
                      </w:rPr>
                    </w:pPr>
                    <w:r>
                      <w:rPr>
                        <w:b/>
                        <w:sz w:val="22"/>
                        <w:szCs w:val="22"/>
                      </w:rPr>
                      <w:t>Tarpinė reikšmė 2025 m.</w:t>
                    </w:r>
                  </w:p>
                </w:tc>
                <w:tc>
                  <w:tcPr>
                    <w:tcW w:w="1134" w:type="dxa"/>
                    <w:shd w:val="clear" w:color="auto" w:fill="DEEAF6" w:themeFill="accent1" w:themeFillTint="33"/>
                    <w:vAlign w:val="center"/>
                  </w:tcPr>
                  <w:p>
                    <w:pPr>
                      <w:jc w:val="center"/>
                      <w:rPr>
                        <w:b/>
                        <w:sz w:val="22"/>
                        <w:szCs w:val="22"/>
                      </w:rPr>
                    </w:pPr>
                    <w:r>
                      <w:rPr>
                        <w:b/>
                        <w:sz w:val="22"/>
                        <w:szCs w:val="22"/>
                      </w:rPr>
                      <w:t>Galutinė reikšmė</w:t>
                    </w:r>
                  </w:p>
                  <w:p>
                    <w:pPr>
                      <w:jc w:val="center"/>
                      <w:rPr>
                        <w:b/>
                        <w:sz w:val="22"/>
                        <w:szCs w:val="22"/>
                      </w:rPr>
                    </w:pPr>
                    <w:r>
                      <w:rPr>
                        <w:b/>
                        <w:sz w:val="22"/>
                        <w:szCs w:val="22"/>
                      </w:rPr>
                      <w:t>2030 m.</w:t>
                    </w:r>
                  </w:p>
                </w:tc>
                <w:tc>
                  <w:tcPr>
                    <w:tcW w:w="2551" w:type="dxa"/>
                    <w:vMerge/>
                    <w:vAlign w:val="center"/>
                  </w:tcPr>
                  <w:p>
                    <w:pPr>
                      <w:spacing w:line="276" w:lineRule="auto"/>
                      <w:jc w:val="center"/>
                      <w:rPr>
                        <w:b/>
                        <w:sz w:val="22"/>
                        <w:szCs w:val="22"/>
                      </w:rPr>
                    </w:pPr>
                  </w:p>
                </w:tc>
              </w:tr>
              <w:tr>
                <w:trPr>
                  <w:jc w:val="center"/>
                </w:trPr>
                <w:tc>
                  <w:tcPr>
                    <w:tcW w:w="2547" w:type="dxa"/>
                    <w:shd w:val="clear" w:color="auto" w:fill="FFFFFF" w:themeFill="background1"/>
                  </w:tcPr>
                  <w:p>
                    <w:pPr>
                      <w:spacing w:line="276" w:lineRule="auto"/>
                      <w:jc w:val="center"/>
                      <w:rPr>
                        <w:sz w:val="10"/>
                        <w:szCs w:val="10"/>
                      </w:rPr>
                    </w:pPr>
                    <w:r>
                      <w:rPr>
                        <w:sz w:val="18"/>
                      </w:rPr>
                      <w:t>R-12-001-01-02-01-01</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jc w:val="center"/>
                      <w:rPr>
                        <w:sz w:val="18"/>
                        <w:szCs w:val="18"/>
                      </w:rPr>
                    </w:pPr>
                    <w:r>
                      <w:rPr>
                        <w:sz w:val="18"/>
                        <w:szCs w:val="18"/>
                      </w:rPr>
                      <w:t>Lietuvos dalyvių pasirašytų dotacijos sutarčių skaičius programos „Europos horizontas“ finansuojamuose projektuose (kaupiamuoju būdu)</w:t>
                    </w:r>
                  </w:p>
                  <w:p>
                    <w:pPr>
                      <w:jc w:val="center"/>
                      <w:rPr>
                        <w:sz w:val="18"/>
                        <w:szCs w:val="18"/>
                      </w:rPr>
                    </w:pP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(2020)</w:t>
                    </w:r>
                  </w:p>
                </w:tc>
                <w:tc>
                  <w:tcPr>
                    <w:tcW w:w="992" w:type="dxa"/>
                    <w:shd w:val="clear" w:color="auto" w:fill="FFFFFF" w:themeFill="background1"/>
                  </w:tcPr>
                  <w:p>
                    <w:pPr>
                      <w:spacing w:line="276" w:lineRule="auto"/>
                      <w:jc w:val="center"/>
                      <w:rPr>
                        <w:sz w:val="10"/>
                        <w:szCs w:val="10"/>
                      </w:rPr>
                    </w:pPr>
                    <w:r>
                      <w:rPr>
                        <w:sz w:val="18"/>
                        <w:szCs w:val="18"/>
                      </w:rPr>
                      <w:t>100</w:t>
                    </w:r>
                  </w:p>
                </w:tc>
                <w:tc>
                  <w:tcPr>
                    <w:tcW w:w="1134" w:type="dxa"/>
                    <w:shd w:val="clear" w:color="auto" w:fill="FFFFFF" w:themeFill="background1"/>
                  </w:tcPr>
                  <w:p>
                    <w:pPr>
                      <w:ind w:left="-57" w:right="-57"/>
                      <w:jc w:val="center"/>
                      <w:rPr>
                        <w:sz w:val="10"/>
                        <w:szCs w:val="10"/>
                      </w:rPr>
                    </w:pPr>
                    <w:r>
                      <w:rPr>
                        <w:sz w:val="18"/>
                        <w:szCs w:val="18"/>
                      </w:rPr>
                      <w:t>605</w:t>
                    </w:r>
                  </w:p>
                </w:tc>
                <w:tc>
                  <w:tcPr>
                    <w:tcW w:w="2551" w:type="dxa"/>
                    <w:shd w:val="clear" w:color="auto" w:fill="FFFFFF" w:themeFill="background1"/>
                  </w:tcPr>
                  <w:p>
                    <w:pPr>
                      <w:spacing w:line="276" w:lineRule="auto"/>
                      <w:jc w:val="center"/>
                      <w:rPr>
                        <w:sz w:val="10"/>
                        <w:szCs w:val="10"/>
                      </w:rPr>
                    </w:pPr>
                    <w:r>
                      <w:rPr>
                        <w:sz w:val="18"/>
                        <w:szCs w:val="18"/>
                      </w:rPr>
                      <w:t>Valstybės biudžetas (toliau – VB)</w:t>
                    </w:r>
                  </w:p>
                </w:tc>
              </w:tr>
              <w:tr>
                <w:trPr>
                  <w:jc w:val="center"/>
                </w:trPr>
                <w:tc>
                  <w:tcPr>
                    <w:tcW w:w="2547" w:type="dxa"/>
                    <w:shd w:val="clear" w:color="auto" w:fill="FFFFFF" w:themeFill="background1"/>
                  </w:tcPr>
                  <w:p>
                    <w:pPr>
                      <w:spacing w:line="276" w:lineRule="auto"/>
                      <w:jc w:val="center"/>
                      <w:rPr>
                        <w:sz w:val="10"/>
                        <w:szCs w:val="10"/>
                      </w:rPr>
                    </w:pPr>
                    <w:r>
                      <w:rPr>
                        <w:sz w:val="18"/>
                      </w:rPr>
                      <w:t>R-12-001-01-02-01-02</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Mokslo ir studijų institucijų pajamų už ūkio subjektų (įskaitant viešąjį sektorių) mokslinių tyrimų ir eksperimentinės plėtros užsakymus suma</w:t>
                    </w:r>
                  </w:p>
                </w:tc>
                <w:tc>
                  <w:tcPr>
                    <w:tcW w:w="1275" w:type="dxa"/>
                  </w:tcPr>
                  <w:p>
                    <w:pPr>
                      <w:spacing w:line="276" w:lineRule="auto"/>
                      <w:jc w:val="center"/>
                      <w:rPr>
                        <w:sz w:val="18"/>
                        <w:szCs w:val="18"/>
                      </w:rPr>
                    </w:pPr>
                    <w:r>
                      <w:rPr>
                        <w:sz w:val="18"/>
                        <w:szCs w:val="18"/>
                      </w:rPr>
                      <w:t>tūkstančiai eurų</w:t>
                    </w:r>
                  </w:p>
                </w:tc>
                <w:tc>
                  <w:tcPr>
                    <w:tcW w:w="1560" w:type="dxa"/>
                  </w:tcPr>
                  <w:p>
                    <w:pPr>
                      <w:spacing w:line="276" w:lineRule="auto"/>
                      <w:jc w:val="center"/>
                      <w:rPr>
                        <w:sz w:val="18"/>
                        <w:szCs w:val="18"/>
                      </w:rPr>
                    </w:pPr>
                    <w:r>
                      <w:rPr>
                        <w:sz w:val="18"/>
                        <w:szCs w:val="18"/>
                      </w:rPr>
                      <w:t xml:space="preserve">13 872 </w:t>
                    </w:r>
                  </w:p>
                  <w:p>
                    <w:pPr>
                      <w:rPr>
                        <w:sz w:val="18"/>
                        <w:szCs w:val="18"/>
                      </w:rPr>
                    </w:pPr>
                  </w:p>
                  <w:p>
                    <w:pPr>
                      <w:spacing w:line="276" w:lineRule="auto"/>
                      <w:jc w:val="center"/>
                      <w:rPr>
                        <w:sz w:val="10"/>
                        <w:szCs w:val="10"/>
                      </w:rPr>
                    </w:pPr>
                    <w:r>
                      <w:rPr>
                        <w:sz w:val="18"/>
                        <w:szCs w:val="18"/>
                      </w:rPr>
                      <w:t>(2020)</w:t>
                    </w:r>
                  </w:p>
                </w:tc>
                <w:tc>
                  <w:tcPr>
                    <w:tcW w:w="992" w:type="dxa"/>
                    <w:shd w:val="clear" w:color="auto" w:fill="FFFFFF" w:themeFill="background1"/>
                  </w:tcPr>
                  <w:p>
                    <w:pPr>
                      <w:spacing w:line="276" w:lineRule="auto"/>
                      <w:jc w:val="center"/>
                      <w:rPr>
                        <w:sz w:val="10"/>
                        <w:szCs w:val="10"/>
                      </w:rPr>
                    </w:pPr>
                    <w:r>
                      <w:rPr>
                        <w:sz w:val="18"/>
                        <w:szCs w:val="18"/>
                      </w:rPr>
                      <w:t>15 500</w:t>
                    </w:r>
                  </w:p>
                </w:tc>
                <w:tc>
                  <w:tcPr>
                    <w:tcW w:w="1134" w:type="dxa"/>
                    <w:shd w:val="clear" w:color="auto" w:fill="FFFFFF" w:themeFill="background1"/>
                  </w:tcPr>
                  <w:p>
                    <w:pPr>
                      <w:spacing w:line="276" w:lineRule="auto"/>
                      <w:jc w:val="center"/>
                      <w:rPr>
                        <w:sz w:val="10"/>
                        <w:szCs w:val="10"/>
                      </w:rPr>
                    </w:pPr>
                    <w:r>
                      <w:rPr>
                        <w:sz w:val="18"/>
                        <w:szCs w:val="18"/>
                      </w:rPr>
                      <w:t>21 000</w:t>
                    </w:r>
                  </w:p>
                </w:tc>
                <w:tc>
                  <w:tcPr>
                    <w:tcW w:w="2551" w:type="dxa"/>
                    <w:shd w:val="clear" w:color="auto" w:fill="FFFFFF" w:themeFill="background1"/>
                  </w:tcPr>
                  <w:p>
                    <w:pPr>
                      <w:spacing w:line="276" w:lineRule="auto"/>
                      <w:jc w:val="center"/>
                      <w:rPr>
                        <w:sz w:val="10"/>
                        <w:szCs w:val="10"/>
                      </w:rPr>
                    </w:pPr>
                    <w:r>
                      <w:rPr>
                        <w:sz w:val="18"/>
                        <w:szCs w:val="18"/>
                      </w:rPr>
                      <w:t>VB</w:t>
                    </w:r>
                  </w:p>
                </w:tc>
              </w:tr>
              <w:tr>
                <w:trPr>
                  <w:jc w:val="center"/>
                </w:trPr>
                <w:tc>
                  <w:tcPr>
                    <w:tcW w:w="2547" w:type="dxa"/>
                    <w:shd w:val="clear" w:color="auto" w:fill="FFFFFF" w:themeFill="background1"/>
                  </w:tcPr>
                  <w:p>
                    <w:pPr>
                      <w:spacing w:line="276" w:lineRule="auto"/>
                      <w:jc w:val="center"/>
                      <w:rPr>
                        <w:sz w:val="10"/>
                        <w:szCs w:val="10"/>
                      </w:rPr>
                    </w:pPr>
                    <w:r>
                      <w:rPr>
                        <w:sz w:val="18"/>
                      </w:rPr>
                      <w:t>R-12-001-01-02-01-03</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Publikacijų pagal </w:t>
                    </w:r>
                    <w:r>
                      <w:rPr>
                        <w:i/>
                        <w:iCs/>
                        <w:sz w:val="18"/>
                        <w:szCs w:val="18"/>
                      </w:rPr>
                      <w:t>CA WoS</w:t>
                    </w:r>
                    <w:r>
                      <w:rPr>
                        <w:sz w:val="18"/>
                        <w:szCs w:val="18"/>
                      </w:rPr>
                      <w:t xml:space="preserve"> duomenų bazę skaičius (kaupiamuoju būdu)</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26 380 </w:t>
                    </w:r>
                  </w:p>
                  <w:p>
                    <w:pPr>
                      <w:rPr>
                        <w:sz w:val="18"/>
                        <w:szCs w:val="18"/>
                      </w:rPr>
                    </w:pPr>
                  </w:p>
                  <w:p>
                    <w:pPr>
                      <w:spacing w:line="276" w:lineRule="auto"/>
                      <w:jc w:val="center"/>
                      <w:rPr>
                        <w:sz w:val="10"/>
                        <w:szCs w:val="10"/>
                      </w:rPr>
                    </w:pPr>
                    <w:r>
                      <w:rPr>
                        <w:sz w:val="18"/>
                        <w:szCs w:val="18"/>
                      </w:rPr>
                      <w:t>(2020)</w:t>
                    </w:r>
                  </w:p>
                </w:tc>
                <w:tc>
                  <w:tcPr>
                    <w:tcW w:w="992" w:type="dxa"/>
                    <w:shd w:val="clear" w:color="auto" w:fill="FFFFFF" w:themeFill="background1"/>
                  </w:tcPr>
                  <w:p>
                    <w:pPr>
                      <w:spacing w:line="276" w:lineRule="auto"/>
                      <w:jc w:val="center"/>
                      <w:rPr>
                        <w:sz w:val="10"/>
                        <w:szCs w:val="10"/>
                      </w:rPr>
                    </w:pPr>
                    <w:r>
                      <w:rPr>
                        <w:sz w:val="18"/>
                        <w:szCs w:val="18"/>
                      </w:rPr>
                      <w:t>27 000</w:t>
                    </w:r>
                  </w:p>
                </w:tc>
                <w:tc>
                  <w:tcPr>
                    <w:tcW w:w="1134" w:type="dxa"/>
                    <w:shd w:val="clear" w:color="auto" w:fill="FFFFFF" w:themeFill="background1"/>
                  </w:tcPr>
                  <w:p>
                    <w:pPr>
                      <w:spacing w:line="276" w:lineRule="auto"/>
                      <w:jc w:val="center"/>
                      <w:rPr>
                        <w:sz w:val="10"/>
                        <w:szCs w:val="10"/>
                      </w:rPr>
                    </w:pPr>
                    <w:r>
                      <w:rPr>
                        <w:sz w:val="18"/>
                        <w:szCs w:val="18"/>
                      </w:rPr>
                      <w:t>31 660</w:t>
                    </w:r>
                  </w:p>
                </w:tc>
                <w:tc>
                  <w:tcPr>
                    <w:tcW w:w="2551" w:type="dxa"/>
                    <w:shd w:val="clear" w:color="auto" w:fill="FFFFFF" w:themeFill="background1"/>
                  </w:tcPr>
                  <w:p>
                    <w:pPr>
                      <w:spacing w:line="276" w:lineRule="auto"/>
                      <w:jc w:val="center"/>
                      <w:rPr>
                        <w:sz w:val="10"/>
                        <w:szCs w:val="10"/>
                      </w:rPr>
                    </w:pPr>
                    <w:r>
                      <w:rPr>
                        <w:sz w:val="18"/>
                        <w:szCs w:val="18"/>
                      </w:rPr>
                      <w:t>VB</w:t>
                    </w:r>
                  </w:p>
                </w:tc>
              </w:tr>
              <w:tr>
                <w:trPr>
                  <w:jc w:val="center"/>
                </w:trPr>
                <w:tc>
                  <w:tcPr>
                    <w:tcW w:w="2547" w:type="dxa"/>
                    <w:shd w:val="clear" w:color="auto" w:fill="FFFFFF" w:themeFill="background1"/>
                  </w:tcPr>
                  <w:p>
                    <w:pPr>
                      <w:spacing w:line="276" w:lineRule="auto"/>
                      <w:jc w:val="center"/>
                      <w:rPr>
                        <w:sz w:val="10"/>
                        <w:szCs w:val="10"/>
                      </w:rPr>
                    </w:pPr>
                    <w:r>
                      <w:rPr>
                        <w:sz w:val="18"/>
                      </w:rPr>
                      <w:t>R-12-001-01-02-01-04</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Pateiktos patentų paraiškos  </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184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Investicijų programa (toliau – IP),</w:t>
                    </w:r>
                  </w:p>
                  <w:p>
                    <w:pPr>
                      <w:spacing w:line="276" w:lineRule="auto"/>
                      <w:jc w:val="center"/>
                      <w:rPr>
                        <w:sz w:val="10"/>
                        <w:szCs w:val="10"/>
                      </w:rPr>
                    </w:pPr>
                    <w:r>
                      <w:rPr>
                        <w:color w:val="000000"/>
                        <w:sz w:val="20"/>
                        <w:lang w:eastAsia="lt-LT"/>
                      </w:rPr>
                      <w:t>privačios lėšos</w:t>
                    </w:r>
                  </w:p>
                </w:tc>
              </w:tr>
              <w:tr>
                <w:trPr>
                  <w:jc w:val="center"/>
                </w:trPr>
                <w:tc>
                  <w:tcPr>
                    <w:tcW w:w="2547" w:type="dxa"/>
                    <w:shd w:val="clear" w:color="auto" w:fill="FFFFFF" w:themeFill="background1"/>
                  </w:tcPr>
                  <w:p>
                    <w:pPr>
                      <w:spacing w:line="276" w:lineRule="auto"/>
                      <w:jc w:val="center"/>
                      <w:rPr>
                        <w:sz w:val="10"/>
                        <w:szCs w:val="10"/>
                      </w:rPr>
                    </w:pPr>
                    <w:r>
                      <w:rPr>
                        <w:sz w:val="18"/>
                      </w:rPr>
                      <w:t>R-12-001-01-02-01-05</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Remiamų projektų leidiniai </w:t>
                    </w:r>
                  </w:p>
                </w:tc>
                <w:tc>
                  <w:tcPr>
                    <w:tcW w:w="1275" w:type="dxa"/>
                  </w:tcPr>
                  <w:p>
                    <w:pPr>
                      <w:spacing w:line="276" w:lineRule="auto"/>
                      <w:jc w:val="center"/>
                      <w:rPr>
                        <w:sz w:val="18"/>
                        <w:szCs w:val="18"/>
                      </w:rPr>
                    </w:pPr>
                    <w:r>
                      <w:rPr>
                        <w:sz w:val="18"/>
                        <w:szCs w:val="18"/>
                      </w:rPr>
                      <w:t>leidiniai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1270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0"/>
                        <w:lang w:eastAsia="lt-LT"/>
                      </w:rPr>
                    </w:pPr>
                    <w:r>
                      <w:rPr>
                        <w:color w:val="000000"/>
                        <w:sz w:val="20"/>
                        <w:lang w:eastAsia="lt-LT"/>
                      </w:rPr>
                      <w:t>privačios lėšos</w:t>
                    </w:r>
                  </w:p>
                  <w:p>
                    <w:pPr>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R-12-001-01-02-01-06</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MTEP veiklos produktas </w:t>
                    </w:r>
                  </w:p>
                </w:tc>
                <w:tc>
                  <w:tcPr>
                    <w:tcW w:w="1275" w:type="dxa"/>
                  </w:tcPr>
                  <w:p>
                    <w:pPr>
                      <w:spacing w:line="276" w:lineRule="auto"/>
                      <w:jc w:val="center"/>
                      <w:rPr>
                        <w:sz w:val="18"/>
                        <w:szCs w:val="18"/>
                      </w:rPr>
                    </w:pPr>
                    <w:r>
                      <w:rPr>
                        <w:sz w:val="18"/>
                        <w:szCs w:val="18"/>
                      </w:rPr>
                      <w:t>skaičius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36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jc w:val="center"/>
                      <w:rPr>
                        <w:sz w:val="10"/>
                        <w:szCs w:val="10"/>
                      </w:rPr>
                    </w:pPr>
                    <w:r>
                      <w:rPr>
                        <w:sz w:val="18"/>
                      </w:rPr>
                      <w:t>R-12-001-01-02-01-07</w:t>
                    </w:r>
                    <w:r>
                      <w:rPr>
                        <w:sz w:val="18"/>
                        <w:szCs w:val="18"/>
                      </w:rPr>
                      <w:t xml:space="preserve"> </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Produktų ar procesų inovacijas diegiančios mažos ir vidutinės įmonės </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65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R-12-001-01-02-01-08</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Investicijas gavusių mokslo ir studijų institucijų gautų MTEP užsakymų skaičius </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 xml:space="preserve">225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P-12-001-01-02-01-01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jc w:val="center"/>
                      <w:rPr>
                        <w:sz w:val="16"/>
                        <w:szCs w:val="16"/>
                      </w:rPr>
                    </w:pPr>
                    <w:r>
                      <w:rPr>
                        <w:sz w:val="18"/>
                        <w:szCs w:val="18"/>
                      </w:rPr>
                      <w:t>Paramą gavusiose mokslinių tyrimų įstaigose dirbantys mokslininkai</w:t>
                    </w:r>
                  </w:p>
                </w:tc>
                <w:tc>
                  <w:tcPr>
                    <w:tcW w:w="1275" w:type="dxa"/>
                  </w:tcPr>
                  <w:p>
                    <w:pPr>
                      <w:spacing w:line="276" w:lineRule="auto"/>
                      <w:jc w:val="center"/>
                      <w:rPr>
                        <w:sz w:val="10"/>
                        <w:szCs w:val="10"/>
                      </w:rPr>
                    </w:pPr>
                    <w:r>
                      <w:rPr>
                        <w:sz w:val="18"/>
                        <w:szCs w:val="18"/>
                      </w:rPr>
                      <w:t>vienų metų etato ekvivalentas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128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1270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P-12-001-01-02-01-02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0"/>
                        <w:szCs w:val="10"/>
                      </w:rPr>
                    </w:pPr>
                    <w:r>
                      <w:rPr>
                        <w:sz w:val="18"/>
                        <w:szCs w:val="18"/>
                      </w:rPr>
                      <w:t>Bendruose mokslinių tyrimų projektuose dalyvaujančios mokslinių tyrimų organizacijos</w:t>
                    </w:r>
                  </w:p>
                </w:tc>
                <w:tc>
                  <w:tcPr>
                    <w:tcW w:w="1275" w:type="dxa"/>
                  </w:tcPr>
                  <w:p>
                    <w:pPr>
                      <w:spacing w:line="276" w:lineRule="auto"/>
                      <w:jc w:val="center"/>
                      <w:rPr>
                        <w:sz w:val="10"/>
                        <w:szCs w:val="10"/>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20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P-12-001-01-02-01-03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0"/>
                        <w:szCs w:val="10"/>
                      </w:rPr>
                    </w:pPr>
                    <w:r>
                      <w:rPr>
                        <w:sz w:val="18"/>
                        <w:szCs w:val="18"/>
                      </w:rPr>
                      <w:t>Nominalioji mokslinių tyrimų ir inovacijų įrangos vertė</w:t>
                    </w:r>
                  </w:p>
                </w:tc>
                <w:tc>
                  <w:tcPr>
                    <w:tcW w:w="1275" w:type="dxa"/>
                  </w:tcPr>
                  <w:p>
                    <w:pPr>
                      <w:spacing w:line="276" w:lineRule="auto"/>
                      <w:jc w:val="center"/>
                      <w:rPr>
                        <w:sz w:val="10"/>
                        <w:szCs w:val="10"/>
                      </w:rPr>
                    </w:pPr>
                    <w:r>
                      <w:rPr>
                        <w:sz w:val="18"/>
                        <w:szCs w:val="18"/>
                      </w:rPr>
                      <w:t>eurai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3 875 312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38 753 120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P-12-001-01-02-01-04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Su mokslo ir studijų institucijomis bendradarbiaujančios įmonės</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16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150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P-12-001-01-02-01-05</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Investicijas gavusių mokslo ir studijų institucijų skaičius</w:t>
                    </w:r>
                  </w:p>
                </w:tc>
                <w:tc>
                  <w:tcPr>
                    <w:tcW w:w="1275" w:type="dxa"/>
                  </w:tcPr>
                  <w:p>
                    <w:pPr>
                      <w:spacing w:line="276" w:lineRule="auto"/>
                      <w:jc w:val="center"/>
                      <w:rPr>
                        <w:sz w:val="18"/>
                        <w:szCs w:val="18"/>
                      </w:rPr>
                    </w:pPr>
                    <w:r>
                      <w:rPr>
                        <w:sz w:val="18"/>
                        <w:szCs w:val="18"/>
                      </w:rPr>
                      <w:t>skaičius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8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16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 xml:space="preserve">P-12-001-01-02-01-06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 xml:space="preserve">Paramą gavusios įmonės </w:t>
                    </w:r>
                    <w:r>
                      <w:rPr>
                        <w:color w:val="000000"/>
                        <w:sz w:val="18"/>
                        <w:szCs w:val="18"/>
                        <w:shd w:val="clear" w:color="auto" w:fill="FFFFFF"/>
                      </w:rPr>
                      <w:t>(iš kurių: labai mažos, mažosios, vidutinės ir didelės)</w:t>
                    </w:r>
                  </w:p>
                </w:tc>
                <w:tc>
                  <w:tcPr>
                    <w:tcW w:w="1275" w:type="dxa"/>
                  </w:tcPr>
                  <w:p>
                    <w:pPr>
                      <w:spacing w:line="276" w:lineRule="auto"/>
                      <w:jc w:val="center"/>
                      <w:rPr>
                        <w:sz w:val="18"/>
                        <w:szCs w:val="18"/>
                      </w:rPr>
                    </w:pPr>
                    <w:r>
                      <w:rPr>
                        <w:sz w:val="18"/>
                      </w:rPr>
                      <w:t>įmonės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34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170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ind w:firstLine="48"/>
                      <w:jc w:val="center"/>
                      <w:rPr>
                        <w:sz w:val="18"/>
                      </w:rPr>
                    </w:pPr>
                    <w:r>
                      <w:rPr>
                        <w:sz w:val="18"/>
                      </w:rPr>
                      <w:t xml:space="preserve">P-12-001-01-02-01-07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color w:val="000000"/>
                        <w:sz w:val="18"/>
                        <w:szCs w:val="18"/>
                        <w:shd w:val="clear" w:color="auto" w:fill="FFFFFF"/>
                      </w:rPr>
                      <w:t>Paramą gavusios įmonės (iš kurių: labai mažos)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n/a</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jc w:val="center"/>
                      <w:rPr>
                        <w:color w:val="000000"/>
                        <w:sz w:val="18"/>
                        <w:szCs w:val="18"/>
                        <w:lang w:eastAsia="lt-LT"/>
                      </w:rPr>
                    </w:pPr>
                    <w:r>
                      <w:rPr>
                        <w:color w:val="000000"/>
                        <w:sz w:val="18"/>
                        <w:szCs w:val="18"/>
                        <w:lang w:eastAsia="lt-LT"/>
                      </w:rPr>
                      <w:t>2021–2027 m. IP,</w:t>
                    </w:r>
                  </w:p>
                  <w:p>
                    <w:pPr>
                      <w:jc w:val="center"/>
                      <w:rPr>
                        <w:color w:val="000000"/>
                        <w:sz w:val="18"/>
                        <w:szCs w:val="18"/>
                        <w:lang w:eastAsia="lt-LT"/>
                      </w:rPr>
                    </w:pPr>
                    <w:r>
                      <w:rPr>
                        <w:color w:val="000000"/>
                        <w:sz w:val="18"/>
                        <w:szCs w:val="18"/>
                        <w:lang w:eastAsia="lt-LT"/>
                      </w:rPr>
                      <w:t>privačios lėšos</w:t>
                    </w:r>
                  </w:p>
                  <w:p>
                    <w:pPr>
                      <w:jc w:val="center"/>
                      <w:rPr>
                        <w:color w:val="000000"/>
                        <w:sz w:val="20"/>
                        <w:lang w:eastAsia="lt-LT"/>
                      </w:rPr>
                    </w:pPr>
                  </w:p>
                </w:tc>
              </w:tr>
              <w:tr>
                <w:trPr>
                  <w:jc w:val="center"/>
                </w:trPr>
                <w:tc>
                  <w:tcPr>
                    <w:tcW w:w="2547" w:type="dxa"/>
                    <w:shd w:val="clear" w:color="auto" w:fill="FFFFFF" w:themeFill="background1"/>
                  </w:tcPr>
                  <w:p>
                    <w:pPr>
                      <w:spacing w:line="276" w:lineRule="auto"/>
                      <w:jc w:val="center"/>
                      <w:rPr>
                        <w:sz w:val="18"/>
                      </w:rPr>
                    </w:pPr>
                    <w:r>
                      <w:rPr>
                        <w:sz w:val="18"/>
                      </w:rPr>
                      <w:t>P-12-001-01-02-01-08</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color w:val="000000"/>
                        <w:sz w:val="18"/>
                        <w:szCs w:val="18"/>
                        <w:shd w:val="clear" w:color="auto" w:fill="FFFFFF"/>
                      </w:rPr>
                      <w:t>Paramą gavusios įmonės (iš kurių: mažosios)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n/a</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jc w:val="center"/>
                      <w:rPr>
                        <w:color w:val="000000"/>
                        <w:sz w:val="18"/>
                        <w:szCs w:val="18"/>
                        <w:lang w:eastAsia="lt-LT"/>
                      </w:rPr>
                    </w:pPr>
                    <w:r>
                      <w:rPr>
                        <w:color w:val="000000"/>
                        <w:sz w:val="18"/>
                        <w:szCs w:val="18"/>
                        <w:lang w:eastAsia="lt-LT"/>
                      </w:rPr>
                      <w:t>2021–2027 m. IP,</w:t>
                    </w:r>
                  </w:p>
                  <w:p>
                    <w:pPr>
                      <w:jc w:val="center"/>
                      <w:rPr>
                        <w:color w:val="000000"/>
                        <w:sz w:val="18"/>
                        <w:szCs w:val="18"/>
                        <w:lang w:eastAsia="lt-LT"/>
                      </w:rPr>
                    </w:pPr>
                    <w:r>
                      <w:rPr>
                        <w:color w:val="000000"/>
                        <w:sz w:val="18"/>
                        <w:szCs w:val="18"/>
                        <w:lang w:eastAsia="lt-LT"/>
                      </w:rPr>
                      <w:t>privačios lėšos</w:t>
                    </w:r>
                  </w:p>
                  <w:p>
                    <w:pPr>
                      <w:jc w:val="center"/>
                      <w:rPr>
                        <w:color w:val="000000"/>
                        <w:sz w:val="20"/>
                        <w:lang w:eastAsia="lt-LT"/>
                      </w:rPr>
                    </w:pPr>
                  </w:p>
                </w:tc>
              </w:tr>
              <w:tr>
                <w:trPr>
                  <w:jc w:val="center"/>
                </w:trPr>
                <w:tc>
                  <w:tcPr>
                    <w:tcW w:w="2547" w:type="dxa"/>
                    <w:shd w:val="clear" w:color="auto" w:fill="FFFFFF" w:themeFill="background1"/>
                  </w:tcPr>
                  <w:p>
                    <w:pPr>
                      <w:spacing w:line="276" w:lineRule="auto"/>
                      <w:jc w:val="center"/>
                      <w:rPr>
                        <w:sz w:val="18"/>
                      </w:rPr>
                    </w:pPr>
                    <w:r>
                      <w:rPr>
                        <w:sz w:val="18"/>
                      </w:rPr>
                      <w:t>P-12-001-01-02-01-09</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color w:val="000000"/>
                        <w:sz w:val="18"/>
                        <w:szCs w:val="18"/>
                        <w:shd w:val="clear" w:color="auto" w:fill="FFFFFF"/>
                      </w:rPr>
                      <w:t>Paramą gavusios įmonės (iš kurių: vidutinės)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n/a</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jc w:val="center"/>
                      <w:rPr>
                        <w:color w:val="000000"/>
                        <w:sz w:val="18"/>
                        <w:szCs w:val="18"/>
                        <w:lang w:eastAsia="lt-LT"/>
                      </w:rPr>
                    </w:pPr>
                    <w:r>
                      <w:rPr>
                        <w:color w:val="000000"/>
                        <w:sz w:val="18"/>
                        <w:szCs w:val="18"/>
                        <w:lang w:eastAsia="lt-LT"/>
                      </w:rPr>
                      <w:t>2021–2027 m. IP,</w:t>
                    </w:r>
                  </w:p>
                  <w:p>
                    <w:pPr>
                      <w:jc w:val="center"/>
                      <w:rPr>
                        <w:color w:val="000000"/>
                        <w:sz w:val="18"/>
                        <w:szCs w:val="18"/>
                        <w:lang w:eastAsia="lt-LT"/>
                      </w:rPr>
                    </w:pPr>
                    <w:r>
                      <w:rPr>
                        <w:color w:val="000000"/>
                        <w:sz w:val="18"/>
                        <w:szCs w:val="18"/>
                        <w:lang w:eastAsia="lt-LT"/>
                      </w:rPr>
                      <w:t>privačios lėšos</w:t>
                    </w:r>
                  </w:p>
                  <w:p>
                    <w:pPr>
                      <w:jc w:val="center"/>
                      <w:rPr>
                        <w:color w:val="000000"/>
                        <w:sz w:val="20"/>
                        <w:lang w:eastAsia="lt-LT"/>
                      </w:rPr>
                    </w:pPr>
                  </w:p>
                </w:tc>
              </w:tr>
              <w:tr>
                <w:trPr>
                  <w:jc w:val="center"/>
                </w:trPr>
                <w:tc>
                  <w:tcPr>
                    <w:tcW w:w="2547" w:type="dxa"/>
                    <w:shd w:val="clear" w:color="auto" w:fill="FFFFFF" w:themeFill="background1"/>
                  </w:tcPr>
                  <w:p>
                    <w:pPr>
                      <w:spacing w:line="276" w:lineRule="auto"/>
                      <w:jc w:val="center"/>
                      <w:rPr>
                        <w:sz w:val="18"/>
                      </w:rPr>
                    </w:pPr>
                    <w:r>
                      <w:rPr>
                        <w:sz w:val="18"/>
                      </w:rPr>
                      <w:t>P-12-001-01-02-01-10</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color w:val="000000"/>
                        <w:sz w:val="18"/>
                        <w:szCs w:val="18"/>
                        <w:shd w:val="clear" w:color="auto" w:fill="FFFFFF"/>
                      </w:rPr>
                      <w:t>Paramą gavusios įmonės (iš kurių: didelės)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n/a</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jc w:val="center"/>
                      <w:rPr>
                        <w:color w:val="000000"/>
                        <w:sz w:val="18"/>
                        <w:szCs w:val="18"/>
                        <w:lang w:eastAsia="lt-LT"/>
                      </w:rPr>
                    </w:pPr>
                    <w:r>
                      <w:rPr>
                        <w:color w:val="000000"/>
                        <w:sz w:val="18"/>
                        <w:szCs w:val="18"/>
                        <w:lang w:eastAsia="lt-LT"/>
                      </w:rPr>
                      <w:t>2021–2027 m. IP,</w:t>
                    </w:r>
                  </w:p>
                  <w:p>
                    <w:pPr>
                      <w:jc w:val="center"/>
                      <w:rPr>
                        <w:color w:val="000000"/>
                        <w:sz w:val="18"/>
                        <w:szCs w:val="18"/>
                        <w:lang w:eastAsia="lt-LT"/>
                      </w:rPr>
                    </w:pPr>
                    <w:r>
                      <w:rPr>
                        <w:color w:val="000000"/>
                        <w:sz w:val="18"/>
                        <w:szCs w:val="18"/>
                        <w:lang w:eastAsia="lt-LT"/>
                      </w:rPr>
                      <w:t>privačios lėšos</w:t>
                    </w:r>
                  </w:p>
                  <w:p>
                    <w:pPr>
                      <w:jc w:val="center"/>
                      <w:rPr>
                        <w:color w:val="000000"/>
                        <w:sz w:val="20"/>
                        <w:lang w:eastAsia="lt-LT"/>
                      </w:rPr>
                    </w:pPr>
                  </w:p>
                </w:tc>
              </w:tr>
              <w:tr>
                <w:trPr>
                  <w:jc w:val="center"/>
                </w:trPr>
                <w:tc>
                  <w:tcPr>
                    <w:tcW w:w="2547" w:type="dxa"/>
                    <w:shd w:val="clear" w:color="auto" w:fill="FFFFFF" w:themeFill="background1"/>
                  </w:tcPr>
                  <w:p>
                    <w:pPr>
                      <w:spacing w:line="276" w:lineRule="auto"/>
                      <w:jc w:val="center"/>
                      <w:rPr>
                        <w:sz w:val="10"/>
                        <w:szCs w:val="10"/>
                      </w:rPr>
                    </w:pPr>
                    <w:r>
                      <w:rPr>
                        <w:sz w:val="18"/>
                      </w:rPr>
                      <w:t>P-12-001-01-02-01-11</w:t>
                    </w:r>
                    <w:r>
                      <w:rPr>
                        <w:sz w:val="18"/>
                        <w:szCs w:val="18"/>
                      </w:rPr>
                      <w:t xml:space="preserve">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Nefinansinę paramą gavusios įmonės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34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170 </w:t>
                    </w:r>
                  </w:p>
                  <w:p>
                    <w:pPr>
                      <w:rPr>
                        <w:sz w:val="18"/>
                        <w:szCs w:val="18"/>
                      </w:rPr>
                    </w:pPr>
                  </w:p>
                  <w:p>
                    <w:pPr>
                      <w:spacing w:line="276" w:lineRule="auto"/>
                      <w:jc w:val="center"/>
                      <w:rPr>
                        <w:sz w:val="10"/>
                        <w:szCs w:val="10"/>
                      </w:rPr>
                    </w:pPr>
                    <w:r>
                      <w:rPr>
                        <w:sz w:val="18"/>
                        <w:szCs w:val="18"/>
                      </w:rPr>
                      <w:t>(2024)</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highlight w:val="yellow"/>
                      </w:rPr>
                    </w:pPr>
                  </w:p>
                </w:tc>
              </w:tr>
              <w:tr>
                <w:trPr>
                  <w:jc w:val="center"/>
                </w:trPr>
                <w:tc>
                  <w:tcPr>
                    <w:tcW w:w="2547" w:type="dxa"/>
                    <w:shd w:val="clear" w:color="auto" w:fill="FFFFFF" w:themeFill="background1"/>
                  </w:tcPr>
                  <w:p>
                    <w:pPr>
                      <w:spacing w:line="276" w:lineRule="auto"/>
                      <w:jc w:val="center"/>
                      <w:rPr>
                        <w:sz w:val="10"/>
                        <w:szCs w:val="10"/>
                      </w:rPr>
                    </w:pPr>
                    <w:r>
                      <w:rPr>
                        <w:sz w:val="18"/>
                      </w:rPr>
                      <w:t>P-12-001-01-02-01-12</w:t>
                    </w:r>
                    <w:r>
                      <w:rPr>
                        <w:sz w:val="18"/>
                        <w:szCs w:val="18"/>
                      </w:rPr>
                      <w:t xml:space="preserve"> </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Paramą gavusios naujos įmonės</w:t>
                    </w:r>
                  </w:p>
                </w:tc>
                <w:tc>
                  <w:tcPr>
                    <w:tcW w:w="1275" w:type="dxa"/>
                  </w:tcPr>
                  <w:p>
                    <w:pPr>
                      <w:spacing w:line="276" w:lineRule="auto"/>
                      <w:jc w:val="center"/>
                      <w:rPr>
                        <w:sz w:val="18"/>
                        <w:szCs w:val="18"/>
                      </w:rPr>
                    </w:pPr>
                    <w:r>
                      <w:rPr>
                        <w:sz w:val="18"/>
                        <w:szCs w:val="18"/>
                      </w:rPr>
                      <w:t>įmonės</w:t>
                    </w:r>
                  </w:p>
                </w:tc>
                <w:tc>
                  <w:tcPr>
                    <w:tcW w:w="1560" w:type="dxa"/>
                  </w:tcPr>
                  <w:p>
                    <w:pPr>
                      <w:spacing w:line="276" w:lineRule="auto"/>
                      <w:jc w:val="center"/>
                      <w:rPr>
                        <w:sz w:val="18"/>
                        <w:szCs w:val="18"/>
                      </w:rPr>
                    </w:pPr>
                    <w:r>
                      <w:rPr>
                        <w:sz w:val="18"/>
                        <w:szCs w:val="18"/>
                      </w:rPr>
                      <w:t xml:space="preserve">0 </w:t>
                    </w:r>
                  </w:p>
                  <w:p>
                    <w:pPr>
                      <w:rPr>
                        <w:sz w:val="18"/>
                        <w:szCs w:val="18"/>
                      </w:rPr>
                    </w:pPr>
                  </w:p>
                  <w:p>
                    <w:pPr>
                      <w:spacing w:line="276" w:lineRule="auto"/>
                      <w:jc w:val="center"/>
                      <w:rPr>
                        <w:sz w:val="10"/>
                        <w:szCs w:val="10"/>
                      </w:rPr>
                    </w:pPr>
                    <w:r>
                      <w:rPr>
                        <w:sz w:val="18"/>
                        <w:szCs w:val="18"/>
                      </w:rPr>
                      <w:t>(2021)</w:t>
                    </w:r>
                  </w:p>
                </w:tc>
                <w:tc>
                  <w:tcPr>
                    <w:tcW w:w="992" w:type="dxa"/>
                    <w:shd w:val="clear" w:color="auto" w:fill="FFFFFF" w:themeFill="background1"/>
                  </w:tcPr>
                  <w:p>
                    <w:pPr>
                      <w:spacing w:line="276" w:lineRule="auto"/>
                      <w:jc w:val="center"/>
                      <w:rPr>
                        <w:sz w:val="18"/>
                        <w:szCs w:val="18"/>
                      </w:rPr>
                    </w:pPr>
                    <w:r>
                      <w:rPr>
                        <w:sz w:val="18"/>
                        <w:szCs w:val="18"/>
                      </w:rPr>
                      <w:t xml:space="preserve">34 </w:t>
                    </w:r>
                  </w:p>
                  <w:p>
                    <w:pPr>
                      <w:rPr>
                        <w:sz w:val="18"/>
                        <w:szCs w:val="18"/>
                      </w:rPr>
                    </w:pPr>
                  </w:p>
                  <w:p>
                    <w:pPr>
                      <w:spacing w:line="276" w:lineRule="auto"/>
                      <w:jc w:val="center"/>
                      <w:rPr>
                        <w:sz w:val="10"/>
                        <w:szCs w:val="10"/>
                      </w:rPr>
                    </w:pPr>
                    <w:r>
                      <w:rPr>
                        <w:sz w:val="18"/>
                        <w:szCs w:val="18"/>
                      </w:rPr>
                      <w:t>(2024)</w:t>
                    </w:r>
                  </w:p>
                </w:tc>
                <w:tc>
                  <w:tcPr>
                    <w:tcW w:w="1134" w:type="dxa"/>
                    <w:shd w:val="clear" w:color="auto" w:fill="FFFFFF" w:themeFill="background1"/>
                  </w:tcPr>
                  <w:p>
                    <w:pPr>
                      <w:spacing w:line="276" w:lineRule="auto"/>
                      <w:jc w:val="center"/>
                      <w:rPr>
                        <w:sz w:val="18"/>
                        <w:szCs w:val="18"/>
                      </w:rPr>
                    </w:pPr>
                    <w:r>
                      <w:rPr>
                        <w:sz w:val="18"/>
                        <w:szCs w:val="18"/>
                      </w:rPr>
                      <w:t xml:space="preserve">170 </w:t>
                    </w:r>
                  </w:p>
                  <w:p>
                    <w:pPr>
                      <w:rPr>
                        <w:sz w:val="18"/>
                        <w:szCs w:val="18"/>
                      </w:rPr>
                    </w:pPr>
                  </w:p>
                  <w:p>
                    <w:pPr>
                      <w:spacing w:line="276" w:lineRule="auto"/>
                      <w:jc w:val="center"/>
                      <w:rPr>
                        <w:sz w:val="10"/>
                        <w:szCs w:val="10"/>
                      </w:rPr>
                    </w:pPr>
                    <w:r>
                      <w:rPr>
                        <w:sz w:val="18"/>
                        <w:szCs w:val="18"/>
                      </w:rPr>
                      <w:t>(2029)</w:t>
                    </w:r>
                  </w:p>
                </w:tc>
                <w:tc>
                  <w:tcPr>
                    <w:tcW w:w="2551" w:type="dxa"/>
                    <w:shd w:val="clear" w:color="auto" w:fill="FFFFFF" w:themeFill="background1"/>
                  </w:tcPr>
                  <w:p>
                    <w:pPr>
                      <w:jc w:val="center"/>
                      <w:rPr>
                        <w:color w:val="000000"/>
                        <w:sz w:val="27"/>
                        <w:szCs w:val="27"/>
                        <w:lang w:eastAsia="lt-LT"/>
                      </w:rPr>
                    </w:pPr>
                    <w:r>
                      <w:rPr>
                        <w:color w:val="000000"/>
                        <w:sz w:val="20"/>
                        <w:lang w:eastAsia="lt-LT"/>
                      </w:rPr>
                      <w:t>2021–2027 m. IP,</w:t>
                    </w:r>
                  </w:p>
                  <w:p>
                    <w:pPr>
                      <w:jc w:val="center"/>
                      <w:rPr>
                        <w:color w:val="000000"/>
                        <w:sz w:val="27"/>
                        <w:szCs w:val="27"/>
                        <w:lang w:eastAsia="lt-LT"/>
                      </w:rPr>
                    </w:pPr>
                    <w:r>
                      <w:rPr>
                        <w:color w:val="000000"/>
                        <w:sz w:val="20"/>
                        <w:lang w:eastAsia="lt-LT"/>
                      </w:rPr>
                      <w:t>privačios lėšos</w:t>
                    </w:r>
                  </w:p>
                  <w:p>
                    <w:pPr>
                      <w:spacing w:line="276" w:lineRule="auto"/>
                      <w:jc w:val="center"/>
                      <w:rPr>
                        <w:sz w:val="10"/>
                        <w:szCs w:val="10"/>
                      </w:rPr>
                    </w:pPr>
                  </w:p>
                </w:tc>
              </w:tr>
              <w:tr>
                <w:trPr>
                  <w:jc w:val="center"/>
                </w:trPr>
                <w:tc>
                  <w:tcPr>
                    <w:tcW w:w="2547" w:type="dxa"/>
                    <w:shd w:val="clear" w:color="auto" w:fill="FFFFFF" w:themeFill="background1"/>
                  </w:tcPr>
                  <w:p>
                    <w:pPr>
                      <w:spacing w:line="276" w:lineRule="auto"/>
                      <w:jc w:val="center"/>
                      <w:rPr>
                        <w:sz w:val="10"/>
                        <w:szCs w:val="10"/>
                      </w:rPr>
                    </w:pPr>
                    <w:r>
                      <w:rPr>
                        <w:sz w:val="18"/>
                      </w:rPr>
                      <w:t>P-12-001-01-02-01-13</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 xml:space="preserve">Programos „Europos horizontas“ įgyvendinimo spartinimo veiksmų plano rengimas ir priėmimas </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0"/>
                        <w:szCs w:val="10"/>
                      </w:rPr>
                    </w:pPr>
                    <w:r>
                      <w:rPr>
                        <w:sz w:val="18"/>
                        <w:szCs w:val="18"/>
                      </w:rPr>
                      <w:t>n/a (2021)</w:t>
                    </w:r>
                  </w:p>
                </w:tc>
                <w:tc>
                  <w:tcPr>
                    <w:tcW w:w="992" w:type="dxa"/>
                    <w:shd w:val="clear" w:color="auto" w:fill="FFFFFF" w:themeFill="background1"/>
                  </w:tcPr>
                  <w:p>
                    <w:pPr>
                      <w:spacing w:line="276" w:lineRule="auto"/>
                      <w:jc w:val="center"/>
                      <w:rPr>
                        <w:sz w:val="10"/>
                        <w:szCs w:val="10"/>
                      </w:rPr>
                    </w:pPr>
                    <w:r>
                      <w:rPr>
                        <w:sz w:val="18"/>
                        <w:szCs w:val="18"/>
                      </w:rPr>
                      <w:t>n/a</w:t>
                    </w:r>
                  </w:p>
                </w:tc>
                <w:tc>
                  <w:tcPr>
                    <w:tcW w:w="1134" w:type="dxa"/>
                    <w:shd w:val="clear" w:color="auto" w:fill="FFFFFF" w:themeFill="background1"/>
                  </w:tcPr>
                  <w:p>
                    <w:pPr>
                      <w:spacing w:line="276" w:lineRule="auto"/>
                      <w:jc w:val="center"/>
                      <w:rPr>
                        <w:sz w:val="10"/>
                        <w:szCs w:val="10"/>
                      </w:rPr>
                    </w:pPr>
                    <w:r>
                      <w:rPr>
                        <w:sz w:val="18"/>
                        <w:szCs w:val="18"/>
                      </w:rPr>
                      <w:t>1 (2022 II ketv.)</w:t>
                    </w:r>
                  </w:p>
                </w:tc>
                <w:tc>
                  <w:tcPr>
                    <w:tcW w:w="2551" w:type="dxa"/>
                    <w:shd w:val="clear" w:color="auto" w:fill="FFFFFF" w:themeFill="background1"/>
                  </w:tcPr>
                  <w:p>
                    <w:pPr>
                      <w:spacing w:line="276" w:lineRule="auto"/>
                      <w:jc w:val="center"/>
                      <w:rPr>
                        <w:sz w:val="10"/>
                        <w:szCs w:val="10"/>
                      </w:rPr>
                    </w:pPr>
                    <w:r>
                      <w:rPr>
                        <w:sz w:val="18"/>
                        <w:szCs w:val="18"/>
                      </w:rPr>
                      <w:t>Ekonomikos gaivinimo ir atsparumo didinimo planas (toliau – EGADP)</w:t>
                    </w:r>
                  </w:p>
                </w:tc>
              </w:tr>
              <w:tr>
                <w:trPr>
                  <w:jc w:val="center"/>
                </w:trPr>
                <w:tc>
                  <w:tcPr>
                    <w:tcW w:w="2547" w:type="dxa"/>
                    <w:shd w:val="clear" w:color="auto" w:fill="FFFFFF" w:themeFill="background1"/>
                  </w:tcPr>
                  <w:p>
                    <w:pPr>
                      <w:spacing w:line="276" w:lineRule="auto"/>
                      <w:jc w:val="center"/>
                      <w:rPr>
                        <w:sz w:val="10"/>
                        <w:szCs w:val="10"/>
                      </w:rPr>
                    </w:pPr>
                    <w:r>
                      <w:rPr>
                        <w:sz w:val="18"/>
                      </w:rPr>
                      <w:t>P-12-001-01-02-01-14</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 xml:space="preserve">Finansuoti projektai ir konsultavimo paslaugos mokslo ir studijų institucijų ir mažų ir vidutinių įmonių potencialiems  programos „Europos horizontas“ pareiškėjams</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0 (2021)</w:t>
                    </w:r>
                  </w:p>
                </w:tc>
                <w:tc>
                  <w:tcPr>
                    <w:tcW w:w="992" w:type="dxa"/>
                    <w:shd w:val="clear" w:color="auto" w:fill="FFFFFF" w:themeFill="background1"/>
                  </w:tcPr>
                  <w:p>
                    <w:pPr>
                      <w:spacing w:line="276" w:lineRule="auto"/>
                      <w:jc w:val="center"/>
                      <w:rPr>
                        <w:sz w:val="18"/>
                        <w:szCs w:val="18"/>
                      </w:rPr>
                    </w:pPr>
                    <w:r>
                      <w:rPr>
                        <w:sz w:val="18"/>
                        <w:szCs w:val="18"/>
                      </w:rPr>
                      <w:t>200 (2025 I ketv.)</w:t>
                    </w:r>
                  </w:p>
                </w:tc>
                <w:tc>
                  <w:tcPr>
                    <w:tcW w:w="1134" w:type="dxa"/>
                    <w:shd w:val="clear" w:color="auto" w:fill="FFFFFF" w:themeFill="background1"/>
                  </w:tcPr>
                  <w:p>
                    <w:pPr>
                      <w:spacing w:line="276" w:lineRule="auto"/>
                      <w:jc w:val="center"/>
                      <w:rPr>
                        <w:sz w:val="18"/>
                        <w:szCs w:val="18"/>
                      </w:rPr>
                    </w:pPr>
                    <w:r>
                      <w:rPr>
                        <w:sz w:val="18"/>
                        <w:szCs w:val="18"/>
                      </w:rPr>
                      <w:t>477 (2026 II ketv.)</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0"/>
                        <w:szCs w:val="10"/>
                      </w:rPr>
                    </w:pPr>
                    <w:r>
                      <w:rPr>
                        <w:sz w:val="18"/>
                      </w:rPr>
                      <w:t>P-12-001-01-02-01-15</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Sukurtas mokslo ir inovacijų srities pareigūnų veiklos modelis</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n/a (2021)</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1 (2022 II ketv.)</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0"/>
                        <w:szCs w:val="10"/>
                      </w:rPr>
                    </w:pPr>
                    <w:r>
                      <w:rPr>
                        <w:sz w:val="18"/>
                      </w:rPr>
                      <w:t>P-12-001-01-02-01-16</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978" w:type="dxa"/>
                  </w:tcPr>
                  <w:p>
                    <w:pPr>
                      <w:spacing w:line="276" w:lineRule="auto"/>
                      <w:jc w:val="center"/>
                      <w:rPr>
                        <w:sz w:val="18"/>
                        <w:szCs w:val="18"/>
                      </w:rPr>
                    </w:pPr>
                    <w:r>
                      <w:rPr>
                        <w:sz w:val="18"/>
                        <w:szCs w:val="18"/>
                      </w:rPr>
                      <w:t>Įsteigtos mokslo pareigūnų ir nacionalinių kontaktinių asmenų (NCP) pozicijos</w:t>
                    </w:r>
                  </w:p>
                </w:tc>
                <w:tc>
                  <w:tcPr>
                    <w:tcW w:w="1275" w:type="dxa"/>
                  </w:tcPr>
                  <w:p>
                    <w:pPr>
                      <w:spacing w:line="276" w:lineRule="auto"/>
                      <w:jc w:val="center"/>
                      <w:rPr>
                        <w:sz w:val="18"/>
                        <w:szCs w:val="18"/>
                      </w:rPr>
                    </w:pPr>
                    <w:r>
                      <w:rPr>
                        <w:sz w:val="18"/>
                        <w:szCs w:val="18"/>
                      </w:rPr>
                      <w:t>vienetai</w:t>
                    </w:r>
                  </w:p>
                </w:tc>
                <w:tc>
                  <w:tcPr>
                    <w:tcW w:w="1560" w:type="dxa"/>
                  </w:tcPr>
                  <w:p>
                    <w:pPr>
                      <w:spacing w:line="276" w:lineRule="auto"/>
                      <w:jc w:val="center"/>
                      <w:rPr>
                        <w:sz w:val="18"/>
                        <w:szCs w:val="18"/>
                      </w:rPr>
                    </w:pPr>
                    <w:r>
                      <w:rPr>
                        <w:sz w:val="18"/>
                        <w:szCs w:val="18"/>
                      </w:rPr>
                      <w:t>0 (2021)</w:t>
                    </w:r>
                  </w:p>
                </w:tc>
                <w:tc>
                  <w:tcPr>
                    <w:tcW w:w="992" w:type="dxa"/>
                    <w:shd w:val="clear" w:color="auto" w:fill="FFFFFF" w:themeFill="background1"/>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30 (2026 II ketv.)</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P-12-001-01-02-01-17</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Paramą gavusiose mokslinių tyrimų įstaigose dirbantys mokslininkai</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P-12-001-01-02-01-18</w:t>
                    </w:r>
                  </w:p>
                </w:tc>
                <w:tc>
                  <w:tcPr>
                    <w:tcW w:w="1417" w:type="dxa"/>
                    <w:shd w:val="clear" w:color="auto" w:fill="FFFFFF" w:themeFill="background1"/>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 xml:space="preserve">Paramą gavusios įmonės </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P-12-001-01-02-01-19</w:t>
                    </w:r>
                  </w:p>
                </w:tc>
                <w:tc>
                  <w:tcPr>
                    <w:tcW w:w="1417" w:type="dxa"/>
                    <w:shd w:val="clear" w:color="auto" w:fill="FFFFFF" w:themeFill="background1"/>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Paramą gavusios įmonės iš jų: Mažos ir labai mažos</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P-12-001-01-02-01-20</w:t>
                    </w:r>
                  </w:p>
                </w:tc>
                <w:tc>
                  <w:tcPr>
                    <w:tcW w:w="1417" w:type="dxa"/>
                    <w:shd w:val="clear" w:color="auto" w:fill="FFFFFF" w:themeFill="background1"/>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Paramą gavusios įmonės iš jų: Vidutinės</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r>
                <w:trPr>
                  <w:jc w:val="center"/>
                </w:trPr>
                <w:tc>
                  <w:tcPr>
                    <w:tcW w:w="2547" w:type="dxa"/>
                    <w:shd w:val="clear" w:color="auto" w:fill="FFFFFF" w:themeFill="background1"/>
                  </w:tcPr>
                  <w:p>
                    <w:pPr>
                      <w:spacing w:line="276" w:lineRule="auto"/>
                      <w:jc w:val="center"/>
                      <w:rPr>
                        <w:sz w:val="18"/>
                      </w:rPr>
                    </w:pPr>
                    <w:r>
                      <w:rPr>
                        <w:sz w:val="18"/>
                      </w:rPr>
                      <w:t>P-12-001-01-02-01-21</w:t>
                    </w:r>
                  </w:p>
                </w:tc>
                <w:tc>
                  <w:tcPr>
                    <w:tcW w:w="1417" w:type="dxa"/>
                    <w:shd w:val="clear" w:color="auto" w:fill="FFFFFF" w:themeFill="background1"/>
                  </w:tcPr>
                  <w:p>
                    <w:pPr>
                      <w:spacing w:line="276" w:lineRule="auto"/>
                      <w:jc w:val="center"/>
                      <w:rPr>
                        <w:sz w:val="18"/>
                        <w:szCs w:val="18"/>
                      </w:rPr>
                    </w:pPr>
                    <w:r>
                      <w:rPr>
                        <w:sz w:val="18"/>
                        <w:szCs w:val="18"/>
                      </w:rPr>
                      <w:t>rezultato</w:t>
                    </w:r>
                  </w:p>
                </w:tc>
                <w:tc>
                  <w:tcPr>
                    <w:tcW w:w="2978" w:type="dxa"/>
                  </w:tcPr>
                  <w:p>
                    <w:pPr>
                      <w:spacing w:line="276" w:lineRule="auto"/>
                      <w:jc w:val="center"/>
                      <w:rPr>
                        <w:sz w:val="18"/>
                        <w:szCs w:val="18"/>
                      </w:rPr>
                    </w:pPr>
                    <w:r>
                      <w:rPr>
                        <w:sz w:val="18"/>
                        <w:szCs w:val="18"/>
                      </w:rPr>
                      <w:t>Paramą gavusios įmonės iš jų: Didelės</w:t>
                    </w:r>
                  </w:p>
                </w:tc>
                <w:tc>
                  <w:tcPr>
                    <w:tcW w:w="1275" w:type="dxa"/>
                  </w:tcPr>
                  <w:p>
                    <w:pPr>
                      <w:spacing w:line="276" w:lineRule="auto"/>
                      <w:jc w:val="center"/>
                      <w:rPr>
                        <w:sz w:val="18"/>
                        <w:szCs w:val="18"/>
                      </w:rPr>
                    </w:pPr>
                    <w:r>
                      <w:rPr>
                        <w:sz w:val="18"/>
                        <w:szCs w:val="18"/>
                      </w:rPr>
                      <w:t>vienetai</w:t>
                    </w:r>
                  </w:p>
                </w:tc>
                <w:tc>
                  <w:tcPr>
                    <w:tcW w:w="1560" w:type="dxa"/>
                    <w:vAlign w:val="center"/>
                  </w:tcPr>
                  <w:p>
                    <w:pPr>
                      <w:spacing w:line="276" w:lineRule="auto"/>
                      <w:jc w:val="center"/>
                      <w:rPr>
                        <w:sz w:val="18"/>
                        <w:szCs w:val="18"/>
                      </w:rPr>
                    </w:pPr>
                    <w:r>
                      <w:rPr>
                        <w:sz w:val="18"/>
                        <w:szCs w:val="18"/>
                      </w:rPr>
                      <w:t>n/a</w:t>
                    </w:r>
                  </w:p>
                </w:tc>
                <w:tc>
                  <w:tcPr>
                    <w:tcW w:w="992" w:type="dxa"/>
                    <w:shd w:val="clear" w:color="auto" w:fill="FFFFFF" w:themeFill="background1"/>
                    <w:vAlign w:val="center"/>
                  </w:tcPr>
                  <w:p>
                    <w:pPr>
                      <w:spacing w:line="276" w:lineRule="auto"/>
                      <w:jc w:val="center"/>
                      <w:rPr>
                        <w:sz w:val="18"/>
                        <w:szCs w:val="18"/>
                      </w:rPr>
                    </w:pPr>
                    <w:r>
                      <w:rPr>
                        <w:sz w:val="18"/>
                        <w:szCs w:val="18"/>
                      </w:rPr>
                      <w:t>n/a</w:t>
                    </w:r>
                  </w:p>
                </w:tc>
                <w:tc>
                  <w:tcPr>
                    <w:tcW w:w="1134" w:type="dxa"/>
                    <w:shd w:val="clear" w:color="auto" w:fill="FFFFFF" w:themeFill="background1"/>
                  </w:tcPr>
                  <w:p>
                    <w:pPr>
                      <w:spacing w:line="276" w:lineRule="auto"/>
                      <w:jc w:val="center"/>
                      <w:rPr>
                        <w:sz w:val="18"/>
                        <w:szCs w:val="18"/>
                      </w:rPr>
                    </w:pPr>
                    <w:r>
                      <w:rPr>
                        <w:sz w:val="18"/>
                        <w:szCs w:val="18"/>
                      </w:rPr>
                      <w:t>n/a</w:t>
                    </w:r>
                  </w:p>
                </w:tc>
                <w:tc>
                  <w:tcPr>
                    <w:tcW w:w="2551" w:type="dxa"/>
                    <w:shd w:val="clear" w:color="auto" w:fill="FFFFFF" w:themeFill="background1"/>
                  </w:tcPr>
                  <w:p>
                    <w:pPr>
                      <w:spacing w:line="276" w:lineRule="auto"/>
                      <w:jc w:val="center"/>
                      <w:rPr>
                        <w:sz w:val="18"/>
                        <w:szCs w:val="18"/>
                      </w:rPr>
                    </w:pPr>
                    <w:r>
                      <w:rPr>
                        <w:sz w:val="18"/>
                        <w:szCs w:val="18"/>
                      </w:rPr>
                      <w:t>EGADP</w:t>
                    </w:r>
                  </w:p>
                </w:tc>
              </w:tr>
            </w:tbl>
            <w:sdt>
              <w:sdtPr>
                <w:alias w:val="poskyris"/>
                <w:tag w:val="part_29f43474d38b4b2ca2850b5878ee0865"/>
                <w:lock w:val="sdtLocked"/>
                <w:richText/>
              </w:sdtPr>
              <w:sdtContent>
                <w:p>
                  <w:pPr>
                    <w:ind w:firstLine="567"/>
                    <w:jc w:val="both"/>
                    <w:rPr>
                      <w:b/>
                      <w:sz w:val="20"/>
                      <w:szCs w:val="18"/>
                    </w:rPr>
                  </w:pPr>
                  <w:sdt>
                    <w:sdtPr>
                      <w:alias w:val="Pavadinimas"/>
                      <w:tag w:val="title_29f43474d38b4b2ca2850b5878ee0865"/>
                      <w:lock w:val="sdtLocked"/>
                      <w:richText/>
                    </w:sdtPr>
                    <w:sdtContent>
                      <w:r>
                        <w:rPr>
                          <w:b/>
                          <w:sz w:val="20"/>
                          <w:szCs w:val="18"/>
                        </w:rPr>
                        <w:t>Pastaba.</w:t>
                      </w:r>
                    </w:sdtContent>
                  </w:sdt>
                </w:p>
                <w:p>
                  <w:pPr>
                    <w:ind w:firstLine="567"/>
                    <w:jc w:val="both"/>
                    <w:rPr>
                      <w:b/>
                      <w:szCs w:val="22"/>
                    </w:rPr>
                  </w:pPr>
                  <w:r>
                    <w:rPr>
                      <w:sz w:val="20"/>
                      <w:szCs w:val="18"/>
                    </w:rPr>
                    <w:t xml:space="preserve">Rodikliai - Paramą gavusiose mokslinių tyrimų įstaigose dirbantys mokslininkai, Paramą gavusios įmonės iš jų: Mažos ir labai mažos, Vidutinės, Didelės  yra Ekonomikos gaivinimo ir atsparumo didinimo plano „Naujos kartos Lietuva“ bendrieji stebėsenos rodiklis, kurie neturi siektinų reikšmių. Duomenys bus renkami iš susijusių reformų ir investicijų rodiklių. Ataskaitinis laikotarpis iki 2027 m. vasario mėn..</w:t>
                  </w:r>
                </w:p>
                <w:p>
                  <w:pPr>
                    <w:ind w:firstLine="567"/>
                    <w:jc w:val="both"/>
                    <w:rPr>
                      <w:b/>
                      <w:sz w:val="22"/>
                      <w:szCs w:val="22"/>
                    </w:rPr>
                  </w:pPr>
                </w:p>
              </w:sdtContent>
            </w:sdt>
            <w:sdt>
              <w:sdtPr>
                <w:alias w:val="poskyris"/>
                <w:tag w:val="part_035cb37b46f7493398fad660f3be91ad"/>
                <w:lock w:val="sdtLocked"/>
                <w:richText/>
              </w:sdtPr>
              <w:sdtContent>
                <w:p>
                  <w:pPr>
                    <w:ind w:firstLine="567"/>
                    <w:jc w:val="both"/>
                    <w:rPr>
                      <w:b/>
                      <w:sz w:val="18"/>
                      <w:szCs w:val="18"/>
                    </w:rPr>
                  </w:pPr>
                  <w:sdt>
                    <w:sdtPr>
                      <w:alias w:val="Pavadinimas"/>
                      <w:tag w:val="title_035cb37b46f7493398fad660f3be91ad"/>
                      <w:lock w:val="sdtLocked"/>
                      <w:richText/>
                    </w:sdtPr>
                    <w:sdtContent>
                      <w:r>
                        <w:rPr>
                          <w:b/>
                          <w:sz w:val="18"/>
                          <w:szCs w:val="18"/>
                        </w:rPr>
                        <w:t>Paaiškinimai:</w:t>
                      </w:r>
                    </w:sdtContent>
                  </w:sdt>
                </w:p>
                <w:sdt>
                  <w:sdtPr>
                    <w:alias w:val="1 p."/>
                    <w:tag w:val="part_a6d268e38118479f8ecdd02f4e810d42"/>
                    <w:lock w:val="sdtLocked"/>
                    <w:richText/>
                  </w:sdtPr>
                  <w:sdtContent>
                    <w:p>
                      <w:pPr>
                        <w:ind w:firstLine="567"/>
                        <w:jc w:val="both"/>
                        <w:rPr>
                          <w:sz w:val="18"/>
                          <w:szCs w:val="18"/>
                        </w:rPr>
                      </w:pPr>
                      <w:sdt>
                        <w:sdtPr>
                          <w:alias w:val="Numeris"/>
                          <w:tag w:val="nr_a6d268e38118479f8ecdd02f4e810d42"/>
                          <w:lock w:val="sdtLocked"/>
                          <w:richText/>
                        </w:sdtPr>
                        <w:sdtContent>
                          <w:r>
                            <w:rPr>
                              <w:sz w:val="18"/>
                              <w:szCs w:val="18"/>
                            </w:rPr>
                            <w:t>1</w:t>
                          </w:r>
                        </w:sdtContent>
                      </w:sdt>
                      <w:r>
                        <w:rPr>
                          <w:sz w:val="18"/>
                          <w:szCs w:val="18"/>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įvykdymo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ca2c9d8ac43741f48f752778bdc1acd8"/>
                    <w:lock w:val="sdtLocked"/>
                    <w:richText/>
                  </w:sdtPr>
                  <w:sdtContent>
                    <w:p>
                      <w:pPr>
                        <w:ind w:firstLine="567"/>
                        <w:jc w:val="both"/>
                        <w:rPr>
                          <w:sz w:val="18"/>
                          <w:szCs w:val="18"/>
                        </w:rPr>
                      </w:pPr>
                      <w:sdt>
                        <w:sdtPr>
                          <w:alias w:val="Numeris"/>
                          <w:tag w:val="nr_ca2c9d8ac43741f48f752778bdc1acd8"/>
                          <w:lock w:val="sdtLocked"/>
                          <w:richText/>
                        </w:sdtPr>
                        <w:sdtContent>
                          <w:r>
                            <w:rPr>
                              <w:sz w:val="18"/>
                              <w:szCs w:val="18"/>
                            </w:rPr>
                            <w:t>2</w:t>
                          </w:r>
                        </w:sdtContent>
                      </w:sdt>
                      <w:r>
                        <w:rPr>
                          <w:sz w:val="18"/>
                          <w:szCs w:val="18"/>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18"/>
                          <w:szCs w:val="18"/>
                          <w:vertAlign w:val="superscript"/>
                        </w:rPr>
                        <w:t>1</w:t>
                      </w:r>
                      <w:r>
                        <w:rPr>
                          <w:sz w:val="18"/>
                          <w:szCs w:val="18"/>
                        </w:rPr>
                        <w:t xml:space="preserve"> straipsnio 3 dalies įgyvendinimo“ (toliau – Strateginio valdymo metodika), 9 priede nustatyta tvarka.</w:t>
                      </w:r>
                    </w:p>
                  </w:sdtContent>
                </w:sdt>
                <w:sdt>
                  <w:sdtPr>
                    <w:alias w:val="3 p."/>
                    <w:tag w:val="part_b93ec03fb5c848419c5350b7d3cd45d1"/>
                    <w:lock w:val="sdtLocked"/>
                    <w:richText/>
                  </w:sdtPr>
                  <w:sdtContent>
                    <w:p>
                      <w:pPr>
                        <w:ind w:firstLine="567"/>
                        <w:jc w:val="both"/>
                        <w:rPr>
                          <w:sz w:val="18"/>
                          <w:szCs w:val="18"/>
                        </w:rPr>
                      </w:pPr>
                      <w:sdt>
                        <w:sdtPr>
                          <w:alias w:val="Numeris"/>
                          <w:tag w:val="nr_b93ec03fb5c848419c5350b7d3cd45d1"/>
                          <w:lock w:val="sdtLocked"/>
                          <w:richText/>
                        </w:sdtPr>
                        <w:sdtContent>
                          <w:r>
                            <w:rPr>
                              <w:sz w:val="18"/>
                              <w:szCs w:val="18"/>
                            </w:rPr>
                            <w:t>3</w:t>
                          </w:r>
                        </w:sdtContent>
                      </w:sdt>
                      <w:r>
                        <w:rPr>
                          <w:sz w:val="18"/>
                          <w:szCs w:val="18"/>
                        </w:rPr>
                        <w:t xml:space="preserve">. 3 skiltyje rezultato rodikliai nurodomi tokie patys, kokie nurodyti plėtros programoje. </w:t>
                      </w:r>
                      <w:r>
                        <w:rPr>
                          <w:bCs/>
                          <w:sz w:val="18"/>
                          <w:szCs w:val="18"/>
                        </w:rPr>
                        <w:t xml:space="preserve">Išimtis taikoma </w:t>
                      </w:r>
                      <w:r>
                        <w:rPr>
                          <w:sz w:val="18"/>
                          <w:szCs w:val="18"/>
                        </w:rPr>
                        <w:t>Ekonomikos gaivinimo ir atsparumo didinimo priemonės plano „Naujos kartos Lietuva“</w:t>
                      </w:r>
                      <w:r>
                        <w:rPr>
                          <w:bCs/>
                          <w:sz w:val="18"/>
                          <w:szCs w:val="18"/>
                        </w:rPr>
                        <w:t xml:space="preserve"> bendriesiems rezultato rodikliams. Šie rodikliai nėra traukiami į plėtros programas, tačiau turi būti nurodyti prie pažangos priemonių ir jų veiklų (poveiklių). </w:t>
                      </w:r>
                      <w:r>
                        <w:rPr>
                          <w:sz w:val="18"/>
                          <w:szCs w:val="18"/>
                        </w:rPr>
                        <w:t>Ekonomikos gaivinimo ir atsparumo didinimo priemonės plano „Naujos kartos Lietuva“</w:t>
                      </w:r>
                      <w:r>
                        <w:rPr>
                          <w:bCs/>
                          <w:sz w:val="18"/>
                          <w:szCs w:val="18"/>
                        </w:rPr>
                        <w:t xml:space="preserve"> bendrieji rezultato rodikliai neturi pradinės bei siektinos reikšmių. </w:t>
                      </w:r>
                      <w:r>
                        <w:rPr>
                          <w:sz w:val="18"/>
                          <w:szCs w:val="18"/>
                        </w:rPr>
                        <w:t xml:space="preserve">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81507d032b58456db325b27ec01b3546"/>
                    <w:lock w:val="sdtLocked"/>
                    <w:richText/>
                  </w:sdtPr>
                  <w:sdtContent>
                    <w:p>
                      <w:pPr>
                        <w:ind w:firstLine="567"/>
                        <w:jc w:val="both"/>
                        <w:rPr>
                          <w:sz w:val="18"/>
                          <w:szCs w:val="18"/>
                        </w:rPr>
                      </w:pPr>
                      <w:sdt>
                        <w:sdtPr>
                          <w:alias w:val="Numeris"/>
                          <w:tag w:val="nr_81507d032b58456db325b27ec01b3546"/>
                          <w:lock w:val="sdtLocked"/>
                          <w:richText/>
                        </w:sdtPr>
                        <w:sdtContent>
                          <w:r>
                            <w:rPr>
                              <w:sz w:val="18"/>
                              <w:szCs w:val="18"/>
                            </w:rPr>
                            <w:t>4</w:t>
                          </w:r>
                        </w:sdtContent>
                      </w:sdt>
                      <w:r>
                        <w:rPr>
                          <w:sz w:val="18"/>
                          <w:szCs w:val="18"/>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e7f9a915605c442d89dcec2cca77681c"/>
                    <w:lock w:val="sdtLocked"/>
                    <w:richText/>
                  </w:sdtPr>
                  <w:sdtContent>
                    <w:p>
                      <w:pPr>
                        <w:ind w:firstLine="567"/>
                        <w:jc w:val="both"/>
                        <w:rPr>
                          <w:sz w:val="18"/>
                          <w:szCs w:val="18"/>
                        </w:rPr>
                      </w:pPr>
                      <w:sdt>
                        <w:sdtPr>
                          <w:alias w:val="Numeris"/>
                          <w:tag w:val="nr_e7f9a915605c442d89dcec2cca77681c"/>
                          <w:lock w:val="sdtLocked"/>
                          <w:richText/>
                        </w:sdtPr>
                        <w:sdtContent>
                          <w:r>
                            <w:rPr>
                              <w:sz w:val="18"/>
                              <w:szCs w:val="18"/>
                            </w:rPr>
                            <w:t>5</w:t>
                          </w:r>
                        </w:sdtContent>
                      </w:sdt>
                      <w:r>
                        <w:rPr>
                          <w:sz w:val="18"/>
                          <w:szCs w:val="18"/>
                        </w:rPr>
                        <w:t>. 8 skiltyje nurodomas finansavimo šaltinis. Jei tas pats rodiklis priskirtas keliems finansavimo šaltiniams, jis nurodomas tiek kartų, kiek yra skirtingų finansavimo šaltinių (bendrasis finansavimas ir pridėtinės vertės mokestis atskirai neišskiriami).</w:t>
                      </w:r>
                    </w:p>
                    <w:p>
                      <w:pPr>
                        <w:ind w:left="-426" w:firstLine="426"/>
                        <w:rPr>
                          <w:b/>
                          <w:sz w:val="22"/>
                          <w:szCs w:val="22"/>
                        </w:rPr>
                      </w:pPr>
                    </w:p>
                  </w:sdtContent>
                </w:sdt>
              </w:sdtContent>
            </w:sdt>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16d880ae9654639a72bf7e99bccad5a"/>
                    <w:lock w:val="sdtLocked"/>
                    <w:richText/>
                  </w:sdtPr>
                  <w:sdtContent>
                    <w:p>
                      <w:pPr>
                        <w:ind w:firstLine="567"/>
                        <w:jc w:val="both"/>
                        <w:rPr>
                          <w:sz w:val="18"/>
                          <w:szCs w:val="18"/>
                        </w:rPr>
                      </w:pPr>
                      <w:sdt>
                        <w:sdtPr>
                          <w:alias w:val="Numeris"/>
                          <w:tag w:val="nr_a16d880ae9654639a72bf7e99bccad5a"/>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left" w:pos="2552"/>
                        </w:tabs>
                        <w:ind w:left="142" w:right="253"/>
                        <w:jc w:val="both"/>
                        <w:rPr>
                          <w:bCs/>
                          <w:sz w:val="20"/>
                        </w:rPr>
                      </w:pPr>
                    </w:p>
                    <w:p>
                      <w:pPr>
                        <w:tabs>
                          <w:tab w:val="center" w:pos="4680"/>
                          <w:tab w:val="right" w:pos="9360"/>
                        </w:tabs>
                        <w:rPr>
                          <w:sz w:val="22"/>
                          <w:szCs w:val="22"/>
                          <w:lang w:eastAsia="lt-LT"/>
                        </w:rPr>
                      </w:pPr>
                    </w:p>
                  </w:sdtContent>
                </w:sdt>
              </w:sdtContent>
            </w:sdt>
          </w:sdtContent>
        </w:sdt>
        <w:sdt>
          <w:sdtPr>
            <w:alias w:val="skyrius"/>
            <w:tag w:val="part_a8e46f8de70f43c6a69dbe4f34bec629"/>
            <w:lock w:val="sdtLocked"/>
            <w:richText/>
          </w:sdtPr>
          <w:sdtContent>
            <w:p>
              <w:pPr>
                <w:jc w:val="center"/>
                <w:rPr>
                  <w:b/>
                  <w:bCs/>
                </w:rPr>
              </w:pPr>
              <w:sdt>
                <w:sdtPr>
                  <w:alias w:val="Numeris"/>
                  <w:tag w:val="nr_a8e46f8de70f43c6a69dbe4f34bec629"/>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a8e46f8de70f43c6a69dbe4f34bec629"/>
                  <w:lock w:val="sdtLocked"/>
                  <w:richText/>
                </w:sdtPr>
                <w:sdtContent>
                  <w:r>
                    <w:rPr>
                      <w:b/>
                      <w:bCs/>
                    </w:rPr>
                    <w:t>PLĖTROS PROGRAMOS PAŽANGOS PRIEMONĖS VEIKLŲ SUVESTINĖ</w:t>
                  </w:r>
                </w:sdtContent>
              </w:sdt>
            </w:p>
            <w:p>
              <w:pPr>
                <w:rPr>
                  <w:sz w:val="2"/>
                  <w:szCs w:val="2"/>
                </w:rPr>
              </w:pPr>
            </w:p>
            <w:p>
              <w:pPr>
                <w:ind w:firstLine="851"/>
                <w:jc w:val="both"/>
              </w:pPr>
            </w:p>
            <w:p>
              <w:pPr>
                <w:rPr>
                  <w:sz w:val="2"/>
                  <w:szCs w:val="2"/>
                </w:rPr>
              </w:pPr>
            </w:p>
            <w:tbl>
              <w:tblPr>
                <w:tblW w:w="10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709"/>
                <w:gridCol w:w="1275"/>
                <w:gridCol w:w="851"/>
                <w:gridCol w:w="850"/>
                <w:gridCol w:w="709"/>
                <w:gridCol w:w="851"/>
                <w:gridCol w:w="850"/>
                <w:gridCol w:w="1276"/>
                <w:gridCol w:w="1134"/>
                <w:gridCol w:w="708"/>
                <w:gridCol w:w="568"/>
              </w:tblGrid>
              <w:tr>
                <w:trPr>
                  <w:trHeight w:val="700"/>
                </w:trPr>
                <w:tc>
                  <w:tcPr>
                    <w:tcW w:w="113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Veikla</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60"/>
                      <w:jc w:val="center"/>
                      <w:rPr>
                        <w:b/>
                        <w:sz w:val="20"/>
                      </w:rPr>
                    </w:pPr>
                    <w:r>
                      <w:rPr>
                        <w:b/>
                        <w:sz w:val="20"/>
                      </w:rPr>
                      <w:t>Veiklos (poveiklės, projekto) tipas</w:t>
                    </w:r>
                  </w:p>
                </w:tc>
                <w:tc>
                  <w:tcPr>
                    <w:tcW w:w="1275"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Galimi pareiškėjai</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Projektų atrankos būdas</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Tiesiogiai prisidedama prie HP</w:t>
                    </w:r>
                  </w:p>
                  <w:p>
                    <w:pPr>
                      <w:ind w:left="-57" w:right="-57"/>
                      <w:jc w:val="center"/>
                      <w:rPr>
                        <w:b/>
                        <w:sz w:val="20"/>
                      </w:rPr>
                    </w:pPr>
                    <w:r>
                      <w:rPr>
                        <w:b/>
                        <w:sz w:val="20"/>
                      </w:rPr>
                      <w:t>(Taip / Ne)</w:t>
                    </w:r>
                  </w:p>
                </w:tc>
                <w:tc>
                  <w:tcPr>
                    <w:tcW w:w="709"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forma</w:t>
                    </w:r>
                  </w:p>
                </w:tc>
                <w:tc>
                  <w:tcPr>
                    <w:tcW w:w="851"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suma (tūkst. eurų)</w:t>
                    </w:r>
                  </w:p>
                </w:tc>
                <w:tc>
                  <w:tcPr>
                    <w:tcW w:w="850"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Finansavimo šaltinis (-iai)</w:t>
                    </w:r>
                  </w:p>
                </w:tc>
                <w:tc>
                  <w:tcPr>
                    <w:tcW w:w="1276"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Rodiklio pavadinimas ir tipas</w:t>
                    </w:r>
                  </w:p>
                </w:tc>
                <w:tc>
                  <w:tcPr>
                    <w:tcW w:w="1134"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Siektina galutinė rodiklio reikšmė (ir metai)</w:t>
                    </w:r>
                  </w:p>
                </w:tc>
                <w:tc>
                  <w:tcPr>
                    <w:tcW w:w="70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trike/>
                        <w:sz w:val="20"/>
                      </w:rPr>
                    </w:pPr>
                    <w:r>
                      <w:rPr>
                        <w:b/>
                        <w:sz w:val="20"/>
                      </w:rPr>
                      <w:t>Administruojančioji institucija</w:t>
                    </w:r>
                  </w:p>
                </w:tc>
                <w:tc>
                  <w:tcPr>
                    <w:tcW w:w="568" w:type="dxa"/>
                    <w:shd w:val="clear" w:color="auto" w:fill="DEEAF6" w:themeFill="accent1" w:themeFillTint="33"/>
                  </w:tcPr>
                  <w:p>
                    <w:pPr>
                      <w:ind w:left="-57" w:right="-57"/>
                      <w:jc w:val="center"/>
                      <w:rPr>
                        <w:b/>
                        <w:sz w:val="20"/>
                      </w:rPr>
                    </w:pPr>
                  </w:p>
                  <w:p>
                    <w:pPr>
                      <w:ind w:left="-57" w:right="-57"/>
                      <w:jc w:val="center"/>
                      <w:rPr>
                        <w:b/>
                        <w:sz w:val="20"/>
                      </w:rPr>
                    </w:pPr>
                  </w:p>
                  <w:p>
                    <w:pPr>
                      <w:ind w:left="-57" w:right="-57"/>
                      <w:jc w:val="center"/>
                      <w:rPr>
                        <w:b/>
                        <w:sz w:val="20"/>
                      </w:rPr>
                    </w:pPr>
                    <w:r>
                      <w:rPr>
                        <w:b/>
                        <w:sz w:val="20"/>
                      </w:rPr>
                      <w:t>Dalyvaujanti institucija</w:t>
                    </w:r>
                  </w:p>
                </w:tc>
              </w:tr>
              <w:tr>
                <w:trPr>
                  <w:trHeight w:val="288"/>
                </w:trPr>
                <w:tc>
                  <w:tcPr>
                    <w:tcW w:w="1135" w:type="dxa"/>
                    <w:shd w:val="clear" w:color="auto" w:fill="DEEAF6" w:themeFill="accent1" w:themeFillTint="33"/>
                  </w:tcPr>
                  <w:p>
                    <w:pPr>
                      <w:ind w:left="-57" w:right="-57"/>
                      <w:jc w:val="center"/>
                      <w:rPr>
                        <w:b/>
                        <w:sz w:val="20"/>
                      </w:rPr>
                    </w:pPr>
                    <w:r>
                      <w:rPr>
                        <w:b/>
                        <w:sz w:val="16"/>
                        <w:szCs w:val="16"/>
                      </w:rPr>
                      <w:t>1</w:t>
                    </w:r>
                  </w:p>
                </w:tc>
                <w:tc>
                  <w:tcPr>
                    <w:tcW w:w="709" w:type="dxa"/>
                    <w:shd w:val="clear" w:color="auto" w:fill="DEEAF6" w:themeFill="accent1" w:themeFillTint="33"/>
                  </w:tcPr>
                  <w:p>
                    <w:pPr>
                      <w:ind w:left="-57" w:right="-57"/>
                      <w:jc w:val="center"/>
                      <w:rPr>
                        <w:b/>
                        <w:sz w:val="20"/>
                      </w:rPr>
                    </w:pPr>
                    <w:r>
                      <w:rPr>
                        <w:b/>
                        <w:sz w:val="16"/>
                        <w:szCs w:val="16"/>
                      </w:rPr>
                      <w:t>2</w:t>
                    </w:r>
                  </w:p>
                </w:tc>
                <w:tc>
                  <w:tcPr>
                    <w:tcW w:w="1275" w:type="dxa"/>
                    <w:shd w:val="clear" w:color="auto" w:fill="DEEAF6" w:themeFill="accent1" w:themeFillTint="33"/>
                  </w:tcPr>
                  <w:p>
                    <w:pPr>
                      <w:ind w:left="-57" w:right="-57"/>
                      <w:jc w:val="center"/>
                      <w:rPr>
                        <w:b/>
                        <w:sz w:val="20"/>
                      </w:rPr>
                    </w:pPr>
                    <w:r>
                      <w:rPr>
                        <w:b/>
                        <w:sz w:val="16"/>
                        <w:szCs w:val="16"/>
                      </w:rPr>
                      <w:t>3</w:t>
                    </w:r>
                  </w:p>
                </w:tc>
                <w:tc>
                  <w:tcPr>
                    <w:tcW w:w="851" w:type="dxa"/>
                    <w:shd w:val="clear" w:color="auto" w:fill="DEEAF6" w:themeFill="accent1" w:themeFillTint="33"/>
                  </w:tcPr>
                  <w:p>
                    <w:pPr>
                      <w:ind w:left="-57" w:right="-57"/>
                      <w:jc w:val="center"/>
                      <w:rPr>
                        <w:b/>
                        <w:sz w:val="20"/>
                      </w:rPr>
                    </w:pPr>
                    <w:r>
                      <w:rPr>
                        <w:b/>
                        <w:sz w:val="16"/>
                        <w:szCs w:val="16"/>
                      </w:rPr>
                      <w:t>4</w:t>
                    </w:r>
                  </w:p>
                </w:tc>
                <w:tc>
                  <w:tcPr>
                    <w:tcW w:w="850" w:type="dxa"/>
                    <w:shd w:val="clear" w:color="auto" w:fill="DEEAF6" w:themeFill="accent1" w:themeFillTint="33"/>
                  </w:tcPr>
                  <w:p>
                    <w:pPr>
                      <w:ind w:left="-57" w:right="-57"/>
                      <w:jc w:val="center"/>
                      <w:rPr>
                        <w:b/>
                        <w:sz w:val="20"/>
                      </w:rPr>
                    </w:pPr>
                    <w:r>
                      <w:rPr>
                        <w:b/>
                        <w:sz w:val="16"/>
                        <w:szCs w:val="16"/>
                      </w:rPr>
                      <w:t>5</w:t>
                    </w:r>
                  </w:p>
                </w:tc>
                <w:tc>
                  <w:tcPr>
                    <w:tcW w:w="709" w:type="dxa"/>
                    <w:shd w:val="clear" w:color="auto" w:fill="DEEAF6" w:themeFill="accent1" w:themeFillTint="33"/>
                  </w:tcPr>
                  <w:p>
                    <w:pPr>
                      <w:ind w:left="-57" w:right="-57"/>
                      <w:jc w:val="center"/>
                      <w:rPr>
                        <w:b/>
                        <w:sz w:val="20"/>
                      </w:rPr>
                    </w:pPr>
                    <w:r>
                      <w:rPr>
                        <w:b/>
                        <w:sz w:val="16"/>
                        <w:szCs w:val="16"/>
                      </w:rPr>
                      <w:t>6</w:t>
                    </w:r>
                  </w:p>
                </w:tc>
                <w:tc>
                  <w:tcPr>
                    <w:tcW w:w="851" w:type="dxa"/>
                    <w:shd w:val="clear" w:color="auto" w:fill="DEEAF6" w:themeFill="accent1" w:themeFillTint="33"/>
                  </w:tcPr>
                  <w:p>
                    <w:pPr>
                      <w:ind w:left="-57" w:right="-57"/>
                      <w:jc w:val="center"/>
                      <w:rPr>
                        <w:b/>
                        <w:sz w:val="20"/>
                      </w:rPr>
                    </w:pPr>
                    <w:r>
                      <w:rPr>
                        <w:b/>
                        <w:sz w:val="16"/>
                        <w:szCs w:val="16"/>
                      </w:rPr>
                      <w:t>7</w:t>
                    </w:r>
                  </w:p>
                </w:tc>
                <w:tc>
                  <w:tcPr>
                    <w:tcW w:w="850" w:type="dxa"/>
                    <w:shd w:val="clear" w:color="auto" w:fill="DEEAF6" w:themeFill="accent1" w:themeFillTint="33"/>
                  </w:tcPr>
                  <w:p>
                    <w:pPr>
                      <w:ind w:left="-57" w:right="-57"/>
                      <w:jc w:val="center"/>
                      <w:rPr>
                        <w:b/>
                        <w:sz w:val="20"/>
                      </w:rPr>
                    </w:pPr>
                    <w:r>
                      <w:rPr>
                        <w:b/>
                        <w:sz w:val="16"/>
                        <w:szCs w:val="16"/>
                      </w:rPr>
                      <w:t>8</w:t>
                    </w:r>
                  </w:p>
                </w:tc>
                <w:tc>
                  <w:tcPr>
                    <w:tcW w:w="1276" w:type="dxa"/>
                    <w:shd w:val="clear" w:color="auto" w:fill="DEEAF6" w:themeFill="accent1" w:themeFillTint="33"/>
                  </w:tcPr>
                  <w:p>
                    <w:pPr>
                      <w:ind w:left="-57" w:right="-57"/>
                      <w:jc w:val="center"/>
                      <w:rPr>
                        <w:b/>
                        <w:sz w:val="20"/>
                      </w:rPr>
                    </w:pPr>
                    <w:r>
                      <w:rPr>
                        <w:b/>
                        <w:sz w:val="16"/>
                        <w:szCs w:val="16"/>
                      </w:rPr>
                      <w:t>9</w:t>
                    </w:r>
                  </w:p>
                </w:tc>
                <w:tc>
                  <w:tcPr>
                    <w:tcW w:w="1134" w:type="dxa"/>
                    <w:shd w:val="clear" w:color="auto" w:fill="DEEAF6" w:themeFill="accent1" w:themeFillTint="33"/>
                  </w:tcPr>
                  <w:p>
                    <w:pPr>
                      <w:ind w:left="-57" w:right="-57"/>
                      <w:jc w:val="center"/>
                      <w:rPr>
                        <w:b/>
                        <w:sz w:val="20"/>
                      </w:rPr>
                    </w:pPr>
                    <w:r>
                      <w:rPr>
                        <w:b/>
                        <w:sz w:val="16"/>
                        <w:szCs w:val="16"/>
                      </w:rPr>
                      <w:t>10</w:t>
                    </w:r>
                  </w:p>
                </w:tc>
                <w:tc>
                  <w:tcPr>
                    <w:tcW w:w="708" w:type="dxa"/>
                    <w:shd w:val="clear" w:color="auto" w:fill="DEEAF6" w:themeFill="accent1" w:themeFillTint="33"/>
                  </w:tcPr>
                  <w:p>
                    <w:pPr>
                      <w:ind w:left="-57" w:right="-57"/>
                      <w:jc w:val="center"/>
                      <w:rPr>
                        <w:b/>
                        <w:sz w:val="20"/>
                      </w:rPr>
                    </w:pPr>
                    <w:r>
                      <w:rPr>
                        <w:b/>
                        <w:sz w:val="16"/>
                        <w:szCs w:val="16"/>
                      </w:rPr>
                      <w:t>11</w:t>
                    </w:r>
                  </w:p>
                </w:tc>
                <w:tc>
                  <w:tcPr>
                    <w:tcW w:w="568" w:type="dxa"/>
                    <w:shd w:val="clear" w:color="auto" w:fill="DEEAF6" w:themeFill="accent1" w:themeFillTint="33"/>
                  </w:tcPr>
                  <w:p>
                    <w:pPr>
                      <w:ind w:left="-57" w:right="-57"/>
                      <w:jc w:val="center"/>
                      <w:rPr>
                        <w:b/>
                        <w:sz w:val="20"/>
                      </w:rPr>
                    </w:pPr>
                    <w:r>
                      <w:rPr>
                        <w:b/>
                        <w:sz w:val="16"/>
                        <w:szCs w:val="16"/>
                      </w:rPr>
                      <w:t>12</w:t>
                    </w:r>
                  </w:p>
                </w:tc>
              </w:tr>
              <w:tr>
                <w:trPr>
                  <w:trHeight w:val="1266"/>
                </w:trPr>
                <w:tc>
                  <w:tcPr>
                    <w:tcW w:w="1135" w:type="dxa"/>
                  </w:tcPr>
                  <w:p>
                    <w:pPr>
                      <w:ind w:left="-57" w:right="-57"/>
                      <w:rPr>
                        <w:i/>
                        <w:sz w:val="20"/>
                      </w:rPr>
                    </w:pPr>
                    <w:r>
                      <w:rPr>
                        <w:sz w:val="18"/>
                        <w:szCs w:val="18"/>
                      </w:rPr>
                      <w:t>1. MTEP vystymo paketas</w:t>
                    </w:r>
                  </w:p>
                </w:tc>
                <w:tc>
                  <w:tcPr>
                    <w:tcW w:w="709" w:type="dxa"/>
                  </w:tcPr>
                  <w:p>
                    <w:pPr>
                      <w:ind w:left="-57" w:right="-57"/>
                      <w:rPr>
                        <w:sz w:val="20"/>
                      </w:rPr>
                    </w:pPr>
                    <w:r>
                      <w:rPr>
                        <w:sz w:val="20"/>
                      </w:rPr>
                      <w:t>I</w:t>
                    </w:r>
                  </w:p>
                </w:tc>
                <w:tc>
                  <w:tcPr>
                    <w:tcW w:w="1275" w:type="dxa"/>
                  </w:tcPr>
                  <w:p>
                    <w:pPr>
                      <w:ind w:left="-57" w:right="-57"/>
                      <w:rPr>
                        <w:sz w:val="20"/>
                      </w:rPr>
                    </w:pPr>
                    <w:r>
                      <w:rPr>
                        <w:sz w:val="18"/>
                        <w:szCs w:val="18"/>
                      </w:rPr>
                      <w:t>MSI, LMT</w:t>
                    </w:r>
                  </w:p>
                </w:tc>
                <w:tc>
                  <w:tcPr>
                    <w:tcW w:w="851" w:type="dxa"/>
                  </w:tcPr>
                  <w:p>
                    <w:pPr>
                      <w:ind w:left="-57" w:right="-57"/>
                      <w:rPr>
                        <w:sz w:val="20"/>
                      </w:rPr>
                    </w:pPr>
                    <w:r>
                      <w:rPr>
                        <w:sz w:val="18"/>
                        <w:szCs w:val="18"/>
                      </w:rPr>
                      <w:t>K, 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1.1, 1.2, 1.3, 1.4, 1.5 ir 1.6)</w:t>
                    </w: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165 565</w:t>
                    </w:r>
                  </w:p>
                  <w:p>
                    <w:pPr>
                      <w:ind w:left="-62" w:right="-62"/>
                      <w:textAlignment w:val="baseline"/>
                      <w:rPr>
                        <w:sz w:val="18"/>
                        <w:szCs w:val="18"/>
                        <w:highlight w:val="yellow"/>
                        <w:lang w:eastAsia="lt-LT"/>
                      </w:rPr>
                    </w:pPr>
                  </w:p>
                  <w:p>
                    <w:pPr>
                      <w:ind w:left="-62" w:right="-62"/>
                      <w:textAlignment w:val="baseline"/>
                      <w:rPr>
                        <w:sz w:val="18"/>
                        <w:szCs w:val="18"/>
                        <w:highlight w:val="yellow"/>
                        <w:lang w:eastAsia="lt-LT"/>
                      </w:rPr>
                    </w:pPr>
                  </w:p>
                  <w:p>
                    <w:pPr>
                      <w:ind w:left="-62" w:right="-62"/>
                      <w:textAlignment w:val="baseline"/>
                      <w:rPr>
                        <w:sz w:val="18"/>
                        <w:szCs w:val="18"/>
                        <w:lang w:eastAsia="lt-LT"/>
                      </w:rPr>
                    </w:pPr>
                    <w:r>
                      <w:rPr>
                        <w:sz w:val="18"/>
                        <w:szCs w:val="18"/>
                        <w:lang w:eastAsia="lt-LT"/>
                      </w:rPr>
                      <w:t>34 768</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1.1, 1.2, 1.3, 1.4, 1.5 ir 1.6.</w:t>
                    </w:r>
                  </w:p>
                  <w:p>
                    <w:pPr>
                      <w:ind w:left="-57" w:right="-57"/>
                      <w:rPr>
                        <w:sz w:val="18"/>
                        <w:szCs w:val="18"/>
                      </w:rPr>
                    </w:pPr>
                  </w:p>
                  <w:p>
                    <w:pPr>
                      <w:ind w:left="-57" w:right="-57"/>
                      <w:rPr>
                        <w:sz w:val="18"/>
                        <w:szCs w:val="18"/>
                      </w:rPr>
                    </w:pPr>
                  </w:p>
                  <w:p>
                    <w:pPr>
                      <w:ind w:left="-57" w:right="-57"/>
                      <w:rPr>
                        <w:sz w:val="18"/>
                        <w:szCs w:val="18"/>
                      </w:rPr>
                    </w:pPr>
                    <w:r>
                      <w:rPr>
                        <w:sz w:val="18"/>
                        <w:szCs w:val="18"/>
                      </w:rPr>
                      <w:t>R – Mokslo ir studijų institucijų pajamų už ūkio subjektų (įskaitant viešąjį sektorių) mokslinių tyrimų ir eksperimentinės plėtros užsakymus suma, tūkst. Eur</w:t>
                    </w:r>
                  </w:p>
                  <w:p>
                    <w:pPr>
                      <w:ind w:left="-57" w:right="-57"/>
                      <w:rPr>
                        <w:sz w:val="18"/>
                        <w:szCs w:val="18"/>
                      </w:rPr>
                    </w:pPr>
                  </w:p>
                  <w:p>
                    <w:pPr>
                      <w:rPr>
                        <w:rFonts w:ascii="TimesNewRomanPSMT" w:hAnsi="TimesNewRomanPSMT" w:cs="TimesNewRomanPSMT"/>
                        <w:color w:val="000000"/>
                        <w:sz w:val="20"/>
                      </w:rPr>
                    </w:pPr>
                    <w:r>
                      <w:rPr>
                        <w:sz w:val="18"/>
                        <w:szCs w:val="18"/>
                      </w:rPr>
                      <w:t xml:space="preserve">R – Publikacijų pagal </w:t>
                    </w:r>
                    <w:r>
                      <w:rPr>
                        <w:i/>
                        <w:iCs/>
                        <w:sz w:val="18"/>
                        <w:szCs w:val="18"/>
                      </w:rPr>
                      <w:t>CA WoS</w:t>
                    </w:r>
                    <w:r>
                      <w:rPr>
                        <w:sz w:val="18"/>
                        <w:szCs w:val="18"/>
                      </w:rPr>
                      <w:t xml:space="preserve"> duomenų bazę skaičius, vienetai (kaupiamuoju būdu)</w:t>
                    </w:r>
                  </w:p>
                </w:tc>
                <w:tc>
                  <w:tcPr>
                    <w:tcW w:w="1134" w:type="dxa"/>
                  </w:tcPr>
                  <w:p>
                    <w:pPr>
                      <w:ind w:left="-57" w:right="-57"/>
                      <w:rPr>
                        <w:sz w:val="18"/>
                        <w:szCs w:val="18"/>
                      </w:rPr>
                    </w:pPr>
                    <w:r>
                      <w:rPr>
                        <w:sz w:val="18"/>
                        <w:szCs w:val="18"/>
                      </w:rPr>
                      <w:t>Visos reikšmės iš 1.1–1.6</w:t>
                    </w:r>
                  </w:p>
                  <w:p>
                    <w:pPr>
                      <w:ind w:left="-57" w:right="-57"/>
                      <w:rPr>
                        <w:sz w:val="18"/>
                        <w:szCs w:val="18"/>
                      </w:rPr>
                    </w:pPr>
                  </w:p>
                  <w:p>
                    <w:pPr>
                      <w:ind w:left="-57" w:right="-57"/>
                      <w:rPr>
                        <w:sz w:val="18"/>
                        <w:szCs w:val="18"/>
                      </w:rPr>
                    </w:pPr>
                  </w:p>
                  <w:p>
                    <w:pPr>
                      <w:ind w:left="-57" w:right="-57"/>
                      <w:rPr>
                        <w:sz w:val="18"/>
                        <w:szCs w:val="18"/>
                      </w:rPr>
                    </w:pPr>
                    <w:r>
                      <w:rPr>
                        <w:sz w:val="18"/>
                        <w:szCs w:val="18"/>
                      </w:rPr>
                      <w:t>21 000 (2030)</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r>
                      <w:rPr>
                        <w:sz w:val="18"/>
                        <w:szCs w:val="18"/>
                      </w:rPr>
                      <w:t>31 660 (2030)</w:t>
                    </w:r>
                  </w:p>
                </w:tc>
                <w:tc>
                  <w:tcPr>
                    <w:tcW w:w="708" w:type="dxa"/>
                  </w:tcPr>
                  <w:p>
                    <w:pPr>
                      <w:ind w:left="-57" w:right="-57"/>
                      <w:rPr>
                        <w:sz w:val="20"/>
                      </w:rPr>
                    </w:pPr>
                    <w:r>
                      <w:rPr>
                        <w:sz w:val="20"/>
                      </w:rPr>
                      <w:t>CPVA</w:t>
                    </w:r>
                  </w:p>
                </w:tc>
                <w:tc>
                  <w:tcPr>
                    <w:tcW w:w="568" w:type="dxa"/>
                  </w:tcPr>
                  <w:p>
                    <w:pPr>
                      <w:ind w:left="-57" w:right="-57"/>
                      <w:rPr>
                        <w:sz w:val="20"/>
                      </w:rPr>
                    </w:pPr>
                    <w:r>
                      <w:rPr>
                        <w:sz w:val="20"/>
                      </w:rPr>
                      <w:t>-</w:t>
                    </w:r>
                  </w:p>
                </w:tc>
              </w:tr>
              <w:tr>
                <w:trPr>
                  <w:trHeight w:val="233"/>
                </w:trPr>
                <w:tc>
                  <w:tcPr>
                    <w:tcW w:w="1135" w:type="dxa"/>
                  </w:tcPr>
                  <w:p>
                    <w:pPr>
                      <w:ind w:left="-57" w:right="-57"/>
                      <w:rPr>
                        <w:sz w:val="20"/>
                      </w:rPr>
                    </w:pPr>
                    <w:r>
                      <w:rPr>
                        <w:sz w:val="18"/>
                        <w:szCs w:val="18"/>
                      </w:rPr>
                      <w:t>1.1. Mokslo ir inovacijų misijų programos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 xml:space="preserve">MSI </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firstLine="159"/>
                      <w:rPr>
                        <w:sz w:val="18"/>
                        <w:szCs w:val="18"/>
                      </w:rPr>
                    </w:pPr>
                    <w:r>
                      <w:rPr>
                        <w:sz w:val="18"/>
                        <w:szCs w:val="18"/>
                      </w:rPr>
                      <w:t>-</w:t>
                    </w:r>
                  </w:p>
                </w:tc>
                <w:tc>
                  <w:tcPr>
                    <w:tcW w:w="850" w:type="dxa"/>
                  </w:tcPr>
                  <w:p>
                    <w:pPr>
                      <w:ind w:right="-57"/>
                      <w:rPr>
                        <w:sz w:val="18"/>
                        <w:szCs w:val="18"/>
                      </w:rPr>
                    </w:pPr>
                    <w:r>
                      <w:rPr>
                        <w:sz w:val="18"/>
                        <w:szCs w:val="18"/>
                      </w:rPr>
                      <w:t>-</w:t>
                    </w:r>
                  </w:p>
                </w:tc>
                <w:tc>
                  <w:tcPr>
                    <w:tcW w:w="1276" w:type="dxa"/>
                  </w:tcPr>
                  <w:p>
                    <w:pPr>
                      <w:ind w:right="-57"/>
                      <w:rPr>
                        <w:sz w:val="20"/>
                      </w:rPr>
                    </w:pPr>
                    <w:r>
                      <w:rPr>
                        <w:sz w:val="20"/>
                      </w:rPr>
                      <w:t>-</w:t>
                    </w:r>
                  </w:p>
                </w:tc>
                <w:tc>
                  <w:tcPr>
                    <w:tcW w:w="1134" w:type="dxa"/>
                  </w:tcPr>
                  <w:p>
                    <w:pPr>
                      <w:ind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EIM</w:t>
                    </w:r>
                  </w:p>
                </w:tc>
              </w:tr>
              <w:tr>
                <w:trPr>
                  <w:trHeight w:val="233"/>
                </w:trPr>
                <w:tc>
                  <w:tcPr>
                    <w:tcW w:w="1135" w:type="dxa"/>
                  </w:tcPr>
                  <w:p>
                    <w:pPr>
                      <w:ind w:left="-57" w:right="-57"/>
                      <w:rPr>
                        <w:sz w:val="20"/>
                      </w:rPr>
                    </w:pPr>
                    <w:r>
                      <w:rPr>
                        <w:sz w:val="18"/>
                        <w:szCs w:val="18"/>
                      </w:rPr>
                      <w:t>1.2. Valstybės MTEP užsakymai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1.3. Mokslininkų inicijuoti projektai</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MSI</w:t>
                    </w:r>
                  </w:p>
                </w:tc>
                <w:tc>
                  <w:tcPr>
                    <w:tcW w:w="851" w:type="dxa"/>
                  </w:tcPr>
                  <w:p>
                    <w:pPr>
                      <w:ind w:left="-57" w:right="-57"/>
                      <w:rPr>
                        <w:sz w:val="20"/>
                      </w:rPr>
                    </w:pPr>
                    <w:r>
                      <w:rPr>
                        <w:sz w:val="18"/>
                        <w:szCs w:val="18"/>
                      </w:rPr>
                      <w:t>K</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bCs/>
                        <w:sz w:val="18"/>
                        <w:szCs w:val="18"/>
                      </w:rPr>
                    </w:pPr>
                    <w:r>
                      <w:rPr>
                        <w:bCs/>
                        <w:sz w:val="18"/>
                        <w:szCs w:val="18"/>
                      </w:rPr>
                      <w:t>-</w:t>
                    </w:r>
                  </w:p>
                </w:tc>
                <w:tc>
                  <w:tcPr>
                    <w:tcW w:w="1276" w:type="dxa"/>
                  </w:tcPr>
                  <w:p>
                    <w:pPr>
                      <w:ind w:left="-57" w:right="-57"/>
                      <w:rPr>
                        <w:sz w:val="20"/>
                      </w:rPr>
                    </w:pPr>
                    <w:r>
                      <w:rPr>
                        <w:sz w:val="20"/>
                      </w:rPr>
                      <w:t>-</w:t>
                    </w:r>
                  </w:p>
                </w:tc>
                <w:tc>
                  <w:tcPr>
                    <w:tcW w:w="1134" w:type="dxa"/>
                  </w:tcPr>
                  <w:p>
                    <w:pPr>
                      <w:ind w:left="-57" w:right="-57"/>
                      <w:rPr>
                        <w:sz w:val="20"/>
                      </w:rPr>
                    </w:pPr>
                    <w:r>
                      <w:rPr>
                        <w:sz w:val="20"/>
                      </w:rPr>
                      <w:t>-</w:t>
                    </w:r>
                  </w:p>
                </w:tc>
                <w:tc>
                  <w:tcPr>
                    <w:tcW w:w="708" w:type="dxa"/>
                  </w:tcPr>
                  <w:p>
                    <w:pPr>
                      <w:ind w:left="-57" w:right="-57"/>
                      <w:rPr>
                        <w:sz w:val="20"/>
                      </w:rPr>
                    </w:pPr>
                    <w:r>
                      <w:rPr>
                        <w:sz w:val="18"/>
                        <w:szCs w:val="18"/>
                      </w:rPr>
                      <w:t>LMT</w:t>
                    </w:r>
                  </w:p>
                </w:tc>
                <w:tc>
                  <w:tcPr>
                    <w:tcW w:w="568" w:type="dxa"/>
                  </w:tcPr>
                  <w:p>
                    <w:pPr>
                      <w:ind w:left="-57" w:right="-57"/>
                      <w:rPr>
                        <w:sz w:val="20"/>
                      </w:rPr>
                    </w:pPr>
                    <w:r>
                      <w:rPr>
                        <w:sz w:val="18"/>
                        <w:szCs w:val="18"/>
                      </w:rPr>
                      <w:t>-</w:t>
                    </w:r>
                  </w:p>
                </w:tc>
              </w:tr>
              <w:tr>
                <w:trPr>
                  <w:trHeight w:val="233"/>
                </w:trPr>
                <w:tc>
                  <w:tcPr>
                    <w:tcW w:w="1135" w:type="dxa"/>
                  </w:tcPr>
                  <w:p>
                    <w:pPr>
                      <w:ind w:left="-57" w:right="-57"/>
                      <w:rPr>
                        <w:sz w:val="20"/>
                      </w:rPr>
                    </w:pPr>
                    <w:r>
                      <w:rPr>
                        <w:sz w:val="18"/>
                        <w:szCs w:val="18"/>
                      </w:rPr>
                      <w:t>1.4. Skatinti vykdyti taikomuosius MTEP</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1.4.1, 1.4.2 ir 1.4.3)</w:t>
                    </w:r>
                  </w:p>
                  <w:p>
                    <w:pPr>
                      <w:ind w:left="-57" w:right="-57"/>
                      <w:rPr>
                        <w:sz w:val="18"/>
                        <w:szCs w:val="18"/>
                      </w:rPr>
                    </w:pPr>
                  </w:p>
                  <w:p>
                    <w:pPr>
                      <w:ind w:left="-57" w:right="-57"/>
                      <w:rPr>
                        <w:sz w:val="18"/>
                        <w:szCs w:val="18"/>
                      </w:rPr>
                    </w:pPr>
                    <w:r>
                      <w:rPr>
                        <w:sz w:val="18"/>
                        <w:szCs w:val="18"/>
                      </w:rPr>
                      <w:t>92 254</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19 373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1.4.1, 1.4.2 ir 1.4.3</w:t>
                    </w: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1134" w:type="dxa"/>
                  </w:tcPr>
                  <w:p>
                    <w:pPr>
                      <w:ind w:left="-62" w:right="-62"/>
                      <w:textAlignment w:val="baseline"/>
                      <w:rPr>
                        <w:sz w:val="18"/>
                        <w:szCs w:val="18"/>
                        <w:lang w:eastAsia="lt-LT"/>
                      </w:rPr>
                    </w:pPr>
                    <w:r>
                      <w:rPr>
                        <w:sz w:val="18"/>
                        <w:szCs w:val="18"/>
                        <w:lang w:eastAsia="lt-LT"/>
                      </w:rPr>
                      <w:t>Visos reikšmės iš 1.4.1, 1.4.2 ir 1.4.3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1.4.1. Skatinti vykdyti taikomuosius MTEP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65 718 </w:t>
                    </w:r>
                  </w:p>
                  <w:p>
                    <w:pPr>
                      <w:ind w:left="-57" w:right="-57"/>
                      <w:rPr>
                        <w:sz w:val="18"/>
                        <w:szCs w:val="18"/>
                      </w:rPr>
                    </w:pPr>
                  </w:p>
                  <w:p>
                    <w:pPr>
                      <w:ind w:left="-57" w:right="-57"/>
                      <w:rPr>
                        <w:sz w:val="18"/>
                        <w:szCs w:val="18"/>
                      </w:rPr>
                    </w:pPr>
                  </w:p>
                  <w:p>
                    <w:pPr>
                      <w:ind w:left="-57" w:right="-57"/>
                      <w:rPr>
                        <w:sz w:val="18"/>
                        <w:szCs w:val="18"/>
                      </w:rPr>
                    </w:pPr>
                    <w:r>
                      <w:rPr>
                        <w:sz w:val="18"/>
                        <w:szCs w:val="18"/>
                      </w:rPr>
                      <w:t>13 801</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285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13 143 570 </w:t>
                    </w:r>
                  </w:p>
                  <w:p>
                    <w:pPr>
                      <w:ind w:left="-60" w:right="-60"/>
                      <w:textAlignment w:val="baseline"/>
                      <w:rPr>
                        <w:sz w:val="18"/>
                        <w:szCs w:val="18"/>
                        <w:lang w:eastAsia="lt-LT"/>
                      </w:rPr>
                    </w:pPr>
                    <w:r>
                      <w:rPr>
                        <w:sz w:val="18"/>
                        <w:szCs w:val="18"/>
                        <w:lang w:eastAsia="lt-LT"/>
                      </w:rPr>
                      <w:t>(2029)</w:t>
                    </w: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635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1.4.2. Skatinti vykdyti taikomuosius MTEP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26 536 </w:t>
                    </w:r>
                  </w:p>
                  <w:p>
                    <w:pPr>
                      <w:ind w:left="-57" w:right="-57"/>
                      <w:rPr>
                        <w:sz w:val="18"/>
                        <w:szCs w:val="18"/>
                      </w:rPr>
                    </w:pPr>
                  </w:p>
                  <w:p>
                    <w:pPr>
                      <w:ind w:left="-57" w:right="-57"/>
                      <w:rPr>
                        <w:sz w:val="18"/>
                        <w:szCs w:val="18"/>
                      </w:rPr>
                    </w:pPr>
                  </w:p>
                  <w:p>
                    <w:pPr>
                      <w:ind w:left="-57" w:right="-57"/>
                      <w:rPr>
                        <w:sz w:val="18"/>
                        <w:szCs w:val="18"/>
                      </w:rPr>
                    </w:pPr>
                    <w:r>
                      <w:rPr>
                        <w:sz w:val="18"/>
                        <w:szCs w:val="18"/>
                      </w:rPr>
                      <w:t>5 572 </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Su mokslinių tyrimų organizacijomis bendradarbiaujančios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460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5 307 190</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45 (2029)</w:t>
                    </w: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260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1.4.3. Technologinės plėtros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1.5. Žinių perdavimo ir komercinimo sistemos stiprinimas</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1.5.1 ir 1.5.2)</w:t>
                    </w:r>
                  </w:p>
                  <w:p>
                    <w:pPr>
                      <w:ind w:left="-57" w:right="-57"/>
                      <w:rPr>
                        <w:sz w:val="18"/>
                        <w:szCs w:val="18"/>
                      </w:rPr>
                    </w:pPr>
                  </w:p>
                  <w:p>
                    <w:pPr>
                      <w:ind w:left="-57" w:right="-57"/>
                      <w:rPr>
                        <w:sz w:val="18"/>
                        <w:szCs w:val="18"/>
                      </w:rPr>
                    </w:pPr>
                    <w:r>
                      <w:rPr>
                        <w:sz w:val="18"/>
                        <w:szCs w:val="18"/>
                      </w:rPr>
                      <w:t>31 823</w:t>
                    </w:r>
                  </w:p>
                  <w:p>
                    <w:pPr>
                      <w:ind w:left="-57" w:right="-57"/>
                      <w:rPr>
                        <w:sz w:val="18"/>
                        <w:szCs w:val="18"/>
                      </w:rPr>
                    </w:pPr>
                  </w:p>
                  <w:p>
                    <w:pPr>
                      <w:ind w:left="-57" w:right="-57"/>
                      <w:rPr>
                        <w:sz w:val="18"/>
                        <w:szCs w:val="18"/>
                      </w:rPr>
                    </w:pPr>
                  </w:p>
                  <w:p>
                    <w:pPr>
                      <w:ind w:left="-57" w:right="-57"/>
                      <w:rPr>
                        <w:sz w:val="18"/>
                        <w:szCs w:val="18"/>
                      </w:rPr>
                    </w:pPr>
                    <w:r>
                      <w:rPr>
                        <w:sz w:val="18"/>
                        <w:szCs w:val="18"/>
                      </w:rPr>
                      <w:t>6 683</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p>
                  <w:p>
                    <w:pPr>
                      <w:ind w:left="-57" w:right="-57"/>
                      <w:rPr>
                        <w:bCs/>
                        <w:sz w:val="18"/>
                        <w:szCs w:val="18"/>
                      </w:rPr>
                    </w:pPr>
                    <w:r>
                      <w:rPr>
                        <w:sz w:val="18"/>
                        <w:szCs w:val="18"/>
                      </w:rPr>
                      <w:t>VB</w:t>
                    </w:r>
                  </w:p>
                </w:tc>
                <w:tc>
                  <w:tcPr>
                    <w:tcW w:w="1276" w:type="dxa"/>
                  </w:tcPr>
                  <w:p>
                    <w:pPr>
                      <w:ind w:left="-57" w:right="-57"/>
                      <w:rPr>
                        <w:sz w:val="20"/>
                      </w:rPr>
                    </w:pPr>
                    <w:r>
                      <w:rPr>
                        <w:sz w:val="18"/>
                        <w:szCs w:val="18"/>
                      </w:rPr>
                      <w:t>Visi rodikliai iš 1.5.1 ir 1.5.2</w:t>
                    </w:r>
                  </w:p>
                </w:tc>
                <w:tc>
                  <w:tcPr>
                    <w:tcW w:w="1134" w:type="dxa"/>
                  </w:tcPr>
                  <w:p>
                    <w:pPr>
                      <w:ind w:left="-62" w:right="-62"/>
                      <w:textAlignment w:val="baseline"/>
                      <w:rPr>
                        <w:sz w:val="18"/>
                        <w:szCs w:val="18"/>
                        <w:lang w:eastAsia="lt-LT"/>
                      </w:rPr>
                    </w:pPr>
                    <w:r>
                      <w:rPr>
                        <w:sz w:val="18"/>
                        <w:szCs w:val="18"/>
                        <w:lang w:eastAsia="lt-LT"/>
                      </w:rPr>
                      <w:t>Visos reikšmės iš 1.5.1 ir 1.5.2</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1.5.1. Žinių perdavimo ir komercinimo sistemos stiprinimas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19 889 </w:t>
                    </w:r>
                  </w:p>
                  <w:p>
                    <w:pPr>
                      <w:ind w:left="-57" w:right="-57"/>
                      <w:rPr>
                        <w:sz w:val="18"/>
                        <w:szCs w:val="18"/>
                      </w:rPr>
                    </w:pPr>
                  </w:p>
                  <w:p>
                    <w:pPr>
                      <w:ind w:left="-57" w:right="-57"/>
                      <w:rPr>
                        <w:sz w:val="18"/>
                        <w:szCs w:val="18"/>
                      </w:rPr>
                    </w:pPr>
                  </w:p>
                  <w:p>
                    <w:pPr>
                      <w:ind w:left="-57" w:right="-57"/>
                      <w:rPr>
                        <w:sz w:val="18"/>
                        <w:szCs w:val="18"/>
                      </w:rPr>
                    </w:pPr>
                    <w:r>
                      <w:rPr>
                        <w:sz w:val="18"/>
                        <w:szCs w:val="18"/>
                      </w:rPr>
                      <w:t>4 177</w:t>
                    </w:r>
                  </w:p>
                </w:tc>
                <w:tc>
                  <w:tcPr>
                    <w:tcW w:w="850" w:type="dxa"/>
                  </w:tcPr>
                  <w:p>
                    <w:pPr>
                      <w:ind w:left="-60" w:right="-60"/>
                      <w:textAlignment w:val="baseline"/>
                      <w:rPr>
                        <w:sz w:val="18"/>
                        <w:szCs w:val="18"/>
                        <w:lang w:eastAsia="lt-LT"/>
                      </w:rPr>
                    </w:pPr>
                    <w:r>
                      <w:rPr>
                        <w:sz w:val="18"/>
                        <w:szCs w:val="18"/>
                        <w:lang w:eastAsia="lt-LT"/>
                      </w:rPr>
                      <w:t>2021–2027 IP </w:t>
                    </w:r>
                  </w:p>
                  <w:p>
                    <w:pPr>
                      <w:ind w:left="-57" w:right="-57"/>
                      <w:rPr>
                        <w:sz w:val="18"/>
                        <w:szCs w:val="18"/>
                      </w:rPr>
                    </w:pPr>
                  </w:p>
                  <w:p>
                    <w:pPr>
                      <w:ind w:left="-57" w:right="-57"/>
                      <w:rPr>
                        <w:sz w:val="18"/>
                        <w:szCs w:val="18"/>
                      </w:rPr>
                    </w:pPr>
                    <w:r>
                      <w:rPr>
                        <w:sz w:val="18"/>
                        <w:szCs w:val="18"/>
                      </w:rPr>
                      <w:t>VB</w:t>
                    </w:r>
                  </w:p>
                  <w:p>
                    <w:pPr>
                      <w:ind w:left="-57" w:right="-57"/>
                      <w:rPr>
                        <w:sz w:val="18"/>
                        <w:szCs w:val="18"/>
                      </w:rPr>
                    </w:pP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3 977 840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140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1.5.2. Žinių perdavimo ir komercinimo sistemos stiprinimas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rPr>
                      <w:t>VB</w:t>
                    </w:r>
                  </w:p>
                </w:tc>
                <w:tc>
                  <w:tcPr>
                    <w:tcW w:w="1276" w:type="dxa"/>
                  </w:tcPr>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Investicijas gavusių mokslo ir studijų institucijų skaičius  </w:t>
                    </w:r>
                  </w:p>
                  <w:p>
                    <w:pPr>
                      <w:ind w:left="-60" w:right="-60" w:firstLine="48"/>
                      <w:textAlignment w:val="baseline"/>
                      <w:rPr>
                        <w:sz w:val="18"/>
                        <w:szCs w:val="18"/>
                        <w:lang w:eastAsia="lt-LT"/>
                      </w:rPr>
                    </w:pPr>
                  </w:p>
                  <w:p>
                    <w:pPr>
                      <w:ind w:left="-57" w:right="-57"/>
                      <w:rPr>
                        <w:sz w:val="18"/>
                        <w:szCs w:val="18"/>
                      </w:rPr>
                    </w:pPr>
                    <w:r>
                      <w:rPr>
                        <w:sz w:val="18"/>
                        <w:szCs w:val="18"/>
                      </w:rPr>
                      <w:t>R – Investicijas gavusių mokslo ir studijų institucijų gautų MTEP užsakymų skaičius </w:t>
                    </w:r>
                  </w:p>
                </w:tc>
                <w:tc>
                  <w:tcPr>
                    <w:tcW w:w="1134" w:type="dxa"/>
                  </w:tcPr>
                  <w:p>
                    <w:pPr>
                      <w:textAlignment w:val="baseline"/>
                      <w:rPr>
                        <w:sz w:val="18"/>
                        <w:szCs w:val="18"/>
                        <w:lang w:eastAsia="lt-LT"/>
                      </w:rPr>
                    </w:pPr>
                    <w:r>
                      <w:rPr>
                        <w:sz w:val="18"/>
                        <w:szCs w:val="18"/>
                        <w:lang w:eastAsia="lt-LT"/>
                      </w:rPr>
                      <w:t>2 386 710</w:t>
                    </w:r>
                  </w:p>
                  <w:p>
                    <w:pPr>
                      <w:textAlignment w:val="baseline"/>
                      <w:rPr>
                        <w:sz w:val="18"/>
                        <w:szCs w:val="18"/>
                        <w:lang w:eastAsia="lt-LT"/>
                      </w:rPr>
                    </w:pPr>
                    <w:r>
                      <w:rPr>
                        <w:sz w:val="18"/>
                        <w:szCs w:val="18"/>
                        <w:lang w:eastAsia="lt-LT"/>
                      </w:rPr>
                      <w:t>(2029)</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r>
                      <w:rPr>
                        <w:sz w:val="18"/>
                        <w:szCs w:val="18"/>
                        <w:lang w:eastAsia="lt-LT"/>
                      </w:rPr>
                      <w:t>6 (2029)</w:t>
                    </w:r>
                  </w:p>
                  <w:p>
                    <w:pPr>
                      <w:ind w:firstLine="48"/>
                      <w:textAlignment w:val="baseline"/>
                      <w:rPr>
                        <w:sz w:val="18"/>
                        <w:szCs w:val="18"/>
                        <w:lang w:eastAsia="lt-LT"/>
                      </w:rPr>
                    </w:pP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r>
                      <w:rPr>
                        <w:sz w:val="18"/>
                        <w:szCs w:val="18"/>
                      </w:rPr>
                      <w:t>85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091"/>
                </w:trPr>
                <w:tc>
                  <w:tcPr>
                    <w:tcW w:w="1135" w:type="dxa"/>
                  </w:tcPr>
                  <w:p>
                    <w:pPr>
                      <w:ind w:left="-57" w:right="-57"/>
                      <w:rPr>
                        <w:sz w:val="20"/>
                      </w:rPr>
                    </w:pPr>
                    <w:r>
                      <w:rPr>
                        <w:sz w:val="18"/>
                        <w:szCs w:val="18"/>
                      </w:rPr>
                      <w:t>1.6. Mokslo vadybos ir žinių komercinimo gebėjimų mokslo ir studijų institucijose stiprinimas (</w:t>
                    </w:r>
                    <w:r>
                      <w:rPr>
                        <w:i/>
                        <w:sz w:val="18"/>
                        <w:szCs w:val="18"/>
                      </w:rPr>
                      <w:t>spin-off</w:t>
                    </w:r>
                    <w:r>
                      <w:rPr>
                        <w:sz w:val="18"/>
                        <w:szCs w:val="18"/>
                      </w:rPr>
                      <w:t>)</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w:t>
                    </w:r>
                  </w:p>
                </w:tc>
                <w:tc>
                  <w:tcPr>
                    <w:tcW w:w="851" w:type="dxa"/>
                  </w:tcPr>
                  <w:p>
                    <w:pPr>
                      <w:ind w:left="-57" w:right="-57"/>
                      <w:rPr>
                        <w:sz w:val="20"/>
                      </w:rPr>
                    </w:pPr>
                    <w:r>
                      <w:rPr>
                        <w:sz w:val="18"/>
                        <w:szCs w:val="18"/>
                      </w:rPr>
                      <w:t>P</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1.6.1, 1.6.2 ir 1.6.3)</w:t>
                    </w:r>
                  </w:p>
                  <w:p>
                    <w:pPr>
                      <w:ind w:left="-57" w:right="-57"/>
                      <w:rPr>
                        <w:sz w:val="18"/>
                        <w:szCs w:val="18"/>
                      </w:rPr>
                    </w:pPr>
                  </w:p>
                  <w:p>
                    <w:pPr>
                      <w:ind w:left="-57" w:right="-57"/>
                      <w:rPr>
                        <w:sz w:val="18"/>
                        <w:szCs w:val="18"/>
                      </w:rPr>
                    </w:pPr>
                  </w:p>
                  <w:p>
                    <w:pPr>
                      <w:ind w:left="-57" w:right="-57"/>
                      <w:rPr>
                        <w:sz w:val="18"/>
                        <w:szCs w:val="18"/>
                      </w:rPr>
                    </w:pPr>
                    <w:r>
                      <w:rPr>
                        <w:sz w:val="18"/>
                        <w:szCs w:val="18"/>
                      </w:rPr>
                      <w:t>41 488</w:t>
                    </w:r>
                  </w:p>
                  <w:p>
                    <w:pPr>
                      <w:ind w:left="-57" w:right="-57"/>
                      <w:rPr>
                        <w:sz w:val="18"/>
                        <w:szCs w:val="18"/>
                      </w:rPr>
                    </w:pPr>
                  </w:p>
                  <w:p>
                    <w:pPr>
                      <w:ind w:left="-57" w:right="-57"/>
                      <w:rPr>
                        <w:sz w:val="18"/>
                        <w:szCs w:val="18"/>
                      </w:rPr>
                    </w:pPr>
                  </w:p>
                  <w:p>
                    <w:pPr>
                      <w:ind w:left="-57" w:right="-57"/>
                      <w:rPr>
                        <w:sz w:val="18"/>
                        <w:szCs w:val="18"/>
                      </w:rPr>
                    </w:pPr>
                    <w:r>
                      <w:rPr>
                        <w:sz w:val="18"/>
                        <w:szCs w:val="18"/>
                      </w:rPr>
                      <w:t>8 712</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bCs/>
                        <w:sz w:val="18"/>
                        <w:szCs w:val="18"/>
                      </w:rPr>
                    </w:pPr>
                    <w:r>
                      <w:rPr>
                        <w:sz w:val="18"/>
                        <w:szCs w:val="18"/>
                      </w:rPr>
                      <w:t>VB</w:t>
                    </w:r>
                  </w:p>
                </w:tc>
                <w:tc>
                  <w:tcPr>
                    <w:tcW w:w="1276" w:type="dxa"/>
                  </w:tcPr>
                  <w:p>
                    <w:pPr>
                      <w:ind w:left="-62" w:right="-62"/>
                      <w:textAlignment w:val="baseline"/>
                      <w:rPr>
                        <w:sz w:val="18"/>
                        <w:szCs w:val="18"/>
                        <w:lang w:eastAsia="lt-LT"/>
                      </w:rPr>
                    </w:pPr>
                    <w:r>
                      <w:rPr>
                        <w:sz w:val="18"/>
                        <w:szCs w:val="18"/>
                        <w:lang w:eastAsia="lt-LT"/>
                      </w:rPr>
                      <w:t>Visi rodikliai iš 1.6.1, 1.6.2 ir 1.6.3</w:t>
                    </w:r>
                  </w:p>
                  <w:p>
                    <w:pPr>
                      <w:ind w:left="-57" w:right="-57"/>
                      <w:rPr>
                        <w:sz w:val="18"/>
                        <w:szCs w:val="18"/>
                      </w:rPr>
                    </w:pPr>
                  </w:p>
                  <w:p>
                    <w:pPr>
                      <w:ind w:left="-57" w:right="-57" w:firstLine="48"/>
                      <w:rPr>
                        <w:sz w:val="20"/>
                      </w:rPr>
                    </w:pPr>
                  </w:p>
                </w:tc>
                <w:tc>
                  <w:tcPr>
                    <w:tcW w:w="1134" w:type="dxa"/>
                  </w:tcPr>
                  <w:p>
                    <w:pPr>
                      <w:ind w:left="-62" w:right="-62"/>
                      <w:textAlignment w:val="baseline"/>
                      <w:rPr>
                        <w:sz w:val="18"/>
                        <w:szCs w:val="18"/>
                        <w:lang w:eastAsia="lt-LT"/>
                      </w:rPr>
                    </w:pPr>
                    <w:r>
                      <w:rPr>
                        <w:sz w:val="18"/>
                        <w:szCs w:val="18"/>
                        <w:lang w:eastAsia="lt-LT"/>
                      </w:rPr>
                      <w:t>Visos reikšmės iš 1.6.1, 1.6.2 ir 1.6.3</w:t>
                    </w: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1.6.1. Mokslo vadybos ir žinių komercinimo gebėjimų mokslo ir studijų institucijose stiprinimas (</w:t>
                    </w:r>
                    <w:r>
                      <w:rPr>
                        <w:i/>
                        <w:sz w:val="18"/>
                        <w:szCs w:val="18"/>
                      </w:rPr>
                      <w:t>spin-off</w:t>
                    </w:r>
                    <w:r>
                      <w:rPr>
                        <w:sz w:val="18"/>
                        <w:szCs w:val="18"/>
                      </w:rPr>
                      <w:t>) (Sostinė)</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29 554 </w:t>
                    </w:r>
                  </w:p>
                  <w:p>
                    <w:pPr>
                      <w:ind w:left="-57" w:right="-57"/>
                      <w:rPr>
                        <w:sz w:val="18"/>
                        <w:szCs w:val="18"/>
                      </w:rPr>
                    </w:pPr>
                  </w:p>
                  <w:p>
                    <w:pPr>
                      <w:ind w:left="-57" w:right="-57"/>
                      <w:rPr>
                        <w:sz w:val="18"/>
                        <w:szCs w:val="18"/>
                      </w:rPr>
                    </w:pPr>
                  </w:p>
                  <w:p>
                    <w:pPr>
                      <w:ind w:left="-57" w:right="-57"/>
                      <w:rPr>
                        <w:sz w:val="18"/>
                        <w:szCs w:val="18"/>
                      </w:rPr>
                    </w:pPr>
                    <w:r>
                      <w:rPr>
                        <w:sz w:val="18"/>
                        <w:szCs w:val="18"/>
                      </w:rPr>
                      <w:t>6 206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mažosios,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mažosios)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120 (2029) </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120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120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47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ind w:left="-57" w:right="-57"/>
                      <w:rPr>
                        <w:sz w:val="18"/>
                        <w:szCs w:val="18"/>
                      </w:rPr>
                    </w:pPr>
                    <w:r>
                      <w:rPr>
                        <w:sz w:val="18"/>
                        <w:szCs w:val="18"/>
                      </w:rPr>
                      <w:t>8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1.6.2. Mokslo vadybos ir žinių komercinimo gebėjimų mokslo ir studijų institucijose stiprinimas (</w:t>
                    </w:r>
                    <w:r>
                      <w:rPr>
                        <w:i/>
                        <w:sz w:val="18"/>
                        <w:szCs w:val="18"/>
                      </w:rPr>
                      <w:t>spin-off</w:t>
                    </w:r>
                    <w:r>
                      <w:rPr>
                        <w:sz w:val="18"/>
                        <w:szCs w:val="18"/>
                      </w:rPr>
                      <w:t>) (VVL)</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 xml:space="preserve">LMT </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11 934 </w:t>
                    </w:r>
                  </w:p>
                  <w:p>
                    <w:pPr>
                      <w:ind w:left="-57" w:right="-57"/>
                      <w:rPr>
                        <w:sz w:val="18"/>
                        <w:szCs w:val="18"/>
                      </w:rPr>
                    </w:pPr>
                  </w:p>
                  <w:p>
                    <w:pPr>
                      <w:ind w:left="-57" w:right="-57"/>
                      <w:rPr>
                        <w:sz w:val="18"/>
                        <w:szCs w:val="18"/>
                      </w:rPr>
                    </w:pPr>
                  </w:p>
                  <w:p>
                    <w:pPr>
                      <w:ind w:left="-57" w:right="-57"/>
                      <w:rPr>
                        <w:sz w:val="18"/>
                        <w:szCs w:val="18"/>
                      </w:rPr>
                    </w:pPr>
                    <w:r>
                      <w:rPr>
                        <w:sz w:val="18"/>
                        <w:szCs w:val="18"/>
                      </w:rPr>
                      <w:t>2 506</w:t>
                    </w:r>
                  </w:p>
                </w:tc>
                <w:tc>
                  <w:tcPr>
                    <w:tcW w:w="850" w:type="dxa"/>
                  </w:tcPr>
                  <w:p>
                    <w:pPr>
                      <w:ind w:left="-57" w:right="-57"/>
                      <w:rPr>
                        <w:sz w:val="18"/>
                        <w:szCs w:val="18"/>
                      </w:rPr>
                    </w:pPr>
                    <w:r>
                      <w:rPr>
                        <w:sz w:val="18"/>
                        <w:szCs w:val="18"/>
                      </w:rPr>
                      <w:t>2021–2027 IP </w:t>
                    </w:r>
                  </w:p>
                  <w:p>
                    <w:pPr>
                      <w:ind w:left="-57" w:right="-57"/>
                      <w:rPr>
                        <w:sz w:val="18"/>
                        <w:szCs w:val="18"/>
                      </w:rPr>
                    </w:pPr>
                  </w:p>
                  <w:p>
                    <w:pPr>
                      <w:ind w:left="-57" w:right="-57"/>
                      <w:rPr>
                        <w:sz w:val="18"/>
                        <w:szCs w:val="18"/>
                      </w:rPr>
                    </w:pPr>
                    <w:r>
                      <w:rPr>
                        <w:sz w:val="18"/>
                        <w:szCs w:val="18"/>
                      </w:rPr>
                      <w:t>VB</w:t>
                    </w:r>
                  </w:p>
                </w:tc>
                <w:tc>
                  <w:tcPr>
                    <w:tcW w:w="1276" w:type="dxa"/>
                  </w:tcPr>
                  <w:p>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mažosios, vidutinės ir didelės)</w:t>
                    </w:r>
                  </w:p>
                  <w:p>
                    <w:pPr>
                      <w:ind w:left="-60" w:right="-60"/>
                      <w:textAlignment w:val="baseline"/>
                      <w:rPr>
                        <w:sz w:val="18"/>
                        <w:szCs w:val="18"/>
                        <w:lang w:eastAsia="lt-LT"/>
                      </w:rPr>
                    </w:pPr>
                  </w:p>
                  <w:p>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mažosios)</w:t>
                    </w:r>
                  </w:p>
                  <w:p>
                    <w:pPr>
                      <w:ind w:left="-60" w:right="-60"/>
                      <w:textAlignment w:val="baseline"/>
                      <w:rPr>
                        <w:color w:val="000000"/>
                        <w:sz w:val="18"/>
                        <w:szCs w:val="18"/>
                        <w:shd w:val="clear" w:color="auto" w:fill="FFFFFF"/>
                        <w:lang w:eastAsia="lt-LT"/>
                      </w:rPr>
                    </w:pPr>
                  </w:p>
                  <w:p>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pPr>
                      <w:ind w:left="-60" w:right="-60"/>
                      <w:textAlignment w:val="baseline"/>
                      <w:rPr>
                        <w:color w:val="000000"/>
                        <w:sz w:val="18"/>
                        <w:szCs w:val="18"/>
                        <w:shd w:val="clear" w:color="auto" w:fill="FFFFFF"/>
                        <w:lang w:eastAsia="lt-LT"/>
                      </w:rPr>
                    </w:pPr>
                  </w:p>
                  <w:p>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P – Nefinansinę paramą gavusios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–Paramą gavusios naujos įmonės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Produktų ar procesų inovacijas diegiančios mažos ar vidutinės įmonės  </w:t>
                    </w:r>
                  </w:p>
                  <w:p>
                    <w:pPr>
                      <w:ind w:left="-60" w:right="-60" w:firstLine="48"/>
                      <w:textAlignment w:val="baseline"/>
                      <w:rPr>
                        <w:sz w:val="18"/>
                        <w:szCs w:val="18"/>
                        <w:lang w:eastAsia="lt-LT"/>
                      </w:rPr>
                    </w:pPr>
                  </w:p>
                  <w:p>
                    <w:pPr>
                      <w:ind w:left="-57" w:right="-57"/>
                      <w:rPr>
                        <w:sz w:val="18"/>
                        <w:szCs w:val="18"/>
                      </w:rPr>
                    </w:pPr>
                    <w:r>
                      <w:rPr>
                        <w:sz w:val="18"/>
                        <w:szCs w:val="18"/>
                      </w:rPr>
                      <w:t>R – Pateiktos patentų paraiškos </w:t>
                    </w:r>
                  </w:p>
                </w:tc>
                <w:tc>
                  <w:tcPr>
                    <w:tcW w:w="1134" w:type="dxa"/>
                  </w:tcPr>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n / a</w:t>
                    </w: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textAlignment w:val="baseline"/>
                      <w:rPr>
                        <w:sz w:val="18"/>
                        <w:szCs w:val="18"/>
                        <w:lang w:eastAsia="lt-LT"/>
                      </w:rPr>
                    </w:pPr>
                    <w:r>
                      <w:rPr>
                        <w:sz w:val="18"/>
                        <w:szCs w:val="18"/>
                        <w:lang w:eastAsia="lt-LT"/>
                      </w:rPr>
                      <w:t>50 (2029)</w:t>
                    </w:r>
                  </w:p>
                  <w:p>
                    <w:pPr>
                      <w:ind w:firstLine="48"/>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p>
                  <w:p>
                    <w:pPr>
                      <w:textAlignment w:val="baseline"/>
                      <w:rPr>
                        <w:sz w:val="18"/>
                        <w:szCs w:val="18"/>
                        <w:lang w:eastAsia="lt-LT"/>
                      </w:rPr>
                    </w:pPr>
                    <w:r>
                      <w:rPr>
                        <w:sz w:val="18"/>
                        <w:szCs w:val="18"/>
                        <w:lang w:eastAsia="lt-LT"/>
                      </w:rPr>
                      <w:t>18 (2029)</w:t>
                    </w:r>
                  </w:p>
                  <w:p>
                    <w:pPr>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firstLine="48"/>
                      <w:textAlignment w:val="baseline"/>
                      <w:rPr>
                        <w:sz w:val="18"/>
                        <w:szCs w:val="18"/>
                        <w:lang w:eastAsia="lt-LT"/>
                      </w:rPr>
                    </w:pPr>
                  </w:p>
                  <w:p>
                    <w:pPr>
                      <w:ind w:left="-57" w:right="-57"/>
                      <w:rPr>
                        <w:sz w:val="18"/>
                        <w:szCs w:val="18"/>
                      </w:rPr>
                    </w:pPr>
                  </w:p>
                  <w:p>
                    <w:pPr>
                      <w:ind w:left="-57" w:right="-57"/>
                      <w:rPr>
                        <w:sz w:val="18"/>
                        <w:szCs w:val="18"/>
                      </w:rPr>
                    </w:pPr>
                    <w:r>
                      <w:rPr>
                        <w:sz w:val="18"/>
                        <w:szCs w:val="18"/>
                      </w:rPr>
                      <w:t>3 (2029)</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highlight w:val="yellow"/>
                      </w:rPr>
                    </w:pPr>
                    <w:r>
                      <w:rPr>
                        <w:sz w:val="18"/>
                        <w:szCs w:val="18"/>
                      </w:rPr>
                      <w:t>1.6.3. Atžalinių įmonių mentorystė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 atžalinės įmonės</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w:t>
                    </w:r>
                  </w:p>
                </w:tc>
                <w:tc>
                  <w:tcPr>
                    <w:tcW w:w="850" w:type="dxa"/>
                  </w:tcPr>
                  <w:p>
                    <w:pPr>
                      <w:ind w:left="-57" w:right="-57"/>
                      <w:rPr>
                        <w:sz w:val="18"/>
                        <w:szCs w:val="18"/>
                      </w:rPr>
                    </w:pPr>
                    <w:r>
                      <w:rPr>
                        <w:sz w:val="18"/>
                        <w:szCs w:val="18"/>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20"/>
                      </w:rPr>
                    </w:pPr>
                    <w:r>
                      <w:rPr>
                        <w:sz w:val="18"/>
                        <w:szCs w:val="18"/>
                      </w:rPr>
                      <w:t>2. Tarptautiškumo skatinimo paketas</w:t>
                    </w:r>
                  </w:p>
                </w:tc>
                <w:tc>
                  <w:tcPr>
                    <w:tcW w:w="709" w:type="dxa"/>
                  </w:tcPr>
                  <w:p>
                    <w:pPr>
                      <w:ind w:left="-57" w:right="-57"/>
                      <w:rPr>
                        <w:sz w:val="20"/>
                      </w:rPr>
                    </w:pPr>
                  </w:p>
                </w:tc>
                <w:tc>
                  <w:tcPr>
                    <w:tcW w:w="1275" w:type="dxa"/>
                  </w:tcPr>
                  <w:p>
                    <w:pPr>
                      <w:ind w:left="-57" w:right="-57"/>
                      <w:rPr>
                        <w:sz w:val="20"/>
                      </w:rPr>
                    </w:pPr>
                    <w:r>
                      <w:rPr>
                        <w:sz w:val="18"/>
                        <w:szCs w:val="18"/>
                      </w:rPr>
                      <w:t xml:space="preserve">LMT, MSI,  labai mažos, mažos, vidutinės įmonės (toliau – MVĮ) </w:t>
                    </w:r>
                  </w:p>
                </w:tc>
                <w:tc>
                  <w:tcPr>
                    <w:tcW w:w="851" w:type="dxa"/>
                  </w:tcPr>
                  <w:p>
                    <w:pPr>
                      <w:ind w:left="-57" w:right="-57"/>
                      <w:rPr>
                        <w:sz w:val="18"/>
                        <w:szCs w:val="18"/>
                      </w:rPr>
                    </w:pPr>
                    <w:r>
                      <w:rPr>
                        <w:sz w:val="18"/>
                        <w:szCs w:val="18"/>
                      </w:rPr>
                      <w:t xml:space="preserve">T (2.1.1, 2.1.2, 2.1.6), </w:t>
                    </w:r>
                  </w:p>
                  <w:p>
                    <w:pPr>
                      <w:ind w:left="-57" w:right="-57"/>
                      <w:rPr>
                        <w:sz w:val="20"/>
                      </w:rPr>
                    </w:pPr>
                    <w:r>
                      <w:rPr>
                        <w:sz w:val="18"/>
                        <w:szCs w:val="18"/>
                      </w:rPr>
                      <w:t>P (2.1.3, 2.1.4, 2.1.5, 2.1.7, 2.2.1 ir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57" w:right="-57"/>
                      <w:rPr>
                        <w:sz w:val="18"/>
                        <w:szCs w:val="18"/>
                      </w:rPr>
                    </w:pPr>
                    <w:r>
                      <w:rPr>
                        <w:sz w:val="18"/>
                        <w:szCs w:val="18"/>
                      </w:rPr>
                      <w:t>(suma 2.1 ir 2.2)</w:t>
                    </w: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23 035</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2.1 ir 2.2</w:t>
                    </w:r>
                  </w:p>
                  <w:p>
                    <w:pPr>
                      <w:ind w:left="-57" w:right="-57"/>
                      <w:rPr>
                        <w:sz w:val="18"/>
                        <w:szCs w:val="18"/>
                      </w:rPr>
                    </w:pPr>
                  </w:p>
                  <w:p>
                    <w:pPr>
                      <w:ind w:left="-57" w:right="-57"/>
                      <w:rPr>
                        <w:sz w:val="18"/>
                        <w:szCs w:val="18"/>
                      </w:rPr>
                    </w:pPr>
                  </w:p>
                  <w:p>
                    <w:pPr>
                      <w:ind w:left="-57" w:right="-57"/>
                      <w:rPr>
                        <w:sz w:val="20"/>
                      </w:rPr>
                    </w:pPr>
                    <w:r>
                      <w:rPr>
                        <w:sz w:val="18"/>
                        <w:szCs w:val="18"/>
                      </w:rPr>
                      <w:t>Lietuvos dalyvių pasirašytų dotacijos sutarčių skaičius programos „Europos horizontas“ finansuojamuose projektuose</w:t>
                    </w:r>
                  </w:p>
                </w:tc>
                <w:tc>
                  <w:tcPr>
                    <w:tcW w:w="1134" w:type="dxa"/>
                  </w:tcPr>
                  <w:p>
                    <w:pPr>
                      <w:ind w:left="-57" w:right="-57"/>
                      <w:rPr>
                        <w:sz w:val="18"/>
                        <w:szCs w:val="18"/>
                      </w:rPr>
                    </w:pPr>
                    <w:r>
                      <w:rPr>
                        <w:sz w:val="18"/>
                        <w:szCs w:val="18"/>
                      </w:rPr>
                      <w:t>Visos reikšmės iš 2.1 ir 2.2</w:t>
                    </w:r>
                  </w:p>
                  <w:p>
                    <w:pPr>
                      <w:ind w:left="-57" w:right="-57"/>
                      <w:rPr>
                        <w:sz w:val="18"/>
                        <w:szCs w:val="18"/>
                      </w:rPr>
                    </w:pPr>
                  </w:p>
                  <w:p>
                    <w:pPr>
                      <w:ind w:left="-57" w:right="-57"/>
                      <w:rPr>
                        <w:sz w:val="18"/>
                        <w:szCs w:val="18"/>
                      </w:rPr>
                    </w:pPr>
                    <w:r>
                      <w:rPr>
                        <w:sz w:val="18"/>
                        <w:szCs w:val="18"/>
                      </w:rPr>
                      <w:t>605 (2030)</w:t>
                    </w:r>
                  </w:p>
                  <w:p>
                    <w:pPr>
                      <w:ind w:left="-57" w:right="-57"/>
                      <w:rPr>
                        <w:sz w:val="20"/>
                      </w:rPr>
                    </w:pPr>
                  </w:p>
                </w:tc>
                <w:tc>
                  <w:tcPr>
                    <w:tcW w:w="708" w:type="dxa"/>
                  </w:tcPr>
                  <w:p>
                    <w:pPr>
                      <w:ind w:left="-57" w:right="-57"/>
                      <w:rPr>
                        <w:sz w:val="20"/>
                      </w:rPr>
                    </w:pPr>
                  </w:p>
                </w:tc>
                <w:tc>
                  <w:tcPr>
                    <w:tcW w:w="568" w:type="dxa"/>
                  </w:tcPr>
                  <w:p>
                    <w:pPr>
                      <w:ind w:left="-57" w:right="-57"/>
                      <w:rPr>
                        <w:sz w:val="20"/>
                      </w:rPr>
                    </w:pPr>
                  </w:p>
                </w:tc>
              </w:tr>
              <w:tr>
                <w:trPr>
                  <w:trHeight w:val="233"/>
                </w:trPr>
                <w:tc>
                  <w:tcPr>
                    <w:tcW w:w="1135" w:type="dxa"/>
                  </w:tcPr>
                  <w:p>
                    <w:pPr>
                      <w:ind w:left="-57" w:right="-57"/>
                      <w:rPr>
                        <w:sz w:val="20"/>
                      </w:rPr>
                    </w:pPr>
                    <w:r>
                      <w:rPr>
                        <w:sz w:val="18"/>
                        <w:szCs w:val="18"/>
                      </w:rPr>
                      <w:t>2.1. Programos „Europos horizontas“ akceleravimas</w:t>
                    </w:r>
                  </w:p>
                </w:tc>
                <w:tc>
                  <w:tcPr>
                    <w:tcW w:w="709" w:type="dxa"/>
                  </w:tcPr>
                  <w:p>
                    <w:pPr>
                      <w:ind w:left="-57" w:right="-57"/>
                      <w:rPr>
                        <w:sz w:val="20"/>
                      </w:rPr>
                    </w:pPr>
                    <w:r>
                      <w:rPr>
                        <w:sz w:val="18"/>
                        <w:szCs w:val="18"/>
                      </w:rPr>
                      <w:t>I</w:t>
                    </w:r>
                  </w:p>
                </w:tc>
                <w:tc>
                  <w:tcPr>
                    <w:tcW w:w="1275" w:type="dxa"/>
                  </w:tcPr>
                  <w:p>
                    <w:pPr>
                      <w:ind w:left="-57" w:right="-57"/>
                      <w:rPr>
                        <w:sz w:val="18"/>
                        <w:szCs w:val="18"/>
                      </w:rPr>
                    </w:pPr>
                    <w:r>
                      <w:rPr>
                        <w:sz w:val="18"/>
                        <w:szCs w:val="18"/>
                      </w:rPr>
                      <w:t>LMT (2.1.3, 2.1.4, 2.1.5 ir 2.1.7),</w:t>
                    </w:r>
                  </w:p>
                  <w:p>
                    <w:pPr>
                      <w:ind w:left="-57" w:right="-57"/>
                      <w:rPr>
                        <w:sz w:val="20"/>
                      </w:rPr>
                    </w:pPr>
                    <w:r>
                      <w:rPr>
                        <w:sz w:val="18"/>
                        <w:szCs w:val="18"/>
                      </w:rPr>
                      <w:t xml:space="preserve">MSI (2.1.1, </w:t>
                    </w:r>
                    <w:r>
                      <w:rPr>
                        <w:sz w:val="18"/>
                        <w:szCs w:val="18"/>
                        <w:lang w:eastAsia="lt-LT"/>
                      </w:rPr>
                      <w:t xml:space="preserve">2.1.2, 2.1.6 ), </w:t>
                    </w:r>
                    <w:r>
                      <w:rPr>
                        <w:sz w:val="18"/>
                        <w:szCs w:val="18"/>
                      </w:rPr>
                      <w:t>MVĮ (2.1.2)</w:t>
                    </w:r>
                  </w:p>
                </w:tc>
                <w:tc>
                  <w:tcPr>
                    <w:tcW w:w="851" w:type="dxa"/>
                  </w:tcPr>
                  <w:p>
                    <w:pPr>
                      <w:ind w:left="-57" w:right="-57"/>
                      <w:rPr>
                        <w:sz w:val="18"/>
                        <w:szCs w:val="18"/>
                      </w:rPr>
                    </w:pPr>
                    <w:r>
                      <w:rPr>
                        <w:sz w:val="18"/>
                        <w:szCs w:val="18"/>
                      </w:rPr>
                      <w:t xml:space="preserve">T (2.1.1, 2.1.2, 2.1.6), </w:t>
                    </w:r>
                  </w:p>
                  <w:p>
                    <w:pPr>
                      <w:ind w:left="-57" w:right="-57"/>
                      <w:rPr>
                        <w:sz w:val="20"/>
                      </w:rPr>
                    </w:pPr>
                    <w:r>
                      <w:rPr>
                        <w:sz w:val="18"/>
                        <w:szCs w:val="18"/>
                      </w:rPr>
                      <w:t>P (2.1.3, 2.1.4, 2.1.5, 2.1.7)</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2.1.1, 2.1.2, 2.1.3, 2.1.4, 2.1.5, 2.1.6 ir 2.1.7)</w:t>
                    </w:r>
                  </w:p>
                  <w:p>
                    <w:pPr>
                      <w:ind w:left="-57" w:right="-57"/>
                      <w:rPr>
                        <w:sz w:val="18"/>
                        <w:szCs w:val="18"/>
                      </w:rPr>
                    </w:pPr>
                  </w:p>
                  <w:p>
                    <w:pPr>
                      <w:ind w:left="-57" w:right="-57"/>
                      <w:rPr>
                        <w:sz w:val="18"/>
                        <w:szCs w:val="18"/>
                      </w:rPr>
                    </w:pPr>
                  </w:p>
                  <w:p>
                    <w:pPr>
                      <w:ind w:left="-57" w:right="-57"/>
                      <w:rPr>
                        <w:sz w:val="18"/>
                        <w:szCs w:val="18"/>
                      </w:rPr>
                    </w:pPr>
                    <w:r>
                      <w:rPr>
                        <w:sz w:val="18"/>
                        <w:szCs w:val="18"/>
                      </w:rPr>
                      <w:t>40 000</w:t>
                    </w:r>
                  </w:p>
                  <w:p>
                    <w:pPr>
                      <w:ind w:left="-57" w:right="-57"/>
                      <w:rPr>
                        <w:sz w:val="18"/>
                        <w:szCs w:val="18"/>
                      </w:rPr>
                    </w:pPr>
                  </w:p>
                  <w:p>
                    <w:pPr>
                      <w:ind w:left="-57" w:right="-57"/>
                      <w:rPr>
                        <w:sz w:val="18"/>
                        <w:szCs w:val="18"/>
                      </w:rPr>
                    </w:pPr>
                    <w:r>
                      <w:rPr>
                        <w:sz w:val="18"/>
                        <w:szCs w:val="18"/>
                      </w:rPr>
                      <w:t>8 400</w:t>
                    </w: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shd w:val="clear" w:color="auto" w:fill="FFFFFF"/>
                      </w:rPr>
                      <w:t>VB</w:t>
                    </w:r>
                  </w:p>
                </w:tc>
                <w:tc>
                  <w:tcPr>
                    <w:tcW w:w="1276" w:type="dxa"/>
                  </w:tcPr>
                  <w:p>
                    <w:pPr>
                      <w:ind w:left="-57" w:right="-57"/>
                      <w:rPr>
                        <w:sz w:val="18"/>
                        <w:szCs w:val="18"/>
                      </w:rPr>
                    </w:pPr>
                    <w:r>
                      <w:rPr>
                        <w:sz w:val="18"/>
                        <w:szCs w:val="18"/>
                      </w:rPr>
                      <w:t>Visi rodikliai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P – Programos „Europos horizontas“ įgyvendinimo spartinimo veiksmų plano rengimas ir priėmimas </w:t>
                    </w:r>
                  </w:p>
                  <w:p>
                    <w:pPr>
                      <w:ind w:left="-57" w:right="-57"/>
                      <w:rPr>
                        <w:sz w:val="20"/>
                      </w:rPr>
                    </w:pPr>
                  </w:p>
                </w:tc>
                <w:tc>
                  <w:tcPr>
                    <w:tcW w:w="1134" w:type="dxa"/>
                  </w:tcPr>
                  <w:p>
                    <w:pPr>
                      <w:ind w:left="-57" w:right="-57"/>
                      <w:rPr>
                        <w:sz w:val="18"/>
                        <w:szCs w:val="18"/>
                      </w:rPr>
                    </w:pPr>
                    <w:r>
                      <w:rPr>
                        <w:sz w:val="18"/>
                        <w:szCs w:val="18"/>
                      </w:rPr>
                      <w:t>Visos reikšmės iš 2.1.1, 2.1.2, 2.1.3, 2.1.4, 2.1.5, 2.1.6 ir 2.1.7</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20"/>
                      </w:rPr>
                    </w:pP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EIM</w:t>
                    </w:r>
                  </w:p>
                </w:tc>
              </w:tr>
              <w:tr>
                <w:trPr>
                  <w:trHeight w:val="233"/>
                </w:trPr>
                <w:tc>
                  <w:tcPr>
                    <w:tcW w:w="1135" w:type="dxa"/>
                  </w:tcPr>
                  <w:p>
                    <w:pPr>
                      <w:ind w:left="-57" w:right="-57"/>
                      <w:rPr>
                        <w:sz w:val="18"/>
                        <w:szCs w:val="18"/>
                      </w:rPr>
                    </w:pPr>
                    <w:r>
                      <w:rPr>
                        <w:sz w:val="18"/>
                        <w:szCs w:val="18"/>
                      </w:rPr>
                      <w:t xml:space="preserve">2.1.1. Parama Lietuvos dalyvavimui tarptautiniuose Europos Sąjungos koordinavimo iniciatyvų projektuose kofinansuoti (projektų finansavimo sąlygų aprašas pateikiamas </w:t>
                    </w:r>
                    <w:r>
                      <w:rPr>
                        <w:sz w:val="18"/>
                        <w:szCs w:val="24"/>
                      </w:rPr>
                      <w:t>3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4 000</w:t>
                    </w:r>
                  </w:p>
                  <w:p>
                    <w:pPr>
                      <w:ind w:left="-62" w:right="-62"/>
                      <w:textAlignment w:val="baseline"/>
                      <w:rPr>
                        <w:sz w:val="18"/>
                        <w:szCs w:val="18"/>
                        <w:lang w:eastAsia="lt-LT"/>
                      </w:rPr>
                    </w:pPr>
                  </w:p>
                  <w:p>
                    <w:pPr>
                      <w:ind w:left="-57" w:right="-57"/>
                      <w:rPr>
                        <w:sz w:val="18"/>
                        <w:szCs w:val="18"/>
                      </w:rPr>
                    </w:pPr>
                    <w:r>
                      <w:rPr>
                        <w:sz w:val="18"/>
                        <w:szCs w:val="18"/>
                        <w:lang w:eastAsia="lt-LT"/>
                      </w:rPr>
                      <w:t>840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2.1.2.</w:t>
                    </w:r>
                    <w:r>
                      <w:rPr>
                        <w:szCs w:val="24"/>
                      </w:rPr>
                      <w:t xml:space="preserve"> </w:t>
                    </w:r>
                    <w:r>
                      <w:rPr>
                        <w:sz w:val="18"/>
                        <w:szCs w:val="18"/>
                      </w:rPr>
                      <w:t xml:space="preserve">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 MVĮ</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19 500</w:t>
                    </w:r>
                  </w:p>
                  <w:p>
                    <w:pPr>
                      <w:ind w:left="-62" w:right="-62"/>
                      <w:textAlignment w:val="baseline"/>
                      <w:rPr>
                        <w:sz w:val="18"/>
                        <w:szCs w:val="18"/>
                        <w:lang w:eastAsia="lt-LT"/>
                      </w:rPr>
                    </w:pPr>
                  </w:p>
                  <w:p>
                    <w:pPr>
                      <w:ind w:left="-57" w:right="-57"/>
                      <w:rPr>
                        <w:sz w:val="18"/>
                        <w:szCs w:val="18"/>
                      </w:rPr>
                    </w:pPr>
                    <w:r>
                      <w:rPr>
                        <w:sz w:val="18"/>
                        <w:szCs w:val="18"/>
                        <w:lang w:eastAsia="lt-LT"/>
                      </w:rPr>
                      <w:t>4 095</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color w:val="000000"/>
                        <w:sz w:val="18"/>
                        <w:szCs w:val="18"/>
                        <w:shd w:val="clear" w:color="auto" w:fill="FFFFFF"/>
                      </w:rPr>
                    </w:pPr>
                    <w:r>
                      <w:rPr>
                        <w:sz w:val="18"/>
                        <w:szCs w:val="18"/>
                      </w:rPr>
                      <w:t>P-</w:t>
                    </w:r>
                    <w:r>
                      <w:rPr>
                        <w:color w:val="000000"/>
                        <w:sz w:val="18"/>
                        <w:szCs w:val="18"/>
                        <w:shd w:val="clear" w:color="auto" w:fill="FFFFFF"/>
                      </w:rPr>
                      <w:t xml:space="preserve">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iCs/>
                        <w:sz w:val="18"/>
                        <w:szCs w:val="18"/>
                      </w:rPr>
                    </w:pPr>
                    <w:r>
                      <w:rPr>
                        <w:color w:val="000000"/>
                        <w:sz w:val="18"/>
                        <w:szCs w:val="18"/>
                        <w:shd w:val="clear" w:color="auto" w:fill="FFFFFF"/>
                      </w:rPr>
                      <w:t>P –</w:t>
                    </w:r>
                    <w:r>
                      <w:rPr>
                        <w:iCs/>
                        <w:sz w:val="18"/>
                        <w:szCs w:val="18"/>
                      </w:rPr>
                      <w:t xml:space="preserve"> Paramą gavusiose mokslinių tyrimų įstaigose dirbantys mokslininkai</w:t>
                    </w:r>
                  </w:p>
                  <w:p>
                    <w:pPr>
                      <w:ind w:left="-57" w:right="-57"/>
                      <w:rPr>
                        <w:sz w:val="18"/>
                        <w:szCs w:val="18"/>
                      </w:rPr>
                    </w:pPr>
                  </w:p>
                  <w:p>
                    <w:pPr>
                      <w:ind w:left="-57" w:right="-57"/>
                      <w:rPr>
                        <w:sz w:val="18"/>
                        <w:szCs w:val="18"/>
                      </w:rPr>
                    </w:pPr>
                    <w:r>
                      <w:rPr>
                        <w:sz w:val="18"/>
                        <w:szCs w:val="18"/>
                      </w:rPr>
                      <w:t>Paramą gavusios įmonės</w:t>
                    </w:r>
                  </w:p>
                  <w:p>
                    <w:pPr>
                      <w:ind w:left="-57" w:right="-57"/>
                      <w:rPr>
                        <w:sz w:val="18"/>
                        <w:szCs w:val="18"/>
                      </w:rPr>
                    </w:pPr>
                  </w:p>
                  <w:p>
                    <w:pPr>
                      <w:ind w:left="-57" w:right="-57"/>
                      <w:rPr>
                        <w:sz w:val="18"/>
                        <w:szCs w:val="18"/>
                      </w:rPr>
                    </w:pPr>
                    <w:r>
                      <w:rPr>
                        <w:sz w:val="18"/>
                        <w:szCs w:val="18"/>
                      </w:rPr>
                      <w:t>Paramą gavusios įmonės, iš jų: mažos ir labai mažos</w:t>
                    </w:r>
                  </w:p>
                  <w:p>
                    <w:pPr>
                      <w:ind w:left="-57" w:right="-57"/>
                      <w:rPr>
                        <w:sz w:val="18"/>
                        <w:szCs w:val="18"/>
                      </w:rPr>
                    </w:pPr>
                  </w:p>
                  <w:p>
                    <w:pPr>
                      <w:ind w:left="-57" w:right="-57"/>
                      <w:rPr>
                        <w:sz w:val="18"/>
                        <w:szCs w:val="18"/>
                      </w:rPr>
                    </w:pPr>
                    <w:r>
                      <w:rPr>
                        <w:sz w:val="18"/>
                        <w:szCs w:val="18"/>
                      </w:rPr>
                      <w:t>Paramą gavusios įmonės, iš jų: vidutinės</w:t>
                    </w:r>
                  </w:p>
                  <w:p>
                    <w:pPr>
                      <w:ind w:left="-57" w:right="-57"/>
                      <w:rPr>
                        <w:sz w:val="18"/>
                        <w:szCs w:val="18"/>
                      </w:rPr>
                    </w:pPr>
                  </w:p>
                  <w:p>
                    <w:pPr>
                      <w:ind w:left="-57" w:right="-57"/>
                      <w:rPr>
                        <w:sz w:val="18"/>
                        <w:szCs w:val="18"/>
                      </w:rPr>
                    </w:pPr>
                  </w:p>
                </w:tc>
                <w:tc>
                  <w:tcPr>
                    <w:tcW w:w="1134" w:type="dxa"/>
                  </w:tcPr>
                  <w:p>
                    <w:pPr>
                      <w:ind w:left="-62" w:right="-62"/>
                      <w:textAlignment w:val="baseline"/>
                      <w:rPr>
                        <w:sz w:val="18"/>
                        <w:szCs w:val="18"/>
                        <w:lang w:eastAsia="lt-LT"/>
                      </w:rPr>
                    </w:pPr>
                    <w:r>
                      <w:rPr>
                        <w:sz w:val="18"/>
                        <w:szCs w:val="18"/>
                        <w:lang w:eastAsia="lt-LT"/>
                      </w:rPr>
                      <w:t>24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2.1.3. ES mokslinių tyrimų ir inovacijų programos „Europos horizontas“ nacionalinių kontaktinių asmenų tinklo plėtra ir veiklos stiprinimas,</w:t>
                    </w:r>
                  </w:p>
                  <w:p>
                    <w:pPr>
                      <w:ind w:left="-57" w:right="-57"/>
                      <w:rPr>
                        <w:sz w:val="18"/>
                        <w:szCs w:val="18"/>
                      </w:rPr>
                    </w:pPr>
                    <w:r>
                      <w:rPr>
                        <w:sz w:val="18"/>
                        <w:szCs w:val="18"/>
                      </w:rPr>
                      <w:t>Mokslo ir inovacijų patarėjų tinklo Vyriausybės institucijose sukūrimas ir įveiklinimas (projektų finansavimo sąlygų aprašas pateikiamas 1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5 000</w:t>
                    </w:r>
                  </w:p>
                  <w:p>
                    <w:pPr>
                      <w:ind w:left="-62" w:right="-62"/>
                      <w:textAlignment w:val="baseline"/>
                      <w:rPr>
                        <w:sz w:val="18"/>
                        <w:szCs w:val="18"/>
                        <w:lang w:eastAsia="lt-LT"/>
                      </w:rPr>
                    </w:pPr>
                  </w:p>
                  <w:p>
                    <w:pPr>
                      <w:ind w:left="-57" w:right="-57"/>
                      <w:rPr>
                        <w:sz w:val="18"/>
                        <w:szCs w:val="18"/>
                      </w:rPr>
                    </w:pPr>
                    <w:r>
                      <w:rPr>
                        <w:sz w:val="18"/>
                        <w:szCs w:val="18"/>
                        <w:lang w:eastAsia="lt-LT"/>
                      </w:rPr>
                      <w:t>1 050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P – Sukurtas mokslo ir inovacijų srities pareigūnų veiklos modelis</w:t>
                    </w:r>
                  </w:p>
                  <w:p>
                    <w:pPr>
                      <w:ind w:left="-57" w:right="-57"/>
                      <w:rPr>
                        <w:sz w:val="18"/>
                        <w:szCs w:val="18"/>
                      </w:rPr>
                    </w:pPr>
                  </w:p>
                  <w:p>
                    <w:pPr>
                      <w:ind w:left="-57" w:right="-57"/>
                      <w:rPr>
                        <w:sz w:val="18"/>
                        <w:szCs w:val="18"/>
                      </w:rPr>
                    </w:pPr>
                    <w:r>
                      <w:rPr>
                        <w:sz w:val="18"/>
                        <w:szCs w:val="18"/>
                      </w:rPr>
                      <w:t>P –</w:t>
                    </w:r>
                    <w:r>
                      <w:rPr>
                        <w:szCs w:val="24"/>
                      </w:rPr>
                      <w:t xml:space="preserve"> </w:t>
                    </w:r>
                    <w:r>
                      <w:rPr>
                        <w:sz w:val="18"/>
                        <w:szCs w:val="18"/>
                      </w:rPr>
                      <w:t>Įsteigtos mokslo pareigūnų ir nacionalinių kontaktinių asmenų (NCP) pareigybės</w:t>
                    </w:r>
                  </w:p>
                </w:tc>
                <w:tc>
                  <w:tcPr>
                    <w:tcW w:w="1134" w:type="dxa"/>
                  </w:tcPr>
                  <w:p>
                    <w:pPr>
                      <w:ind w:left="-57" w:right="-57"/>
                      <w:rPr>
                        <w:sz w:val="18"/>
                        <w:szCs w:val="18"/>
                      </w:rPr>
                    </w:pPr>
                    <w:r>
                      <w:rPr>
                        <w:sz w:val="18"/>
                        <w:szCs w:val="18"/>
                      </w:rPr>
                      <w:t>1 (2022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 xml:space="preserve">30 </w:t>
                    </w:r>
                    <w:r>
                      <w:rPr>
                        <w:sz w:val="18"/>
                        <w:szCs w:val="18"/>
                        <w:lang w:eastAsia="lt-LT"/>
                      </w:rPr>
                      <w:t xml:space="preserve">(2026 m. II ketv.) </w:t>
                    </w:r>
                    <w:r>
                      <w:rPr>
                        <w:sz w:val="18"/>
                        <w:szCs w:val="18"/>
                      </w:rPr>
                      <w:t>(15 mokslo ir inovacijų pareigūnų / patarėjų pozicijų ir 15 NCP pareigybių)</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 xml:space="preserve">2.1.4. Parama identifikuotiems startiniams MTEP projektams ir galimybių studijoms su institucijų kelrodžiais sėkmingam dalyvavimui Europos Sąjungos mokslinių tyrimų ir inovacijų programos „Europos horizontas“ kvietimuose skatinti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rPr>
                    </w:pPr>
                    <w:r>
                      <w:rPr>
                        <w:sz w:val="18"/>
                        <w:szCs w:val="18"/>
                      </w:rPr>
                      <w:t>2 500</w:t>
                    </w:r>
                  </w:p>
                  <w:p>
                    <w:pPr>
                      <w:ind w:left="-62" w:right="-62"/>
                      <w:textAlignment w:val="baseline"/>
                      <w:rPr>
                        <w:sz w:val="18"/>
                        <w:szCs w:val="18"/>
                      </w:rPr>
                    </w:pPr>
                  </w:p>
                  <w:p>
                    <w:pPr>
                      <w:ind w:left="-57" w:right="-57"/>
                      <w:rPr>
                        <w:sz w:val="18"/>
                        <w:szCs w:val="18"/>
                      </w:rPr>
                    </w:pPr>
                    <w:r>
                      <w:rPr>
                        <w:sz w:val="18"/>
                        <w:szCs w:val="18"/>
                      </w:rPr>
                      <w:t>525</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w:t>
                    </w:r>
                  </w:p>
                  <w:p>
                    <w:pPr>
                      <w:ind w:left="-57" w:right="-57"/>
                      <w:rPr>
                        <w:color w:val="000000"/>
                        <w:sz w:val="18"/>
                        <w:szCs w:val="18"/>
                        <w:shd w:val="clear" w:color="auto" w:fill="FFFFFF"/>
                      </w:rPr>
                    </w:pPr>
                  </w:p>
                  <w:p>
                    <w:pPr>
                      <w:ind w:left="-57" w:right="-57"/>
                      <w:rPr>
                        <w:color w:val="000000"/>
                        <w:sz w:val="18"/>
                        <w:szCs w:val="18"/>
                        <w:shd w:val="clear" w:color="auto" w:fill="FFFFFF"/>
                      </w:rPr>
                    </w:pPr>
                  </w:p>
                  <w:p>
                    <w:pPr>
                      <w:ind w:left="-57" w:right="-57"/>
                      <w:rPr>
                        <w:sz w:val="18"/>
                        <w:szCs w:val="18"/>
                      </w:rPr>
                    </w:pPr>
                    <w:r>
                      <w:rPr>
                        <w:sz w:val="18"/>
                        <w:szCs w:val="18"/>
                      </w:rPr>
                      <w:t>P – 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p>
                </w:tc>
                <w:tc>
                  <w:tcPr>
                    <w:tcW w:w="1134" w:type="dxa"/>
                  </w:tcPr>
                  <w:p>
                    <w:pPr>
                      <w:ind w:left="-62" w:right="-62"/>
                      <w:textAlignment w:val="baseline"/>
                      <w:rPr>
                        <w:sz w:val="18"/>
                        <w:szCs w:val="18"/>
                        <w:lang w:eastAsia="lt-LT"/>
                      </w:rPr>
                    </w:pPr>
                    <w:r>
                      <w:rPr>
                        <w:sz w:val="18"/>
                        <w:szCs w:val="18"/>
                        <w:lang w:eastAsia="lt-LT"/>
                      </w:rPr>
                      <w:t>90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r>
                      <w:rPr>
                        <w:sz w:val="18"/>
                        <w:szCs w:val="18"/>
                        <w:lang w:eastAsia="lt-LT"/>
                      </w:rPr>
                      <w:t>n /a</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2.1.5.</w:t>
                    </w:r>
                    <w:r>
                      <w:rPr>
                        <w:szCs w:val="24"/>
                      </w:rPr>
                      <w:t xml:space="preserve"> </w:t>
                    </w:r>
                    <w:r>
                      <w:rPr>
                        <w:sz w:val="18"/>
                        <w:szCs w:val="18"/>
                      </w:rPr>
                      <w:t xml:space="preserve">Parama mokslo, asocijuotų verslo struktūrų narystei ir veiklai tarptautiniuose tinkluose, generuojančiuose iniciatyvas ir ES mokslinių tyrimų ir inovacijų programos „Europos horizontas“ tematikas </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3 000</w:t>
                    </w:r>
                  </w:p>
                  <w:p>
                    <w:pPr>
                      <w:ind w:left="-62" w:right="-62"/>
                      <w:textAlignment w:val="baseline"/>
                      <w:rPr>
                        <w:sz w:val="18"/>
                        <w:szCs w:val="18"/>
                        <w:lang w:eastAsia="lt-LT"/>
                      </w:rPr>
                    </w:pPr>
                  </w:p>
                  <w:p>
                    <w:pPr>
                      <w:ind w:left="-57" w:right="-57"/>
                      <w:rPr>
                        <w:sz w:val="18"/>
                        <w:szCs w:val="18"/>
                      </w:rPr>
                    </w:pPr>
                    <w:r>
                      <w:rPr>
                        <w:sz w:val="18"/>
                        <w:szCs w:val="18"/>
                        <w:lang w:eastAsia="lt-LT"/>
                      </w:rPr>
                      <w:t>630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VB</w:t>
                    </w:r>
                  </w:p>
                </w:tc>
                <w:tc>
                  <w:tcPr>
                    <w:tcW w:w="1276" w:type="dxa"/>
                  </w:tcPr>
                  <w:p>
                    <w:pPr>
                      <w:rPr>
                        <w:iCs/>
                        <w:sz w:val="18"/>
                        <w:szCs w:val="18"/>
                      </w:rPr>
                    </w:pPr>
                    <w:r>
                      <w:rPr>
                        <w:sz w:val="18"/>
                        <w:szCs w:val="18"/>
                      </w:rPr>
                      <w:t>P –</w:t>
                    </w:r>
                    <w:r>
                      <w:rPr>
                        <w:iCs/>
                        <w:szCs w:val="24"/>
                      </w:rPr>
                      <w:t xml:space="preserve"> </w:t>
                    </w:r>
                    <w:r>
                      <w:rPr>
                        <w:iCs/>
                        <w:sz w:val="18"/>
                        <w:szCs w:val="18"/>
                      </w:rPr>
                      <w:t xml:space="preserve">Finansuoti projektai ir konsultavimo paslaugos mokslo ir studijų institucijų ir mažų ir vidutinių įmonių potencialiems  programos „Europos horizontas“ pareiškėjams</w:t>
                    </w:r>
                  </w:p>
                  <w:p>
                    <w:pPr>
                      <w:ind w:left="-57" w:right="-57"/>
                      <w:rPr>
                        <w:iCs/>
                        <w:sz w:val="18"/>
                        <w:szCs w:val="18"/>
                      </w:rPr>
                    </w:pPr>
                  </w:p>
                  <w:p>
                    <w:pPr>
                      <w:ind w:left="-57" w:right="-57"/>
                      <w:rPr>
                        <w:sz w:val="18"/>
                        <w:szCs w:val="18"/>
                      </w:rPr>
                    </w:pPr>
                    <w:r>
                      <w:rPr>
                        <w:iCs/>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40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18"/>
                        <w:szCs w:val="18"/>
                      </w:rPr>
                    </w:pPr>
                    <w:r>
                      <w:rPr>
                        <w:sz w:val="18"/>
                        <w:szCs w:val="18"/>
                      </w:rPr>
                      <w:t xml:space="preserve">2.1.6. </w:t>
                    </w:r>
                    <w:r>
                      <w:rPr>
                        <w:sz w:val="18"/>
                        <w:szCs w:val="24"/>
                      </w:rPr>
                      <w:t>Parama veikloms, skirtoms Europos mokslinių tyrimų erdvės prioritetams įgyvendinti, siekiant institucinių pokyčių (</w:t>
                    </w:r>
                    <w:r>
                      <w:rPr>
                        <w:sz w:val="18"/>
                        <w:szCs w:val="18"/>
                      </w:rPr>
                      <w:t xml:space="preserve">projektų finansavimo sąlygų aprašas pateikiamas </w:t>
                    </w:r>
                    <w:r>
                      <w:rPr>
                        <w:sz w:val="18"/>
                        <w:szCs w:val="24"/>
                      </w:rPr>
                      <w:t>2 priede)</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T</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2" w:right="-62"/>
                      <w:textAlignment w:val="baseline"/>
                      <w:rPr>
                        <w:sz w:val="18"/>
                        <w:szCs w:val="18"/>
                        <w:lang w:eastAsia="lt-LT"/>
                      </w:rPr>
                    </w:pPr>
                    <w:r>
                      <w:rPr>
                        <w:sz w:val="18"/>
                        <w:szCs w:val="18"/>
                        <w:lang w:eastAsia="lt-LT"/>
                      </w:rPr>
                      <w:t>2 000</w:t>
                    </w:r>
                  </w:p>
                  <w:p>
                    <w:pPr>
                      <w:ind w:left="-62" w:right="-62"/>
                      <w:textAlignment w:val="baseline"/>
                      <w:rPr>
                        <w:sz w:val="18"/>
                        <w:szCs w:val="18"/>
                        <w:lang w:eastAsia="lt-LT"/>
                      </w:rPr>
                    </w:pPr>
                  </w:p>
                  <w:p>
                    <w:pPr>
                      <w:ind w:left="-57" w:right="-57"/>
                      <w:rPr>
                        <w:sz w:val="18"/>
                        <w:szCs w:val="18"/>
                      </w:rPr>
                    </w:pPr>
                    <w:r>
                      <w:rPr>
                        <w:sz w:val="18"/>
                        <w:szCs w:val="18"/>
                        <w:lang w:eastAsia="lt-LT"/>
                      </w:rPr>
                      <w:t>420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rPr>
                        <w:sz w:val="18"/>
                        <w:szCs w:val="18"/>
                      </w:rPr>
                    </w:pPr>
                    <w:r>
                      <w:rPr>
                        <w:sz w:val="18"/>
                        <w:szCs w:val="18"/>
                      </w:rPr>
                      <w:t>P – Finansuoti projektai ir konsultavimo paslaugos mokslo ir studijų institucijų ir mažų ir vidutinių įmonių potencialiems programos „Europos horizontas“ pareiškėjams</w:t>
                    </w:r>
                  </w:p>
                  <w:p>
                    <w:pPr>
                      <w:ind w:left="-57" w:right="-57"/>
                      <w:rPr>
                        <w:sz w:val="18"/>
                        <w:szCs w:val="18"/>
                      </w:rPr>
                    </w:pPr>
                  </w:p>
                  <w:p>
                    <w:pPr>
                      <w:ind w:left="-57" w:right="-57"/>
                      <w:rPr>
                        <w:sz w:val="18"/>
                        <w:szCs w:val="18"/>
                      </w:rPr>
                    </w:pPr>
                  </w:p>
                  <w:p>
                    <w:pPr>
                      <w:ind w:left="-57" w:right="-57"/>
                      <w:rPr>
                        <w:sz w:val="18"/>
                        <w:szCs w:val="18"/>
                      </w:rPr>
                    </w:pPr>
                    <w:r>
                      <w:rPr>
                        <w:sz w:val="18"/>
                        <w:szCs w:val="18"/>
                      </w:rPr>
                      <w:t>Paramą gavusiose mokslinių tyrimų įstaigose dirbantys mokslininkai</w:t>
                    </w:r>
                  </w:p>
                </w:tc>
                <w:tc>
                  <w:tcPr>
                    <w:tcW w:w="1134" w:type="dxa"/>
                  </w:tcPr>
                  <w:p>
                    <w:pPr>
                      <w:ind w:left="-62" w:right="-62"/>
                      <w:textAlignment w:val="baseline"/>
                      <w:rPr>
                        <w:sz w:val="18"/>
                        <w:szCs w:val="18"/>
                        <w:lang w:eastAsia="lt-LT"/>
                      </w:rPr>
                    </w:pPr>
                    <w:r>
                      <w:rPr>
                        <w:sz w:val="18"/>
                        <w:szCs w:val="18"/>
                        <w:lang w:eastAsia="lt-LT"/>
                      </w:rPr>
                      <w:t>32 (2026 m. II ketv.)</w:t>
                    </w: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62" w:right="-62"/>
                      <w:textAlignment w:val="baseline"/>
                      <w:rPr>
                        <w:sz w:val="18"/>
                        <w:szCs w:val="18"/>
                        <w:lang w:eastAsia="lt-LT"/>
                      </w:rPr>
                    </w:pPr>
                  </w:p>
                  <w:p>
                    <w:pPr>
                      <w:ind w:left="-57" w:right="-57"/>
                      <w:rPr>
                        <w:sz w:val="18"/>
                        <w:szCs w:val="18"/>
                      </w:rPr>
                    </w:pPr>
                    <w:r>
                      <w:rPr>
                        <w:sz w:val="18"/>
                        <w:szCs w:val="18"/>
                        <w:lang w:eastAsia="lt-LT"/>
                      </w:rPr>
                      <w:t>n / a</w:t>
                    </w: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2.1.7. Parama mokslo ir verslo kompetencijų stiprinimui rengti tarptautines projektų paraiškas MTEPI veikloms finansuoti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57" w:right="-57"/>
                      <w:rPr>
                        <w:sz w:val="18"/>
                        <w:szCs w:val="18"/>
                      </w:rPr>
                    </w:pPr>
                    <w:r>
                      <w:rPr>
                        <w:sz w:val="18"/>
                        <w:szCs w:val="18"/>
                      </w:rPr>
                      <w:t>4 000</w:t>
                    </w:r>
                  </w:p>
                  <w:p>
                    <w:pPr>
                      <w:ind w:left="-57" w:right="-57"/>
                      <w:rPr>
                        <w:sz w:val="18"/>
                        <w:szCs w:val="18"/>
                      </w:rPr>
                    </w:pPr>
                  </w:p>
                  <w:p>
                    <w:pPr>
                      <w:ind w:left="-57" w:right="-57"/>
                      <w:rPr>
                        <w:sz w:val="18"/>
                        <w:szCs w:val="18"/>
                      </w:rPr>
                    </w:pPr>
                    <w:r>
                      <w:rPr>
                        <w:sz w:val="18"/>
                        <w:szCs w:val="18"/>
                      </w:rPr>
                      <w:t>840</w:t>
                    </w:r>
                  </w:p>
                </w:tc>
                <w:tc>
                  <w:tcPr>
                    <w:tcW w:w="850" w:type="dxa"/>
                  </w:tcPr>
                  <w:p>
                    <w:pPr>
                      <w:ind w:left="-57" w:right="-57"/>
                      <w:rPr>
                        <w:sz w:val="18"/>
                        <w:szCs w:val="18"/>
                      </w:rPr>
                    </w:pPr>
                    <w:r>
                      <w:rPr>
                        <w:sz w:val="18"/>
                        <w:szCs w:val="18"/>
                      </w:rPr>
                      <w:t>EGADP</w:t>
                    </w:r>
                  </w:p>
                  <w:p>
                    <w:pPr>
                      <w:ind w:left="-57" w:right="-57"/>
                      <w:rPr>
                        <w:sz w:val="18"/>
                        <w:szCs w:val="18"/>
                      </w:rPr>
                    </w:pPr>
                  </w:p>
                  <w:p>
                    <w:pPr>
                      <w:ind w:left="-57" w:right="-57"/>
                      <w:rPr>
                        <w:sz w:val="18"/>
                        <w:szCs w:val="18"/>
                      </w:rPr>
                    </w:pPr>
                    <w:r>
                      <w:rPr>
                        <w:sz w:val="18"/>
                        <w:szCs w:val="18"/>
                      </w:rPr>
                      <w:t xml:space="preserve">VB </w:t>
                    </w:r>
                  </w:p>
                </w:tc>
                <w:tc>
                  <w:tcPr>
                    <w:tcW w:w="1276" w:type="dxa"/>
                  </w:tcPr>
                  <w:p>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 </w:t>
                    </w:r>
                  </w:p>
                  <w:p>
                    <w:pPr>
                      <w:ind w:left="-57" w:right="-57"/>
                      <w:rPr>
                        <w:sz w:val="18"/>
                        <w:szCs w:val="18"/>
                      </w:rPr>
                    </w:pPr>
                  </w:p>
                  <w:p>
                    <w:pPr>
                      <w:ind w:left="-57" w:right="-57"/>
                      <w:rPr>
                        <w:sz w:val="18"/>
                        <w:szCs w:val="18"/>
                      </w:rPr>
                    </w:pPr>
                    <w:r>
                      <w:rPr>
                        <w:sz w:val="18"/>
                        <w:szCs w:val="18"/>
                      </w:rPr>
                      <w:t>Paramą gavusiose mokslinių tyrimų įstaigose dirbantys mokslininkai</w:t>
                    </w:r>
                  </w:p>
                  <w:p>
                    <w:pPr>
                      <w:ind w:left="-57" w:right="-57"/>
                      <w:rPr>
                        <w:sz w:val="18"/>
                        <w:szCs w:val="18"/>
                      </w:rPr>
                    </w:pPr>
                  </w:p>
                  <w:p>
                    <w:pPr>
                      <w:ind w:left="-57" w:right="-57"/>
                      <w:rPr>
                        <w:sz w:val="18"/>
                        <w:szCs w:val="18"/>
                      </w:rPr>
                    </w:pPr>
                    <w:r>
                      <w:rPr>
                        <w:sz w:val="18"/>
                        <w:szCs w:val="18"/>
                      </w:rPr>
                      <w:t>P – Paramą gavusios įmonės</w:t>
                    </w:r>
                  </w:p>
                  <w:p>
                    <w:pPr>
                      <w:ind w:left="-57" w:right="-57"/>
                      <w:rPr>
                        <w:sz w:val="18"/>
                        <w:szCs w:val="18"/>
                      </w:rPr>
                    </w:pPr>
                  </w:p>
                  <w:p>
                    <w:pPr>
                      <w:ind w:left="-57" w:right="-57"/>
                      <w:rPr>
                        <w:sz w:val="18"/>
                        <w:szCs w:val="18"/>
                      </w:rPr>
                    </w:pPr>
                    <w:r>
                      <w:rPr>
                        <w:sz w:val="18"/>
                        <w:szCs w:val="18"/>
                      </w:rPr>
                      <w:t>P – Paramą gavusios įmonės, iš jų: mažos ir labai mažos</w:t>
                    </w:r>
                  </w:p>
                  <w:p>
                    <w:pPr>
                      <w:ind w:left="-57" w:right="-57"/>
                      <w:rPr>
                        <w:sz w:val="18"/>
                        <w:szCs w:val="18"/>
                      </w:rPr>
                    </w:pPr>
                  </w:p>
                  <w:p>
                    <w:pPr>
                      <w:ind w:left="-57" w:right="-57"/>
                      <w:rPr>
                        <w:sz w:val="18"/>
                        <w:szCs w:val="18"/>
                      </w:rPr>
                    </w:pPr>
                    <w:r>
                      <w:rPr>
                        <w:sz w:val="18"/>
                        <w:szCs w:val="18"/>
                      </w:rPr>
                      <w:t>P – Paramą gavusios įmonės, iš jų: vidutinės</w:t>
                    </w:r>
                  </w:p>
                  <w:p>
                    <w:pPr>
                      <w:ind w:left="-57" w:right="-57"/>
                      <w:rPr>
                        <w:sz w:val="18"/>
                        <w:szCs w:val="18"/>
                      </w:rPr>
                    </w:pPr>
                  </w:p>
                  <w:p>
                    <w:pPr>
                      <w:ind w:left="-57" w:right="-57"/>
                      <w:rPr>
                        <w:sz w:val="18"/>
                        <w:szCs w:val="18"/>
                      </w:rPr>
                    </w:pPr>
                    <w:r>
                      <w:rPr>
                        <w:sz w:val="18"/>
                        <w:szCs w:val="18"/>
                      </w:rPr>
                      <w:t>P – Paramą gavusios įmonės, iš jų: didelės</w:t>
                    </w:r>
                  </w:p>
                </w:tc>
                <w:tc>
                  <w:tcPr>
                    <w:tcW w:w="1134" w:type="dxa"/>
                  </w:tcPr>
                  <w:p>
                    <w:pPr>
                      <w:ind w:left="-57" w:right="-57"/>
                      <w:rPr>
                        <w:sz w:val="18"/>
                        <w:szCs w:val="18"/>
                      </w:rPr>
                    </w:pPr>
                    <w:r>
                      <w:rPr>
                        <w:sz w:val="18"/>
                        <w:szCs w:val="18"/>
                      </w:rPr>
                      <w:t xml:space="preserve">267 </w:t>
                    </w:r>
                    <w:r>
                      <w:rPr>
                        <w:sz w:val="18"/>
                        <w:szCs w:val="18"/>
                        <w:lang w:eastAsia="lt-LT"/>
                      </w:rPr>
                      <w:t>(2026 m. II ketv.)</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r>
                      <w:rPr>
                        <w:sz w:val="18"/>
                        <w:szCs w:val="18"/>
                        <w:lang w:eastAsia="lt-LT"/>
                      </w:rPr>
                      <w:t>n / a</w:t>
                    </w: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lang w:eastAsia="lt-LT"/>
                      </w:rPr>
                    </w:pPr>
                  </w:p>
                  <w:p>
                    <w:pPr>
                      <w:ind w:left="-57" w:right="-57"/>
                      <w:rPr>
                        <w:sz w:val="18"/>
                        <w:szCs w:val="18"/>
                      </w:rPr>
                    </w:pPr>
                    <w:r>
                      <w:rPr>
                        <w:sz w:val="18"/>
                        <w:szCs w:val="18"/>
                        <w:lang w:eastAsia="lt-LT"/>
                      </w:rPr>
                      <w:t>n / a</w:t>
                    </w:r>
                  </w:p>
                  <w:p>
                    <w:pPr>
                      <w:ind w:left="-57" w:right="-57"/>
                      <w:rPr>
                        <w:sz w:val="18"/>
                        <w:szCs w:val="18"/>
                      </w:rPr>
                    </w:pPr>
                  </w:p>
                </w:tc>
                <w:tc>
                  <w:tcPr>
                    <w:tcW w:w="708" w:type="dxa"/>
                  </w:tcPr>
                  <w:p>
                    <w:pPr>
                      <w:ind w:left="-57" w:right="-57"/>
                      <w:rPr>
                        <w:sz w:val="18"/>
                        <w:szCs w:val="18"/>
                      </w:rPr>
                    </w:pPr>
                    <w:r>
                      <w:rPr>
                        <w:sz w:val="18"/>
                        <w:szCs w:val="18"/>
                      </w:rPr>
                      <w:t>CPVA</w:t>
                    </w:r>
                  </w:p>
                </w:tc>
                <w:tc>
                  <w:tcPr>
                    <w:tcW w:w="568" w:type="dxa"/>
                  </w:tcPr>
                  <w:p>
                    <w:pPr>
                      <w:ind w:left="-57" w:right="-57"/>
                      <w:rPr>
                        <w:sz w:val="18"/>
                        <w:szCs w:val="18"/>
                      </w:rPr>
                    </w:pPr>
                    <w:r>
                      <w:rPr>
                        <w:sz w:val="18"/>
                        <w:szCs w:val="18"/>
                      </w:rPr>
                      <w:t>EIM</w:t>
                    </w:r>
                  </w:p>
                </w:tc>
              </w:tr>
              <w:tr>
                <w:trPr>
                  <w:trHeight w:val="233"/>
                </w:trPr>
                <w:tc>
                  <w:tcPr>
                    <w:tcW w:w="1135" w:type="dxa"/>
                  </w:tcPr>
                  <w:p>
                    <w:pPr>
                      <w:ind w:left="-57" w:right="-57"/>
                      <w:rPr>
                        <w:sz w:val="20"/>
                      </w:rPr>
                    </w:pPr>
                    <w:r>
                      <w:rPr>
                        <w:sz w:val="18"/>
                        <w:szCs w:val="18"/>
                      </w:rPr>
                      <w:t>2.2. Didinti mokslo tarptautiškumo lygį</w:t>
                    </w:r>
                  </w:p>
                </w:tc>
                <w:tc>
                  <w:tcPr>
                    <w:tcW w:w="709" w:type="dxa"/>
                  </w:tcPr>
                  <w:p>
                    <w:pPr>
                      <w:ind w:left="-57" w:right="-57"/>
                      <w:rPr>
                        <w:sz w:val="20"/>
                      </w:rPr>
                    </w:pPr>
                    <w:r>
                      <w:rPr>
                        <w:sz w:val="18"/>
                        <w:szCs w:val="18"/>
                      </w:rPr>
                      <w:t>I</w:t>
                    </w:r>
                  </w:p>
                </w:tc>
                <w:tc>
                  <w:tcPr>
                    <w:tcW w:w="1275" w:type="dxa"/>
                  </w:tcPr>
                  <w:p>
                    <w:pPr>
                      <w:ind w:left="-57" w:right="-57"/>
                      <w:rPr>
                        <w:sz w:val="20"/>
                      </w:rPr>
                    </w:pPr>
                    <w:r>
                      <w:rPr>
                        <w:sz w:val="18"/>
                        <w:szCs w:val="18"/>
                      </w:rPr>
                      <w:t>LMT, MSI</w:t>
                    </w:r>
                  </w:p>
                </w:tc>
                <w:tc>
                  <w:tcPr>
                    <w:tcW w:w="851" w:type="dxa"/>
                  </w:tcPr>
                  <w:p>
                    <w:pPr>
                      <w:ind w:left="-57" w:right="-57"/>
                      <w:rPr>
                        <w:sz w:val="20"/>
                      </w:rPr>
                    </w:pPr>
                    <w:r>
                      <w:rPr>
                        <w:sz w:val="18"/>
                        <w:szCs w:val="18"/>
                      </w:rPr>
                      <w:t>P (2.2.1, 2.2.2), K (2.2.3)</w:t>
                    </w:r>
                  </w:p>
                </w:tc>
                <w:tc>
                  <w:tcPr>
                    <w:tcW w:w="850" w:type="dxa"/>
                  </w:tcPr>
                  <w:p>
                    <w:pPr>
                      <w:ind w:left="-57" w:right="-57"/>
                      <w:rPr>
                        <w:sz w:val="20"/>
                      </w:rPr>
                    </w:pPr>
                    <w:r>
                      <w:rPr>
                        <w:sz w:val="18"/>
                        <w:szCs w:val="18"/>
                      </w:rPr>
                      <w:t>Taip</w:t>
                    </w:r>
                  </w:p>
                </w:tc>
                <w:tc>
                  <w:tcPr>
                    <w:tcW w:w="709" w:type="dxa"/>
                  </w:tcPr>
                  <w:p>
                    <w:pPr>
                      <w:ind w:left="-57" w:right="-57"/>
                      <w:rPr>
                        <w:sz w:val="20"/>
                      </w:rPr>
                    </w:pPr>
                    <w:r>
                      <w:rPr>
                        <w:sz w:val="18"/>
                        <w:szCs w:val="18"/>
                      </w:rPr>
                      <w:t>D</w:t>
                    </w:r>
                  </w:p>
                </w:tc>
                <w:tc>
                  <w:tcPr>
                    <w:tcW w:w="851" w:type="dxa"/>
                  </w:tcPr>
                  <w:p>
                    <w:pPr>
                      <w:ind w:left="-62" w:right="-62"/>
                      <w:textAlignment w:val="baseline"/>
                      <w:rPr>
                        <w:sz w:val="18"/>
                        <w:szCs w:val="18"/>
                        <w:lang w:eastAsia="lt-LT"/>
                      </w:rPr>
                    </w:pPr>
                    <w:r>
                      <w:rPr>
                        <w:sz w:val="18"/>
                        <w:szCs w:val="18"/>
                        <w:lang w:eastAsia="lt-LT"/>
                      </w:rPr>
                      <w:t>(suma 2.2.1, 2.2.2 ir 2.2.3)</w:t>
                    </w:r>
                  </w:p>
                  <w:p>
                    <w:pPr>
                      <w:ind w:left="-57" w:right="-57"/>
                      <w:rPr>
                        <w:sz w:val="18"/>
                        <w:szCs w:val="18"/>
                      </w:rPr>
                    </w:pPr>
                  </w:p>
                  <w:p>
                    <w:pPr>
                      <w:ind w:left="-57" w:right="-57"/>
                      <w:rPr>
                        <w:sz w:val="18"/>
                        <w:szCs w:val="18"/>
                      </w:rPr>
                    </w:pPr>
                  </w:p>
                  <w:p>
                    <w:pPr>
                      <w:ind w:left="-57" w:right="-57"/>
                      <w:rPr>
                        <w:sz w:val="18"/>
                        <w:szCs w:val="18"/>
                      </w:rPr>
                    </w:pPr>
                    <w:r>
                      <w:rPr>
                        <w:sz w:val="18"/>
                        <w:szCs w:val="18"/>
                      </w:rPr>
                      <w:t>69 689</w:t>
                    </w:r>
                  </w:p>
                  <w:p>
                    <w:pPr>
                      <w:ind w:left="-57" w:right="-57"/>
                      <w:rPr>
                        <w:sz w:val="18"/>
                        <w:szCs w:val="18"/>
                      </w:rPr>
                    </w:pPr>
                  </w:p>
                  <w:p>
                    <w:pPr>
                      <w:ind w:left="-57" w:right="-57"/>
                      <w:rPr>
                        <w:sz w:val="18"/>
                        <w:szCs w:val="18"/>
                      </w:rPr>
                    </w:pPr>
                  </w:p>
                  <w:p>
                    <w:pPr>
                      <w:ind w:left="-57" w:right="-57"/>
                      <w:rPr>
                        <w:sz w:val="18"/>
                        <w:szCs w:val="18"/>
                      </w:rPr>
                    </w:pPr>
                    <w:r>
                      <w:rPr>
                        <w:sz w:val="18"/>
                        <w:szCs w:val="18"/>
                      </w:rPr>
                      <w:t>14 635</w:t>
                    </w:r>
                  </w:p>
                  <w:p>
                    <w:pPr>
                      <w:ind w:left="-57" w:right="-57"/>
                      <w:rPr>
                        <w:sz w:val="18"/>
                        <w:szCs w:val="18"/>
                      </w:rPr>
                    </w:pPr>
                  </w:p>
                </w:tc>
                <w:tc>
                  <w:tcPr>
                    <w:tcW w:w="850" w:type="dxa"/>
                  </w:tcPr>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2021–2027 IP</w:t>
                    </w:r>
                  </w:p>
                  <w:p>
                    <w:pPr>
                      <w:ind w:left="-57" w:right="-57"/>
                      <w:rPr>
                        <w:sz w:val="18"/>
                        <w:szCs w:val="18"/>
                      </w:rPr>
                    </w:pPr>
                  </w:p>
                  <w:p>
                    <w:pPr>
                      <w:ind w:left="-57" w:right="-57"/>
                      <w:rPr>
                        <w:sz w:val="18"/>
                        <w:szCs w:val="18"/>
                      </w:rPr>
                    </w:pPr>
                    <w:r>
                      <w:rPr>
                        <w:sz w:val="18"/>
                        <w:szCs w:val="18"/>
                      </w:rPr>
                      <w:t>VB</w:t>
                    </w:r>
                  </w:p>
                </w:tc>
                <w:tc>
                  <w:tcPr>
                    <w:tcW w:w="1276" w:type="dxa"/>
                  </w:tcPr>
                  <w:p>
                    <w:pPr>
                      <w:ind w:left="-57" w:right="-57"/>
                      <w:rPr>
                        <w:sz w:val="18"/>
                        <w:szCs w:val="18"/>
                      </w:rPr>
                    </w:pPr>
                    <w:r>
                      <w:rPr>
                        <w:sz w:val="18"/>
                        <w:szCs w:val="18"/>
                      </w:rPr>
                      <w:t>Visi rodikliai iš 2.2.1, 2.2.2 ir 2.2.3</w:t>
                    </w:r>
                  </w:p>
                  <w:p>
                    <w:pPr>
                      <w:ind w:left="-57" w:right="-57"/>
                      <w:rPr>
                        <w:sz w:val="18"/>
                        <w:szCs w:val="18"/>
                      </w:rPr>
                    </w:pPr>
                  </w:p>
                  <w:p>
                    <w:pPr>
                      <w:ind w:left="-57" w:right="-57" w:firstLine="48"/>
                      <w:rPr>
                        <w:sz w:val="20"/>
                      </w:rPr>
                    </w:pPr>
                  </w:p>
                </w:tc>
                <w:tc>
                  <w:tcPr>
                    <w:tcW w:w="1134" w:type="dxa"/>
                  </w:tcPr>
                  <w:p>
                    <w:pPr>
                      <w:ind w:left="-62" w:right="-62"/>
                      <w:textAlignment w:val="baseline"/>
                      <w:rPr>
                        <w:sz w:val="20"/>
                        <w:szCs w:val="24"/>
                        <w:lang w:eastAsia="lt-LT"/>
                      </w:rPr>
                    </w:pPr>
                    <w:r>
                      <w:rPr>
                        <w:sz w:val="18"/>
                        <w:szCs w:val="18"/>
                        <w:lang w:eastAsia="lt-LT"/>
                      </w:rPr>
                      <w:t>Visos reikšmės iš 2.2.1, 2.2.2 ir 2.2.3</w:t>
                    </w:r>
                  </w:p>
                </w:tc>
                <w:tc>
                  <w:tcPr>
                    <w:tcW w:w="708" w:type="dxa"/>
                  </w:tcPr>
                  <w:p>
                    <w:pPr>
                      <w:ind w:left="-57" w:right="-57"/>
                      <w:rPr>
                        <w:sz w:val="18"/>
                        <w:szCs w:val="18"/>
                      </w:rPr>
                    </w:pPr>
                    <w:r>
                      <w:rPr>
                        <w:sz w:val="18"/>
                        <w:szCs w:val="18"/>
                      </w:rPr>
                      <w:t>CPVA</w:t>
                    </w:r>
                  </w:p>
                  <w:p>
                    <w:pPr>
                      <w:ind w:left="-57" w:right="-57"/>
                      <w:rPr>
                        <w:sz w:val="20"/>
                      </w:rPr>
                    </w:pPr>
                  </w:p>
                </w:tc>
                <w:tc>
                  <w:tcPr>
                    <w:tcW w:w="568" w:type="dxa"/>
                  </w:tcPr>
                  <w:p>
                    <w:pPr>
                      <w:ind w:left="-57" w:right="-57"/>
                      <w:rPr>
                        <w:sz w:val="20"/>
                      </w:rPr>
                    </w:pPr>
                    <w:r>
                      <w:rPr>
                        <w:sz w:val="18"/>
                        <w:szCs w:val="18"/>
                      </w:rPr>
                      <w:t>-</w:t>
                    </w:r>
                  </w:p>
                </w:tc>
              </w:tr>
              <w:tr>
                <w:trPr>
                  <w:trHeight w:val="233"/>
                </w:trPr>
                <w:tc>
                  <w:tcPr>
                    <w:tcW w:w="1135" w:type="dxa"/>
                  </w:tcPr>
                  <w:p>
                    <w:pPr>
                      <w:ind w:left="-57" w:right="-57"/>
                      <w:rPr>
                        <w:sz w:val="18"/>
                        <w:szCs w:val="18"/>
                      </w:rPr>
                    </w:pPr>
                    <w:r>
                      <w:rPr>
                        <w:sz w:val="18"/>
                        <w:szCs w:val="18"/>
                      </w:rPr>
                      <w:t>2.2.1. Didinti mokslo tarptautiškumo lygį (Sostinė)</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52 424 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11 009 </w:t>
                    </w:r>
                  </w:p>
                </w:tc>
                <w:tc>
                  <w:tcPr>
                    <w:tcW w:w="850" w:type="dxa"/>
                  </w:tcPr>
                  <w:p>
                    <w:pPr>
                      <w:ind w:left="-60" w:right="-60"/>
                      <w:textAlignment w:val="baseline"/>
                      <w:rPr>
                        <w:sz w:val="18"/>
                        <w:szCs w:val="18"/>
                        <w:lang w:eastAsia="lt-LT"/>
                      </w:rPr>
                    </w:pPr>
                    <w:r>
                      <w:rPr>
                        <w:sz w:val="18"/>
                        <w:szCs w:val="18"/>
                        <w:lang w:eastAsia="lt-LT"/>
                      </w:rPr>
                      <w:t>2021–2027 IP </w:t>
                    </w:r>
                  </w:p>
                  <w:p>
                    <w:pPr>
                      <w:ind w:left="-60" w:right="-60"/>
                      <w:textAlignment w:val="baseline"/>
                      <w:rPr>
                        <w:sz w:val="18"/>
                        <w:szCs w:val="18"/>
                        <w:lang w:eastAsia="lt-LT"/>
                      </w:rPr>
                    </w:pPr>
                  </w:p>
                  <w:p>
                    <w:pPr>
                      <w:ind w:left="-57" w:right="-57"/>
                      <w:rPr>
                        <w:sz w:val="18"/>
                        <w:szCs w:val="18"/>
                      </w:rPr>
                    </w:pPr>
                    <w:r>
                      <w:rPr>
                        <w:sz w:val="18"/>
                        <w:szCs w:val="18"/>
                      </w:rPr>
                      <w:t>VB </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225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10 484 730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18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28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57" w:right="-57"/>
                      <w:rPr>
                        <w:sz w:val="18"/>
                        <w:szCs w:val="18"/>
                      </w:rPr>
                    </w:pPr>
                    <w:r>
                      <w:rPr>
                        <w:sz w:val="18"/>
                        <w:szCs w:val="18"/>
                      </w:rPr>
                      <w:t>275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rPr>
                    </w:pPr>
                    <w:r>
                      <w:rPr>
                        <w:sz w:val="18"/>
                        <w:szCs w:val="18"/>
                      </w:rPr>
                      <w:t>2.2.2. Didinti mokslo tarptautiškumo lygį (VVL)</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LMT, MSI</w:t>
                    </w:r>
                  </w:p>
                </w:tc>
                <w:tc>
                  <w:tcPr>
                    <w:tcW w:w="851" w:type="dxa"/>
                  </w:tcPr>
                  <w:p>
                    <w:pPr>
                      <w:ind w:left="-57" w:right="-57"/>
                      <w:rPr>
                        <w:sz w:val="18"/>
                        <w:szCs w:val="18"/>
                      </w:rPr>
                    </w:pPr>
                    <w:r>
                      <w:rPr>
                        <w:sz w:val="18"/>
                        <w:szCs w:val="18"/>
                      </w:rPr>
                      <w:t>P</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17 265 </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r>
                      <w:rPr>
                        <w:sz w:val="18"/>
                        <w:szCs w:val="18"/>
                        <w:lang w:eastAsia="lt-LT"/>
                      </w:rPr>
                      <w:t>3 626 </w:t>
                    </w:r>
                  </w:p>
                </w:tc>
                <w:tc>
                  <w:tcPr>
                    <w:tcW w:w="850" w:type="dxa"/>
                  </w:tcPr>
                  <w:p>
                    <w:pPr>
                      <w:ind w:left="-60" w:right="-60"/>
                      <w:textAlignment w:val="baseline"/>
                      <w:rPr>
                        <w:sz w:val="18"/>
                        <w:szCs w:val="18"/>
                        <w:lang w:eastAsia="lt-LT"/>
                      </w:rPr>
                    </w:pPr>
                    <w:r>
                      <w:rPr>
                        <w:sz w:val="18"/>
                        <w:szCs w:val="18"/>
                        <w:lang w:eastAsia="lt-LT"/>
                      </w:rPr>
                      <w:t>2021–2027 IP </w:t>
                    </w:r>
                  </w:p>
                  <w:p>
                    <w:pPr>
                      <w:ind w:left="-57" w:right="-57" w:firstLine="48"/>
                      <w:rPr>
                        <w:sz w:val="18"/>
                        <w:szCs w:val="18"/>
                      </w:rPr>
                    </w:pPr>
                  </w:p>
                  <w:p>
                    <w:pPr>
                      <w:ind w:left="-57" w:right="-57"/>
                      <w:rPr>
                        <w:sz w:val="18"/>
                        <w:szCs w:val="18"/>
                      </w:rPr>
                    </w:pPr>
                    <w:r>
                      <w:rPr>
                        <w:sz w:val="18"/>
                        <w:szCs w:val="18"/>
                      </w:rPr>
                      <w:t>VB</w:t>
                    </w:r>
                  </w:p>
                </w:tc>
                <w:tc>
                  <w:tcPr>
                    <w:tcW w:w="1276" w:type="dxa"/>
                  </w:tcPr>
                  <w:p>
                    <w:pPr>
                      <w:ind w:left="-60" w:right="-60"/>
                      <w:textAlignment w:val="baseline"/>
                      <w:rPr>
                        <w:sz w:val="18"/>
                        <w:szCs w:val="18"/>
                        <w:lang w:eastAsia="lt-LT"/>
                      </w:rPr>
                    </w:pPr>
                    <w:r>
                      <w:rPr>
                        <w:sz w:val="18"/>
                        <w:szCs w:val="18"/>
                        <w:lang w:eastAsia="lt-LT"/>
                      </w:rPr>
                      <w:t>P – Paramą gavusiose mokslinių tyrimų įstaigose dirbantys mokslininkai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P – Nominalioji mokslinių tyrimų ir inovacijų įrangos vertė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Pateiktos patentų paraiškos  </w:t>
                    </w: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R – MTEP veiklos produktas  </w:t>
                    </w:r>
                  </w:p>
                  <w:p>
                    <w:pPr>
                      <w:ind w:left="-60" w:right="-60" w:firstLine="48"/>
                      <w:textAlignment w:val="baseline"/>
                      <w:rPr>
                        <w:sz w:val="18"/>
                        <w:szCs w:val="18"/>
                        <w:lang w:eastAsia="lt-LT"/>
                      </w:rPr>
                    </w:pPr>
                  </w:p>
                  <w:p>
                    <w:pPr>
                      <w:ind w:left="-57" w:right="-57"/>
                      <w:rPr>
                        <w:sz w:val="18"/>
                        <w:szCs w:val="18"/>
                      </w:rPr>
                    </w:pPr>
                    <w:r>
                      <w:rPr>
                        <w:sz w:val="18"/>
                        <w:szCs w:val="18"/>
                      </w:rPr>
                      <w:t>R – Remiamų projektų leidiniai  </w:t>
                    </w:r>
                  </w:p>
                </w:tc>
                <w:tc>
                  <w:tcPr>
                    <w:tcW w:w="1134" w:type="dxa"/>
                  </w:tcPr>
                  <w:p>
                    <w:pPr>
                      <w:ind w:left="-60" w:right="-60"/>
                      <w:textAlignment w:val="baseline"/>
                      <w:rPr>
                        <w:sz w:val="18"/>
                        <w:szCs w:val="18"/>
                        <w:lang w:eastAsia="lt-LT"/>
                      </w:rPr>
                    </w:pPr>
                    <w:r>
                      <w:rPr>
                        <w:sz w:val="18"/>
                        <w:szCs w:val="18"/>
                        <w:lang w:eastAsia="lt-LT"/>
                      </w:rPr>
                      <w:t>300 (2029)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3 453 080 </w:t>
                    </w:r>
                  </w:p>
                  <w:p>
                    <w:pPr>
                      <w:ind w:left="-60" w:right="-60"/>
                      <w:textAlignment w:val="baseline"/>
                      <w:rPr>
                        <w:sz w:val="18"/>
                        <w:szCs w:val="18"/>
                        <w:lang w:eastAsia="lt-LT"/>
                      </w:rPr>
                    </w:pPr>
                    <w:r>
                      <w:rPr>
                        <w:sz w:val="18"/>
                        <w:szCs w:val="18"/>
                        <w:lang w:eastAsia="lt-LT"/>
                      </w:rPr>
                      <w:t>(2029)</w:t>
                    </w: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firstLine="48"/>
                      <w:textAlignment w:val="baseline"/>
                      <w:rPr>
                        <w:sz w:val="18"/>
                        <w:szCs w:val="18"/>
                        <w:lang w:eastAsia="lt-LT"/>
                      </w:rPr>
                    </w:pPr>
                  </w:p>
                  <w:p>
                    <w:pPr>
                      <w:ind w:left="-60" w:right="-60"/>
                      <w:textAlignment w:val="baseline"/>
                      <w:rPr>
                        <w:sz w:val="18"/>
                        <w:szCs w:val="18"/>
                        <w:lang w:eastAsia="lt-LT"/>
                      </w:rPr>
                    </w:pPr>
                    <w:r>
                      <w:rPr>
                        <w:sz w:val="18"/>
                        <w:szCs w:val="18"/>
                        <w:lang w:eastAsia="lt-LT"/>
                      </w:rPr>
                      <w:t>5 (2029)</w:t>
                    </w:r>
                  </w:p>
                  <w:p>
                    <w:pPr>
                      <w:ind w:left="-60" w:right="-60" w:firstLine="48"/>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p>
                  <w:p>
                    <w:pPr>
                      <w:ind w:left="-60" w:right="-60"/>
                      <w:textAlignment w:val="baseline"/>
                      <w:rPr>
                        <w:sz w:val="18"/>
                        <w:szCs w:val="18"/>
                        <w:lang w:eastAsia="lt-LT"/>
                      </w:rPr>
                    </w:pPr>
                    <w:r>
                      <w:rPr>
                        <w:sz w:val="18"/>
                        <w:szCs w:val="18"/>
                        <w:lang w:eastAsia="lt-LT"/>
                      </w:rPr>
                      <w:t>8 (2029)</w:t>
                    </w:r>
                  </w:p>
                  <w:p>
                    <w:pPr>
                      <w:ind w:left="-60" w:right="-60" w:firstLine="48"/>
                      <w:textAlignment w:val="baseline"/>
                      <w:rPr>
                        <w:sz w:val="18"/>
                        <w:szCs w:val="18"/>
                        <w:lang w:eastAsia="lt-LT"/>
                      </w:rPr>
                    </w:pPr>
                  </w:p>
                  <w:p>
                    <w:pPr>
                      <w:ind w:left="-57" w:right="-57"/>
                      <w:rPr>
                        <w:sz w:val="18"/>
                        <w:szCs w:val="18"/>
                      </w:rPr>
                    </w:pPr>
                  </w:p>
                  <w:p>
                    <w:pPr>
                      <w:ind w:left="-57" w:right="-57"/>
                      <w:rPr>
                        <w:sz w:val="18"/>
                        <w:szCs w:val="18"/>
                      </w:rPr>
                    </w:pPr>
                  </w:p>
                  <w:p>
                    <w:pPr>
                      <w:ind w:left="-57" w:right="-57"/>
                      <w:rPr>
                        <w:sz w:val="18"/>
                        <w:szCs w:val="18"/>
                      </w:rPr>
                    </w:pPr>
                    <w:r>
                      <w:rPr>
                        <w:sz w:val="18"/>
                        <w:szCs w:val="18"/>
                      </w:rPr>
                      <w:t>100 (2029)</w:t>
                    </w:r>
                  </w:p>
                </w:tc>
                <w:tc>
                  <w:tcPr>
                    <w:tcW w:w="708" w:type="dxa"/>
                  </w:tcPr>
                  <w:p>
                    <w:pPr>
                      <w:ind w:left="-57" w:right="-57"/>
                      <w:rPr>
                        <w:sz w:val="18"/>
                        <w:szCs w:val="18"/>
                      </w:rPr>
                    </w:pPr>
                    <w:r>
                      <w:rPr>
                        <w:sz w:val="18"/>
                        <w:szCs w:val="18"/>
                      </w:rPr>
                      <w:t>CPVA</w:t>
                    </w:r>
                  </w:p>
                  <w:p>
                    <w:pPr>
                      <w:ind w:left="-57" w:right="-57"/>
                      <w:rPr>
                        <w:sz w:val="18"/>
                        <w:szCs w:val="18"/>
                      </w:rPr>
                    </w:pPr>
                  </w:p>
                </w:tc>
                <w:tc>
                  <w:tcPr>
                    <w:tcW w:w="568" w:type="dxa"/>
                  </w:tcPr>
                  <w:p>
                    <w:pPr>
                      <w:ind w:left="-57" w:right="-57"/>
                      <w:rPr>
                        <w:sz w:val="18"/>
                        <w:szCs w:val="18"/>
                      </w:rPr>
                    </w:pPr>
                    <w:r>
                      <w:rPr>
                        <w:sz w:val="18"/>
                        <w:szCs w:val="18"/>
                      </w:rPr>
                      <w:t>-</w:t>
                    </w:r>
                  </w:p>
                </w:tc>
              </w:tr>
              <w:tr>
                <w:trPr>
                  <w:trHeight w:val="233"/>
                </w:trPr>
                <w:tc>
                  <w:tcPr>
                    <w:tcW w:w="1135" w:type="dxa"/>
                  </w:tcPr>
                  <w:p>
                    <w:pPr>
                      <w:ind w:left="-57" w:right="-57"/>
                      <w:rPr>
                        <w:sz w:val="18"/>
                        <w:szCs w:val="18"/>
                        <w:highlight w:val="yellow"/>
                      </w:rPr>
                    </w:pPr>
                    <w:r>
                      <w:rPr>
                        <w:sz w:val="18"/>
                        <w:szCs w:val="18"/>
                      </w:rPr>
                      <w:t>2.2.3. Tarptautiniai MTEP projektai</w:t>
                    </w:r>
                  </w:p>
                </w:tc>
                <w:tc>
                  <w:tcPr>
                    <w:tcW w:w="709" w:type="dxa"/>
                  </w:tcPr>
                  <w:p>
                    <w:pPr>
                      <w:ind w:left="-57" w:right="-57"/>
                      <w:rPr>
                        <w:sz w:val="18"/>
                        <w:szCs w:val="18"/>
                      </w:rPr>
                    </w:pPr>
                    <w:r>
                      <w:rPr>
                        <w:sz w:val="18"/>
                        <w:szCs w:val="18"/>
                      </w:rPr>
                      <w:t>I</w:t>
                    </w:r>
                  </w:p>
                </w:tc>
                <w:tc>
                  <w:tcPr>
                    <w:tcW w:w="1275" w:type="dxa"/>
                  </w:tcPr>
                  <w:p>
                    <w:pPr>
                      <w:ind w:left="-57" w:right="-57"/>
                      <w:rPr>
                        <w:sz w:val="18"/>
                        <w:szCs w:val="18"/>
                      </w:rPr>
                    </w:pPr>
                    <w:r>
                      <w:rPr>
                        <w:sz w:val="18"/>
                        <w:szCs w:val="18"/>
                      </w:rPr>
                      <w:t>MSI</w:t>
                    </w:r>
                  </w:p>
                </w:tc>
                <w:tc>
                  <w:tcPr>
                    <w:tcW w:w="851" w:type="dxa"/>
                  </w:tcPr>
                  <w:p>
                    <w:pPr>
                      <w:ind w:left="-57" w:right="-57"/>
                      <w:rPr>
                        <w:sz w:val="18"/>
                        <w:szCs w:val="18"/>
                      </w:rPr>
                    </w:pPr>
                    <w:r>
                      <w:rPr>
                        <w:sz w:val="18"/>
                        <w:szCs w:val="18"/>
                      </w:rPr>
                      <w:t>K</w:t>
                    </w:r>
                  </w:p>
                </w:tc>
                <w:tc>
                  <w:tcPr>
                    <w:tcW w:w="850" w:type="dxa"/>
                  </w:tcPr>
                  <w:p>
                    <w:pPr>
                      <w:ind w:left="-57" w:right="-57"/>
                      <w:rPr>
                        <w:sz w:val="18"/>
                        <w:szCs w:val="18"/>
                      </w:rPr>
                    </w:pPr>
                    <w:r>
                      <w:rPr>
                        <w:sz w:val="18"/>
                        <w:szCs w:val="18"/>
                      </w:rPr>
                      <w:t>Taip</w:t>
                    </w:r>
                  </w:p>
                </w:tc>
                <w:tc>
                  <w:tcPr>
                    <w:tcW w:w="709" w:type="dxa"/>
                  </w:tcPr>
                  <w:p>
                    <w:pPr>
                      <w:ind w:left="-57" w:right="-57"/>
                      <w:rPr>
                        <w:sz w:val="18"/>
                        <w:szCs w:val="18"/>
                      </w:rPr>
                    </w:pPr>
                    <w:r>
                      <w:rPr>
                        <w:sz w:val="18"/>
                        <w:szCs w:val="18"/>
                      </w:rPr>
                      <w:t>D</w:t>
                    </w:r>
                  </w:p>
                </w:tc>
                <w:tc>
                  <w:tcPr>
                    <w:tcW w:w="851" w:type="dxa"/>
                  </w:tcPr>
                  <w:p>
                    <w:pPr>
                      <w:ind w:left="-60" w:right="-60"/>
                      <w:textAlignment w:val="baseline"/>
                      <w:rPr>
                        <w:sz w:val="18"/>
                        <w:szCs w:val="18"/>
                        <w:lang w:eastAsia="lt-LT"/>
                      </w:rPr>
                    </w:pPr>
                    <w:r>
                      <w:rPr>
                        <w:sz w:val="18"/>
                        <w:szCs w:val="18"/>
                        <w:lang w:eastAsia="lt-LT"/>
                      </w:rPr>
                      <w:t>-</w:t>
                    </w:r>
                  </w:p>
                </w:tc>
                <w:tc>
                  <w:tcPr>
                    <w:tcW w:w="850" w:type="dxa"/>
                  </w:tcPr>
                  <w:p>
                    <w:pPr>
                      <w:ind w:left="-60" w:right="-60"/>
                      <w:textAlignment w:val="baseline"/>
                      <w:rPr>
                        <w:sz w:val="18"/>
                        <w:szCs w:val="18"/>
                        <w:lang w:eastAsia="lt-LT"/>
                      </w:rPr>
                    </w:pPr>
                    <w:r>
                      <w:rPr>
                        <w:sz w:val="18"/>
                        <w:szCs w:val="18"/>
                        <w:lang w:eastAsia="lt-LT"/>
                      </w:rPr>
                      <w:t>-</w:t>
                    </w:r>
                  </w:p>
                </w:tc>
                <w:tc>
                  <w:tcPr>
                    <w:tcW w:w="1276" w:type="dxa"/>
                  </w:tcPr>
                  <w:p>
                    <w:pPr>
                      <w:ind w:left="-60" w:right="-60"/>
                      <w:textAlignment w:val="baseline"/>
                      <w:rPr>
                        <w:sz w:val="18"/>
                        <w:szCs w:val="18"/>
                        <w:lang w:eastAsia="lt-LT"/>
                      </w:rPr>
                    </w:pPr>
                    <w:r>
                      <w:rPr>
                        <w:sz w:val="18"/>
                        <w:szCs w:val="18"/>
                        <w:lang w:eastAsia="lt-LT"/>
                      </w:rPr>
                      <w:t>-</w:t>
                    </w:r>
                  </w:p>
                </w:tc>
                <w:tc>
                  <w:tcPr>
                    <w:tcW w:w="1134" w:type="dxa"/>
                  </w:tcPr>
                  <w:p>
                    <w:pPr>
                      <w:ind w:left="-60" w:right="-60"/>
                      <w:textAlignment w:val="baseline"/>
                      <w:rPr>
                        <w:sz w:val="18"/>
                        <w:szCs w:val="18"/>
                        <w:lang w:eastAsia="lt-LT"/>
                      </w:rPr>
                    </w:pPr>
                    <w:r>
                      <w:rPr>
                        <w:sz w:val="18"/>
                        <w:szCs w:val="18"/>
                        <w:lang w:eastAsia="lt-LT"/>
                      </w:rPr>
                      <w:t>-</w:t>
                    </w:r>
                  </w:p>
                </w:tc>
                <w:tc>
                  <w:tcPr>
                    <w:tcW w:w="708" w:type="dxa"/>
                  </w:tcPr>
                  <w:p>
                    <w:pPr>
                      <w:ind w:left="-57" w:right="-57"/>
                      <w:rPr>
                        <w:sz w:val="18"/>
                        <w:szCs w:val="18"/>
                      </w:rPr>
                    </w:pPr>
                    <w:r>
                      <w:rPr>
                        <w:sz w:val="18"/>
                        <w:szCs w:val="18"/>
                      </w:rPr>
                      <w:t>LMT</w:t>
                    </w:r>
                  </w:p>
                </w:tc>
                <w:tc>
                  <w:tcPr>
                    <w:tcW w:w="568" w:type="dxa"/>
                  </w:tcPr>
                  <w:p>
                    <w:pPr>
                      <w:ind w:left="-57" w:right="-57"/>
                      <w:rPr>
                        <w:sz w:val="18"/>
                        <w:szCs w:val="18"/>
                      </w:rPr>
                    </w:pPr>
                    <w:r>
                      <w:rPr>
                        <w:sz w:val="18"/>
                        <w:szCs w:val="18"/>
                      </w:rPr>
                      <w:t>-</w:t>
                    </w:r>
                  </w:p>
                </w:tc>
              </w:tr>
            </w:tbl>
            <w:sdt>
              <w:sdtPr>
                <w:alias w:val="pastaba"/>
                <w:tag w:val="part_5d1692d156a947c08db344b7c9a83f29"/>
                <w:lock w:val="sdtLocked"/>
                <w:richText/>
              </w:sdtPr>
              <w:sdtContent>
                <w:p>
                  <w:pPr>
                    <w:ind w:left="-142" w:firstLine="742"/>
                    <w:jc w:val="both"/>
                    <w:rPr>
                      <w:sz w:val="20"/>
                      <w:highlight w:val="yellow"/>
                    </w:rPr>
                  </w:pPr>
                  <w:sdt>
                    <w:sdtPr>
                      <w:alias w:val="Pavadinimas"/>
                      <w:tag w:val="title_5d1692d156a947c08db344b7c9a83f29"/>
                      <w:lock w:val="sdtLocked"/>
                      <w:richText/>
                    </w:sdtPr>
                    <w:sdtContent>
                      <w:r>
                        <w:rPr>
                          <w:b/>
                          <w:bCs/>
                          <w:sz w:val="20"/>
                        </w:rPr>
                        <w:t>Pastaba.</w:t>
                      </w:r>
                    </w:sdtContent>
                  </w:sdt>
                </w:p>
                <w:p>
                  <w:pPr>
                    <w:ind w:firstLine="567"/>
                    <w:jc w:val="both"/>
                    <w:rPr>
                      <w:sz w:val="20"/>
                      <w:szCs w:val="18"/>
                    </w:rPr>
                  </w:pPr>
                  <w:r>
                    <w:rPr>
                      <w:sz w:val="20"/>
                      <w:szCs w:val="18"/>
                    </w:rPr>
                    <w:t>Veikla „1.1. Mokslo ir inovacijų misijų programos“ visa apimtimi bus pradėta įgyvendinti gavus papildomą finansavimą (639 mln. Eur)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w:t>
                  </w:r>
                </w:p>
                <w:p>
                  <w:pPr>
                    <w:ind w:firstLine="567"/>
                    <w:jc w:val="both"/>
                    <w:rPr>
                      <w:sz w:val="20"/>
                      <w:szCs w:val="18"/>
                    </w:rPr>
                  </w:pPr>
                  <w:r>
                    <w:rPr>
                      <w:sz w:val="20"/>
                      <w:szCs w:val="18"/>
                    </w:rPr>
                    <w:t xml:space="preserve">Veikla </w:t>
                  </w:r>
                  <w:r>
                    <w:rPr>
                      <w:sz w:val="20"/>
                    </w:rPr>
                    <w:t>„1.2. Valstybės MTEP užsakymai“</w:t>
                  </w:r>
                  <w:r>
                    <w:rPr>
                      <w:sz w:val="20"/>
                      <w:szCs w:val="18"/>
                    </w:rPr>
                    <w:t xml:space="preserve"> bus pradėta įgyvendinti gavus papildomą finansavimą (117 mln. Eur) iš valstybės biudžeto ar kitų finansavimo šaltinių. Siekiamas rezultatas 2030 m.: įgyvendinti MTEP projektai – 420, paskelbtos publikacijos – 1254, rezultatų, kurie sprendžia šaliai aktualias problemas, skaičius – 90.</w:t>
                  </w:r>
                </w:p>
                <w:p>
                  <w:pPr>
                    <w:ind w:firstLine="567"/>
                    <w:jc w:val="both"/>
                    <w:rPr>
                      <w:sz w:val="20"/>
                      <w:szCs w:val="18"/>
                      <w:highlight w:val="yellow"/>
                    </w:rPr>
                  </w:pPr>
                  <w:r>
                    <w:rPr>
                      <w:sz w:val="20"/>
                      <w:szCs w:val="18"/>
                    </w:rPr>
                    <w:t>Veikla „1.3. Mokslininkų inicijuoti projektai“ visa apimtimi bus pradėta įgyvendinti gavus papildomą finansavimą (133 mln. Eur) iš valstybės biudžeto ar kitų finansavimo šaltinių. Siekiamas rezultatas 2030 m.: įgyvendinti MTEP projektai – 665, paskelbtos publikacijos – 1 995.</w:t>
                  </w:r>
                </w:p>
                <w:p>
                  <w:pPr>
                    <w:ind w:firstLine="567"/>
                    <w:jc w:val="both"/>
                    <w:rPr>
                      <w:sz w:val="20"/>
                      <w:szCs w:val="18"/>
                      <w:highlight w:val="yellow"/>
                    </w:rPr>
                  </w:pPr>
                  <w:r>
                    <w:rPr>
                      <w:sz w:val="20"/>
                      <w:szCs w:val="18"/>
                    </w:rPr>
                    <w:t>Veikla „1.4.3. Technologinės plėtros projektai“ visa apimtimi bus pradėta įgyvendinti gavus papildomą finansavimą (5,4 mln. Eur) iš valstybės biudžeto ar kitų finansavimo šaltinių. Siekiamas rezultatas 2030 m.: įgyvendinti MTEP projektai – 60, sukurti prototipai – 60, pritraukta privataus verslo lėšų – 480 tūkst. Eur, iš projektų tematikų apgintų mokslų daktaro disertacijų – 30.</w:t>
                  </w:r>
                </w:p>
                <w:p>
                  <w:pPr>
                    <w:ind w:firstLine="567"/>
                    <w:jc w:val="both"/>
                    <w:rPr>
                      <w:sz w:val="20"/>
                      <w:szCs w:val="18"/>
                      <w:highlight w:val="yellow"/>
                    </w:rPr>
                  </w:pPr>
                  <w:r>
                    <w:rPr>
                      <w:sz w:val="20"/>
                      <w:szCs w:val="18"/>
                    </w:rPr>
                    <w:t xml:space="preserve">Veikla </w:t>
                  </w:r>
                  <w:r>
                    <w:rPr>
                      <w:sz w:val="20"/>
                    </w:rPr>
                    <w:t>„1.6.3. Atžalinių įmonių mentorystė“</w:t>
                  </w:r>
                  <w:r>
                    <w:rPr>
                      <w:sz w:val="20"/>
                      <w:szCs w:val="18"/>
                    </w:rPr>
                    <w:t xml:space="preserve"> visa apimtimi bus pradėta įgyvendinti gavus papildomą finansavimą (19 mln. Eur)  iš valstybės biudžeto ar kitų finansavimo šaltinių. Siekiamas rezultatas 2030 m.: įgyvendinti MTEP projektai – 100, MTEP veiklos produktas – 33.</w:t>
                  </w:r>
                </w:p>
                <w:p>
                  <w:pPr>
                    <w:ind w:firstLine="567"/>
                    <w:jc w:val="both"/>
                    <w:rPr>
                      <w:sz w:val="20"/>
                      <w:szCs w:val="18"/>
                      <w:highlight w:val="yellow"/>
                    </w:rPr>
                  </w:pPr>
                  <w:r>
                    <w:rPr>
                      <w:sz w:val="20"/>
                      <w:szCs w:val="18"/>
                    </w:rPr>
                    <w:t xml:space="preserve">Veikla </w:t>
                  </w:r>
                  <w:r>
                    <w:rPr>
                      <w:sz w:val="20"/>
                    </w:rPr>
                    <w:t>„2.2.3. Tarptautiniai MTEP projektai“</w:t>
                  </w:r>
                  <w:r>
                    <w:rPr>
                      <w:sz w:val="20"/>
                      <w:szCs w:val="18"/>
                    </w:rPr>
                    <w:t xml:space="preserve"> visa apimtimi bus pradėta įgyvendinti gavus papildomą finansavimą (281 mln. Eur)  iš valstybės biudžeto ar kitų finansavimo šaltinių. Siekiamas rezultatas 2030 m.: įgyvendinti MTEP projektai –1 234, paskelbtos publikacijos – 4 588, MTEP veiklos produktas – 87, pateiktos tarptautinių patentų paraiškos – 33, įkurtos atžalinės įmonės – 16.</w:t>
                  </w:r>
                </w:p>
                <w:p>
                  <w:pPr>
                    <w:jc w:val="both"/>
                    <w:rPr>
                      <w:bCs/>
                      <w:sz w:val="22"/>
                      <w:szCs w:val="22"/>
                    </w:rPr>
                  </w:pPr>
                </w:p>
              </w:sdtContent>
            </w:sdt>
            <w:sdt>
              <w:sdtPr>
                <w:alias w:val="poskyris"/>
                <w:tag w:val="part_d17de5ea88114fbeb71c5fa42b6dfe3e"/>
                <w:lock w:val="sdtLocked"/>
                <w:richText/>
              </w:sdtPr>
              <w:sdtContent>
                <w:p>
                  <w:pPr>
                    <w:ind w:firstLine="567"/>
                    <w:jc w:val="both"/>
                    <w:rPr>
                      <w:b/>
                      <w:sz w:val="18"/>
                      <w:szCs w:val="18"/>
                    </w:rPr>
                  </w:pPr>
                  <w:sdt>
                    <w:sdtPr>
                      <w:alias w:val="Pavadinimas"/>
                      <w:tag w:val="title_d17de5ea88114fbeb71c5fa42b6dfe3e"/>
                      <w:lock w:val="sdtLocked"/>
                      <w:richText/>
                    </w:sdtPr>
                    <w:sdtContent>
                      <w:r>
                        <w:rPr>
                          <w:b/>
                          <w:sz w:val="18"/>
                          <w:szCs w:val="18"/>
                        </w:rPr>
                        <w:t>Paaiškinimai:</w:t>
                      </w:r>
                    </w:sdtContent>
                  </w:sdt>
                </w:p>
                <w:sdt>
                  <w:sdtPr>
                    <w:alias w:val="1 p."/>
                    <w:tag w:val="part_697095b9a6b34dd7beed30a0417431b9"/>
                    <w:lock w:val="sdtLocked"/>
                    <w:richText/>
                  </w:sdtPr>
                  <w:sdtContent>
                    <w:p>
                      <w:pPr>
                        <w:ind w:firstLine="567"/>
                        <w:jc w:val="both"/>
                        <w:rPr>
                          <w:sz w:val="18"/>
                          <w:szCs w:val="18"/>
                        </w:rPr>
                      </w:pPr>
                      <w:sdt>
                        <w:sdtPr>
                          <w:alias w:val="Numeris"/>
                          <w:tag w:val="nr_697095b9a6b34dd7beed30a0417431b9"/>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fdedaca259e94860b7dbe21b18f8ba52"/>
                    <w:lock w:val="sdtLocked"/>
                    <w:richText/>
                  </w:sdtPr>
                  <w:sdtContent>
                    <w:p>
                      <w:pPr>
                        <w:ind w:firstLine="567"/>
                        <w:jc w:val="both"/>
                        <w:rPr>
                          <w:sz w:val="18"/>
                          <w:szCs w:val="18"/>
                        </w:rPr>
                      </w:pPr>
                      <w:sdt>
                        <w:sdtPr>
                          <w:alias w:val="Numeris"/>
                          <w:tag w:val="nr_fdedaca259e94860b7dbe21b18f8ba52"/>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 Jeigu veiklos vykdymo pradžia nesuplanuota ir numatomų poveiklių finansavimo šaltinis nesiskiria, pažangos priemonės aprašas gali būti tvirtinamas nenurodant informacijos apie poveikles. Pažangos priemonės aprašas informacija apie veiklos poveikles turi būti papildytas ne vėliau nei iki kvietimo teikti projektų įgyvendinimo planus šiai veiklai (poveiklei) vykdyti paskelbimo dienos.</w:t>
                      </w:r>
                    </w:p>
                  </w:sdtContent>
                </w:sdt>
                <w:sdt>
                  <w:sdtPr>
                    <w:alias w:val="3 p."/>
                    <w:tag w:val="part_9b41196a45154ce594bdc078b052c8b1"/>
                    <w:lock w:val="sdtLocked"/>
                    <w:richText/>
                  </w:sdtPr>
                  <w:sdtContent>
                    <w:p>
                      <w:pPr>
                        <w:ind w:firstLine="567"/>
                        <w:jc w:val="both"/>
                        <w:rPr>
                          <w:sz w:val="18"/>
                          <w:szCs w:val="18"/>
                        </w:rPr>
                      </w:pPr>
                      <w:sdt>
                        <w:sdtPr>
                          <w:alias w:val="Numeris"/>
                          <w:tag w:val="nr_9b41196a45154ce594bdc078b052c8b1"/>
                          <w:lock w:val="sdtLocked"/>
                          <w:richText/>
                        </w:sdtPr>
                        <w:sdtContent>
                          <w:r>
                            <w:rPr>
                              <w:sz w:val="18"/>
                              <w:szCs w:val="18"/>
                            </w:rPr>
                            <w:t>3</w:t>
                          </w:r>
                        </w:sdtContent>
                      </w:sdt>
                      <w:r>
                        <w:rPr>
                          <w:sz w:val="18"/>
                          <w:szCs w:val="18"/>
                        </w:rPr>
                        <w:t>. 3, 4, 6–8, 11 skiltys nepildomos, kai vykdoma (-as) reguliacinė (-is) veikla (projektas) arba kai vykdoma (-as) analitinė (-is) veikla (projektas), kuriai (-iam) vykdyti naudojamos tęstinės veiklos lėšos.</w:t>
                      </w:r>
                    </w:p>
                  </w:sdtContent>
                </w:sdt>
                <w:sdt>
                  <w:sdtPr>
                    <w:alias w:val="4 p."/>
                    <w:tag w:val="part_c7a4cadb7a4f41dca43d9503ee0655a5"/>
                    <w:lock w:val="sdtLocked"/>
                    <w:richText/>
                  </w:sdtPr>
                  <w:sdtContent>
                    <w:p>
                      <w:pPr>
                        <w:ind w:firstLine="567"/>
                        <w:jc w:val="both"/>
                        <w:rPr>
                          <w:sz w:val="18"/>
                          <w:szCs w:val="18"/>
                        </w:rPr>
                      </w:pPr>
                      <w:sdt>
                        <w:sdtPr>
                          <w:alias w:val="Numeris"/>
                          <w:tag w:val="nr_c7a4cadb7a4f41dca43d9503ee0655a5"/>
                          <w:lock w:val="sdtLocked"/>
                          <w:richText/>
                        </w:sdtPr>
                        <w:sdtContent>
                          <w:r>
                            <w:rPr>
                              <w:sz w:val="18"/>
                              <w:szCs w:val="18"/>
                            </w:rPr>
                            <w:t>4</w:t>
                          </w:r>
                        </w:sdtContent>
                      </w:sdt>
                      <w:r>
                        <w:rPr>
                          <w:sz w:val="18"/>
                          <w:szCs w:val="18"/>
                        </w:rPr>
                        <w:t>. 4 skiltyje nurodomi projektų atrankos būdai: P – planavimas, K – konkursas, T – tęstinė atranka, Pj – planavimas, kai ketinama įgyvendinti jungtinį projektą.</w:t>
                      </w:r>
                    </w:p>
                  </w:sdtContent>
                </w:sdt>
                <w:sdt>
                  <w:sdtPr>
                    <w:alias w:val="5 p."/>
                    <w:tag w:val="part_e5998ef71a6b43f8a3cb4e61f25bf0c0"/>
                    <w:lock w:val="sdtLocked"/>
                    <w:richText/>
                  </w:sdtPr>
                  <w:sdtContent>
                    <w:p>
                      <w:pPr>
                        <w:ind w:firstLine="567"/>
                        <w:jc w:val="both"/>
                        <w:rPr>
                          <w:sz w:val="18"/>
                          <w:szCs w:val="18"/>
                        </w:rPr>
                      </w:pPr>
                      <w:sdt>
                        <w:sdtPr>
                          <w:alias w:val="Numeris"/>
                          <w:tag w:val="nr_e5998ef71a6b43f8a3cb4e61f25bf0c0"/>
                          <w:lock w:val="sdtLocked"/>
                          <w:richText/>
                        </w:sdtPr>
                        <w:sdtContent>
                          <w:r>
                            <w:rPr>
                              <w:sz w:val="18"/>
                              <w:szCs w:val="18"/>
                            </w:rPr>
                            <w:t>5</w:t>
                          </w:r>
                        </w:sdtContent>
                      </w:sdt>
                      <w:r>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6b26ef17d8c0435f83ea8925e85b34d5"/>
                    <w:lock w:val="sdtLocked"/>
                    <w:richText/>
                  </w:sdtPr>
                  <w:sdtContent>
                    <w:p>
                      <w:pPr>
                        <w:ind w:firstLine="567"/>
                        <w:jc w:val="both"/>
                        <w:rPr>
                          <w:sz w:val="18"/>
                          <w:szCs w:val="18"/>
                        </w:rPr>
                      </w:pPr>
                      <w:sdt>
                        <w:sdtPr>
                          <w:alias w:val="Numeris"/>
                          <w:tag w:val="nr_6b26ef17d8c0435f83ea8925e85b34d5"/>
                          <w:lock w:val="sdtLocked"/>
                          <w:richText/>
                        </w:sdtPr>
                        <w:sdtContent>
                          <w:r>
                            <w:rPr>
                              <w:sz w:val="18"/>
                              <w:szCs w:val="18"/>
                            </w:rPr>
                            <w:t>6</w:t>
                          </w:r>
                        </w:sdtContent>
                      </w:sdt>
                      <w:r>
                        <w:rPr>
                          <w:sz w:val="18"/>
                          <w:szCs w:val="18"/>
                        </w:rPr>
                        <w:t>. 6 skiltyje nurodoma taikoma finansavimo forma: DS – dotacija taikant sąlygas, D – dotacija, FP – finansinė priemonė, A – apdovanojimai.</w:t>
                      </w:r>
                    </w:p>
                  </w:sdtContent>
                </w:sdt>
                <w:sdt>
                  <w:sdtPr>
                    <w:alias w:val="7 p."/>
                    <w:tag w:val="part_ab9fa768605749ada94a2fcf7ae612e4"/>
                    <w:lock w:val="sdtLocked"/>
                    <w:richText/>
                  </w:sdtPr>
                  <w:sdtContent>
                    <w:p>
                      <w:pPr>
                        <w:ind w:firstLine="567"/>
                        <w:jc w:val="both"/>
                        <w:rPr>
                          <w:sz w:val="18"/>
                          <w:szCs w:val="18"/>
                        </w:rPr>
                      </w:pPr>
                      <w:sdt>
                        <w:sdtPr>
                          <w:alias w:val="Numeris"/>
                          <w:tag w:val="nr_ab9fa768605749ada94a2fcf7ae612e4"/>
                          <w:lock w:val="sdtLocked"/>
                          <w:richText/>
                        </w:sdtPr>
                        <w:sdtContent>
                          <w:r>
                            <w:rPr>
                              <w:sz w:val="18"/>
                              <w:szCs w:val="18"/>
                            </w:rPr>
                            <w:t>7</w:t>
                          </w:r>
                        </w:sdtContent>
                      </w:sdt>
                      <w:r>
                        <w:rPr>
                          <w:sz w:val="18"/>
                          <w:szCs w:val="18"/>
                        </w:rPr>
                        <w:t>. 7 skiltyje nurodoma konkretaus finansavimo šaltinio, nurodyto II skyriuje, dalis, tenkanti veiklai. Jeigu veiklos (poveiklės) vykdymo pradžia nesuplanuota, pažangos priemonės aprašas gali būti tvirtinamas nenurodant finansavimo sumų. Pažangos priemonės aprašas informacija apie veiklai (poveiklei), projektui įgyvendinti skiriamas finansavimo sumas turi būti papildytas ne vėliau nei iki kvietimo teikti projektų įgyvendinimo planus šiai veiklai (poveiklei) vykdyti paskelbimo dienos.</w:t>
                      </w:r>
                    </w:p>
                  </w:sdtContent>
                </w:sdt>
                <w:sdt>
                  <w:sdtPr>
                    <w:alias w:val="8 p."/>
                    <w:tag w:val="part_028beb4243d84013b5d9b45b12164ae4"/>
                    <w:lock w:val="sdtLocked"/>
                    <w:richText/>
                  </w:sdtPr>
                  <w:sdtContent>
                    <w:p>
                      <w:pPr>
                        <w:ind w:firstLine="567"/>
                        <w:jc w:val="both"/>
                        <w:rPr>
                          <w:iCs/>
                          <w:sz w:val="18"/>
                          <w:szCs w:val="18"/>
                        </w:rPr>
                      </w:pPr>
                      <w:sdt>
                        <w:sdtPr>
                          <w:alias w:val="Numeris"/>
                          <w:tag w:val="nr_028beb4243d84013b5d9b45b12164ae4"/>
                          <w:lock w:val="sdtLocked"/>
                          <w:richText/>
                        </w:sdtPr>
                        <w:sdtContent>
                          <w:r>
                            <w:rPr>
                              <w:sz w:val="18"/>
                              <w:szCs w:val="18"/>
                            </w:rPr>
                            <w:t>8</w:t>
                          </w:r>
                        </w:sdtContent>
                      </w:sdt>
                      <w:r>
                        <w:rPr>
                          <w:sz w:val="18"/>
                          <w:szCs w:val="18"/>
                        </w:rPr>
                        <w:t xml:space="preserve">. 8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971e837722754df5b0a20431e9bb8d5a"/>
                    <w:lock w:val="sdtLocked"/>
                    <w:richText/>
                  </w:sdtPr>
                  <w:sdtContent>
                    <w:p>
                      <w:pPr>
                        <w:ind w:firstLine="567"/>
                        <w:jc w:val="both"/>
                        <w:rPr>
                          <w:sz w:val="18"/>
                          <w:szCs w:val="18"/>
                        </w:rPr>
                      </w:pPr>
                      <w:sdt>
                        <w:sdtPr>
                          <w:alias w:val="Numeris"/>
                          <w:tag w:val="nr_971e837722754df5b0a20431e9bb8d5a"/>
                          <w:lock w:val="sdtLocked"/>
                          <w:richText/>
                        </w:sdt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0 p."/>
                    <w:tag w:val="part_eab1adbf09bb45f4939c0894fac9758d"/>
                    <w:lock w:val="sdtLocked"/>
                    <w:richText/>
                  </w:sdtPr>
                  <w:sdtContent>
                    <w:p>
                      <w:pPr>
                        <w:ind w:firstLine="567"/>
                        <w:jc w:val="both"/>
                        <w:rPr>
                          <w:sz w:val="18"/>
                          <w:szCs w:val="18"/>
                        </w:rPr>
                      </w:pPr>
                      <w:sdt>
                        <w:sdtPr>
                          <w:alias w:val="Numeris"/>
                          <w:tag w:val="nr_eab1adbf09bb45f4939c0894fac9758d"/>
                          <w:lock w:val="sdtLocked"/>
                          <w:richText/>
                        </w:sdtPr>
                        <w:sdtContent>
                          <w:r>
                            <w:rPr>
                              <w:sz w:val="18"/>
                              <w:szCs w:val="18"/>
                            </w:rPr>
                            <w:t>10</w:t>
                          </w:r>
                        </w:sdtContent>
                      </w:sdt>
                      <w:r>
                        <w:rPr>
                          <w:sz w:val="18"/>
                          <w:szCs w:val="18"/>
                        </w:rPr>
                        <w:t>. 11 skiltyje nurodoma priemonės veiklas ar projektus administruojanti institucija.</w:t>
                      </w:r>
                    </w:p>
                  </w:sdtContent>
                </w:sdt>
                <w:sdt>
                  <w:sdtPr>
                    <w:alias w:val="11 p."/>
                    <w:tag w:val="part_9a8c2b5e3b2940c3b3f28bc905bee512"/>
                    <w:lock w:val="sdtLocked"/>
                    <w:richText/>
                  </w:sdtPr>
                  <w:sdtContent>
                    <w:p>
                      <w:pPr>
                        <w:ind w:firstLine="567"/>
                        <w:jc w:val="both"/>
                        <w:rPr>
                          <w:sz w:val="18"/>
                          <w:szCs w:val="18"/>
                        </w:rPr>
                      </w:pPr>
                      <w:sdt>
                        <w:sdtPr>
                          <w:alias w:val="Numeris"/>
                          <w:tag w:val="nr_9a8c2b5e3b2940c3b3f28bc905bee512"/>
                          <w:lock w:val="sdtLocked"/>
                          <w:richText/>
                        </w:sdtPr>
                        <w:sdtContent>
                          <w:r>
                            <w:rPr>
                              <w:sz w:val="18"/>
                              <w:szCs w:val="18"/>
                            </w:rPr>
                            <w:t>11</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2 p."/>
                    <w:tag w:val="part_8411845789654a5bb20ec88052549e8b"/>
                    <w:lock w:val="sdtLocked"/>
                    <w:richText/>
                  </w:sdtPr>
                  <w:sdtContent>
                    <w:p>
                      <w:pPr>
                        <w:ind w:firstLine="567"/>
                        <w:jc w:val="both"/>
                        <w:rPr>
                          <w:bCs/>
                          <w:sz w:val="22"/>
                          <w:szCs w:val="22"/>
                        </w:rPr>
                      </w:pPr>
                      <w:sdt>
                        <w:sdtPr>
                          <w:alias w:val="Numeris"/>
                          <w:tag w:val="nr_8411845789654a5bb20ec88052549e8b"/>
                          <w:lock w:val="sdtLocked"/>
                          <w:richText/>
                        </w:sdtPr>
                        <w:sdtContent>
                          <w:r>
                            <w:rPr>
                              <w:sz w:val="18"/>
                              <w:szCs w:val="18"/>
                            </w:rPr>
                            <w:t>12</w:t>
                          </w:r>
                        </w:sdtContent>
                      </w:sdt>
                      <w:r>
                        <w:rPr>
                          <w:sz w:val="18"/>
                          <w:szCs w:val="18"/>
                        </w:rPr>
                        <w:t>. 1.1.1 papunktyje nurodomi numatomi įgyvendinti projektai, dėl kurių finansavimo sprendimas bus priimtas tik atlikus projektų vertinimą. Jeigu projektai bus atrenkami konkurso būdu, projektai nenurodomi. Jeigu veiklos (poveiklės)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(poveiklei) vykdyti paskelbimo dienos. Jeigu pažangos priemonės veiklai (poveiklei)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projektų administravimui ir įgyvendinimui svarbi informacija nurodoma projektų finansavimo sąlygų apraše.</w:t>
                      </w:r>
                      <w:r>
                        <w:t>“</w:t>
                      </w:r>
                      <w:r>
                        <w:rPr>
                          <w:sz w:val="18"/>
                          <w:szCs w:val="18"/>
                        </w:rPr>
                        <w:t xml:space="preserv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sdtContent>
        </w:sdt>
        <w:sdt>
          <w:sdtPr>
            <w:alias w:val="pabaiga"/>
            <w:tag w:val="part_042a0ee2723d44128ba61a817046903c"/>
            <w:lock w:val="sdtLocked"/>
            <w:richText/>
          </w:sdtPr>
          <w:sdtContent>
            <w:p>
              <w:pPr>
                <w:jc w:val="center"/>
                <w:rPr>
                  <w:bCs/>
                  <w:sz w:val="22"/>
                  <w:szCs w:val="22"/>
                </w:rPr>
              </w:pPr>
              <w:r>
                <w:rPr>
                  <w:bCs/>
                  <w:sz w:val="22"/>
                  <w:szCs w:val="22"/>
                </w:rPr>
                <w:t>________________</w:t>
              </w:r>
            </w:p>
            <w:p>
              <w:pPr>
                <w:jc w:val="center"/>
                <w:rPr>
                  <w:sz w:val="22"/>
                  <w:szCs w:val="24"/>
                </w:rPr>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1+priedas++PFSA+(NCP+ir+mokslo+pat.)+22+12+29 (pagal V-148)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2394f0a78a11ed8df094f359a60216">
            <w:r w:rsidRPr="00532B9F">
              <w:rPr>
                <w:rFonts w:ascii="Arial" w:eastAsia="MS Mincho" w:hAnsi="Arial"/>
                <w:sz w:val="20"/>
                <w:i/>
                <w:iCs/>
                <w:color w:val="0000FF" w:themeColor="hyperlink"/>
                <w:u w:val="single"/>
              </w:rPr>
              <w:t>V-148</w:t>
            </w:r>
          </w:fldSimple>
          <w:r>
            <w:rPr>
              <w:rFonts w:ascii="Arial" w:eastAsia="MS Mincho" w:hAnsi="Arial"/>
              <w:sz w:val="20"/>
              <w:i/>
              <w:iCs/>
            </w:rPr>
            <w:t>,
2023-02-08,
paskelbta TAR 2023-02-08, i. k. 2023-02363        </w:t>
          </w:r>
        </w:p>
        <w:p/>
        <w:p>
          <w:pPr>
            <w:pStyle w:val="PlainText"/>
            <w:rPr>
              <w:rFonts w:ascii="Arial" w:eastAsia="MS Mincho" w:hAnsi="Arial"/>
              <w:sz w:val="20"/>
              <w:iCs/>
            </w:rPr>
          </w:pPr>
          <w:r>
            <w:rPr>
              <w:rFonts w:ascii="Arial" w:eastAsia="MS Mincho" w:hAnsi="Arial"/>
              <w:sz w:val="20"/>
              <w:iCs/>
            </w:rPr>
            <w:t>2+priedas++PFSA+(ERA)+22+12+29 (pagal V-4)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
          <w:pPr>
            <w:pStyle w:val="PlainText"/>
            <w:rPr>
              <w:rFonts w:ascii="Arial" w:eastAsia="MS Mincho" w:hAnsi="Arial"/>
              <w:sz w:val="20"/>
              <w:iCs/>
            </w:rPr>
          </w:pPr>
          <w:r>
            <w:rPr>
              <w:rFonts w:ascii="Arial" w:eastAsia="MS Mincho" w:hAnsi="Arial"/>
              <w:sz w:val="20"/>
              <w:iCs/>
            </w:rPr>
            <w:t>3 priedas PFSA+Nr3+kofinansavimas (pagal V-205)</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p>
          <w:pPr>
            <w:pStyle w:val="PlainText"/>
            <w:rPr>
              <w:rFonts w:ascii="Arial" w:eastAsia="MS Mincho" w:hAnsi="Arial"/>
              <w:sz w:val="20"/>
              <w:iCs/>
            </w:rPr>
          </w:pPr>
          <w:r>
            <w:rPr>
              <w:rFonts w:ascii="Arial" w:eastAsia="MS Mincho" w:hAnsi="Arial"/>
              <w:sz w:val="20"/>
              <w:iCs/>
            </w:rPr>
            <w:t>4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5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6 priedas (pagal V-512)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f7039108b2c11ed8df094f359a60216">
            <w:r w:rsidRPr="00532B9F">
              <w:rPr>
                <w:rFonts w:ascii="Arial" w:eastAsia="MS Mincho" w:hAnsi="Arial"/>
                <w:sz w:val="20"/>
                <w:iCs/>
                <w:color w:val="0000FF" w:themeColor="hyperlink"/>
                <w:u w:val="single"/>
              </w:rPr>
              <w:t>V-4</w:t>
            </w:r>
          </w:fldSimple>
          <w:r>
            <w:rPr>
              <w:rFonts w:ascii="Arial" w:eastAsia="MS Mincho" w:hAnsi="Arial"/>
              <w:sz w:val="20"/>
              <w:iCs/>
            </w:rPr>
            <w:t>,
2023-01-03,
paskelbta TAR 2023-01-03, i. k. 2023-00079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d2394f0a78a11ed8df094f359a60216">
            <w:r w:rsidRPr="00532B9F">
              <w:rPr>
                <w:rFonts w:ascii="Arial" w:eastAsia="MS Mincho" w:hAnsi="Arial"/>
                <w:sz w:val="20"/>
                <w:iCs/>
                <w:color w:val="0000FF" w:themeColor="hyperlink"/>
                <w:u w:val="single"/>
              </w:rPr>
              <w:t>V-148</w:t>
            </w:r>
          </w:fldSimple>
          <w:r>
            <w:rPr>
              <w:rFonts w:ascii="Arial" w:eastAsia="MS Mincho" w:hAnsi="Arial"/>
              <w:sz w:val="20"/>
              <w:iCs/>
            </w:rPr>
            <w:t>,
2023-02-08,
paskelbta TAR 2023-02-08, i. k. 2023-02363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fa519a0b28e11ed8df094f359a60216">
            <w:r w:rsidRPr="00532B9F">
              <w:rPr>
                <w:rFonts w:ascii="Arial" w:eastAsia="MS Mincho" w:hAnsi="Arial"/>
                <w:sz w:val="20"/>
                <w:iCs/>
                <w:color w:val="0000FF" w:themeColor="hyperlink"/>
                <w:u w:val="single"/>
              </w:rPr>
              <w:t>V-205</w:t>
            </w:r>
          </w:fldSimple>
          <w:r>
            <w:rPr>
              <w:rFonts w:ascii="Arial" w:eastAsia="MS Mincho" w:hAnsi="Arial"/>
              <w:sz w:val="20"/>
              <w:iCs/>
            </w:rPr>
            <w:t>,
2023-02-22,
paskelbta TAR 2023-02-22, i. k. 2023-03104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8631db0c3d911ed97b2975f7dad7488">
            <w:r w:rsidRPr="00532B9F">
              <w:rPr>
                <w:rFonts w:ascii="Arial" w:eastAsia="MS Mincho" w:hAnsi="Arial"/>
                <w:sz w:val="20"/>
                <w:iCs/>
                <w:color w:val="0000FF" w:themeColor="hyperlink"/>
                <w:u w:val="single"/>
              </w:rPr>
              <w:t>V-347</w:t>
            </w:r>
          </w:fldSimple>
          <w:r>
            <w:rPr>
              <w:rFonts w:ascii="Arial" w:eastAsia="MS Mincho" w:hAnsi="Arial"/>
              <w:sz w:val="20"/>
              <w:iCs/>
            </w:rPr>
            <w:t>,
2023-03-16,
paskelbta TAR 2023-03-16, i. k. 2023-04671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ebbd0e10d9bf11ed9978886e85107ab2">
            <w:r w:rsidRPr="00532B9F">
              <w:rPr>
                <w:rFonts w:ascii="Arial" w:eastAsia="MS Mincho" w:hAnsi="Arial"/>
                <w:sz w:val="20"/>
                <w:iCs/>
                <w:color w:val="0000FF" w:themeColor="hyperlink"/>
                <w:u w:val="single"/>
              </w:rPr>
              <w:t>V-512</w:t>
            </w:r>
          </w:fldSimple>
          <w:r>
            <w:rPr>
              <w:rFonts w:ascii="Arial" w:eastAsia="MS Mincho" w:hAnsi="Arial"/>
              <w:sz w:val="20"/>
              <w:iCs/>
            </w:rPr>
            <w:t>,
2023-04-13,
paskelbta TAR 2023-04-13, i. k. 2023-07142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Times New Roman"/>
    <w:charset w:val="00"/>
    <w:family w:val="auto"/>
    <w:pitch w:val="variable"/>
    <w:sig w:usb0="00000003" w:usb1="00000000" w:usb2="00000000" w:usb3="00000000" w:csb0="00000001"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44.xml"/>
  <Relationship Id="rId20" Type="http://schemas.openxmlformats.org/officeDocument/2006/relationships/header" Target="header85.xml"/>
  <Relationship Id="rId21" Type="http://schemas.openxmlformats.org/officeDocument/2006/relationships/header" Target="header86.xml"/>
  <Relationship Id="rId22" Type="http://schemas.openxmlformats.org/officeDocument/2006/relationships/footer" Target="footer85.xml"/>
  <Relationship Id="rId23" Type="http://schemas.openxmlformats.org/officeDocument/2006/relationships/footer" Target="footer86.xml"/>
  <Relationship Id="rId24" Type="http://schemas.openxmlformats.org/officeDocument/2006/relationships/header" Target="header87.xml"/>
  <Relationship Id="rId25" Type="http://schemas.openxmlformats.org/officeDocument/2006/relationships/footer" Target="footer87.xml"/>
  <Relationship Id="rId26" Type="http://schemas.openxmlformats.org/officeDocument/2006/relationships/customXml" Target="../customXml/item4.xml"/>
  <Relationship Id="rId3" Type="http://schemas.openxmlformats.org/officeDocument/2006/relationships/footer" Target="footer43.xml"/>
  <Relationship Id="rId4" Type="http://schemas.openxmlformats.org/officeDocument/2006/relationships/footer" Target="footer44.xml"/>
  <Relationship Id="rId5" Type="http://schemas.openxmlformats.org/officeDocument/2006/relationships/header" Target="header45.xml"/>
  <Relationship Id="rId6" Type="http://schemas.openxmlformats.org/officeDocument/2006/relationships/footer" Target="footer45.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1420b5faeaa74003b44ca6285582c7b3"/>
    <Part Type="signatura" DocPartId="a86183da6fed4186b624d2c16a601cbb" PartId="cb724fd6616044e2a23c5602d9105b54"/>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9f8290f50eae42afa7e3510d001595d5">
      <Part Type="poskyris" Title="Pastaba." DocPartId="5d5862df87794cff9ee91cf2c993d0b5" PartId="29f43474d38b4b2ca2850b5878ee0865"/>
      <Part Type="poskyris" Title="Paaiškinimai:" DocPartId="1a91b5926a7244598e88fc85920b24cd" PartId="035cb37b46f7493398fad660f3be91ad">
        <Part Type="punktas" Nr="1" Abbr="1 p." DocPartId="15506526a66a408589159782d0efab61" PartId="a6d268e38118479f8ecdd02f4e810d42"/>
        <Part Type="punktas" Nr="2" Abbr="2 p." DocPartId="5a182afded354f04b8f946fc80d6ff53" PartId="ca2c9d8ac43741f48f752778bdc1acd8"/>
        <Part Type="punktas" Nr="3" Abbr="3 p." DocPartId="5faaa3f2af6242908fde5308ced6973a" PartId="b93ec03fb5c848419c5350b7d3cd45d1"/>
        <Part Type="punktas" Nr="4" Abbr="4 p." DocPartId="7917c781f46f4a22b7ce5767c409e5ec" PartId="81507d032b58456db325b27ec01b3546"/>
        <Part Type="punktas" Nr="5" Abbr="5 p." DocPartId="046aa5cd8db7493abe3f6d3b5128b63c" PartId="e7f9a915605c442d89dcec2cca77681c"/>
      </Part>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16d880ae9654639a72bf7e99bccad5a"/>
      </Part>
    </Part>
    <Part Type="skyrius" Nr="3" Title="PLĖTROS PROGRAMOS PAŽANGOS PRIEMONĖS VEIKLŲ SUVESTINĖ" DocPartId="a4b054442e584e91975ea5160cdc199d" PartId="a8e46f8de70f43c6a69dbe4f34bec629">
      <Part Type="pastaba" DocPartId="973820df028f4db5aeaabe65690d313a" PartId="5d1692d156a947c08db344b7c9a83f29"/>
      <Part Type="poskyris" Title="Paaiškinimai:" DocPartId="783ab542093e40468e41dfc58fdf6990" PartId="d17de5ea88114fbeb71c5fa42b6dfe3e">
        <Part Type="punktas" Nr="1" Abbr="1 p." DocPartId="a40ec3db54dc422499d38c6c1490d065" PartId="697095b9a6b34dd7beed30a0417431b9"/>
        <Part Type="punktas" Nr="2" Abbr="2 p." DocPartId="bb89a5aee5844823bf70bdf2b7e39778" PartId="fdedaca259e94860b7dbe21b18f8ba52"/>
        <Part Type="punktas" Nr="3" Abbr="3 p." DocPartId="63b1703df20f473baa2b697c0c827f26" PartId="9b41196a45154ce594bdc078b052c8b1"/>
        <Part Type="punktas" Nr="4" Abbr="4 p." DocPartId="5843fca9f4a544aeb51ec76334dd61ed" PartId="c7a4cadb7a4f41dca43d9503ee0655a5"/>
        <Part Type="punktas" Nr="5" Abbr="5 p." DocPartId="b329365508b94521a285ad53b71f3dcc" PartId="e5998ef71a6b43f8a3cb4e61f25bf0c0"/>
        <Part Type="punktas" Nr="6" Abbr="6 p." DocPartId="94037b5e71a34b86a5dab25e263ce210" PartId="6b26ef17d8c0435f83ea8925e85b34d5"/>
        <Part Type="punktas" Nr="7" Abbr="7 p." DocPartId="98548cd6f58346e3a52b32a9f0c3e312" PartId="ab9fa768605749ada94a2fcf7ae612e4"/>
        <Part Type="punktas" Nr="8" Abbr="8 p." DocPartId="b5cd6e4db8704fbb890f1c1363bad2af" PartId="028beb4243d84013b5d9b45b12164ae4"/>
        <Part Type="punktas" Nr="9" Abbr="9 p." DocPartId="280ab879644e48258d92b2dc83ab34c3" PartId="971e837722754df5b0a20431e9bb8d5a"/>
        <Part Type="punktas" Nr="10" Abbr="10 p." DocPartId="e5f2d4266b19447dbeb515aa96252301" PartId="eab1adbf09bb45f4939c0894fac9758d"/>
        <Part Type="punktas" Nr="11" Abbr="11 p." DocPartId="d2f8476e2542471f9c4061efe82513c6" PartId="9a8c2b5e3b2940c3b3f28bc905bee512"/>
        <Part Type="punktas" Nr="12" Abbr="12 p." DocPartId="3a6130f83fa84717b19e301f3bbe70c8" PartId="8411845789654a5bb20ec88052549e8b"/>
      </Part>
    </Part>
    <Part Type="pabaiga" DocPartId="d054188cae054845bce68c44c8e9c4c8" PartId="042a0ee2723d44128ba61a817046903c"/>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80779200-2A7D-4237-B99E-D3C011CF9E90}">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5C7F419E-71A7-460A-8E39-9EC1F541F63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38</Pages>
  <Words>7476</Words>
  <Characters>47729</Characters>
  <Application>Microsoft Office Word</Application>
  <DocSecurity>0</DocSecurity>
  <Lines>397</Lines>
  <Paragraphs>110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55095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DRAZDAUSKIENĖ Nijolė</lastModifiedBy>
  <lastPrinted>2018-09-10T12:13:00Z</lastPrinted>
  <dcterms:modified xsi:type="dcterms:W3CDTF">2023-04-17T06:20:00Z</dcterms:modified>
  <revision>8</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