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notes.xml" ContentType="application/vnd.openxmlformats-officedocument.wordprocessingml.footnotes+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a47d8a356f14b92b652045843265b65"/>
        <w:lock w:val="sdtLocked"/>
        <w:richText/>
      </w:sdtPr>
      <w:sdtContent>
        <w:p>
          <w:pPr>
            <w:jc w:val="both"/>
            <w:rPr>
              <w:rFonts w:ascii="Arial" w:hAnsi="Arial"/>
            </w:rPr>
          </w:pPr>
          <w:r>
            <w:rPr>
              <w:rFonts w:ascii="Arial" w:hAnsi="Arial"/>
              <w:b/>
              <w:i/>
            </w:rPr>
            <w:t>Suvestinė redakcija nuo 2023-03-17 iki 2023-04-13</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2022-08-17, i. k. 2022-17227</w:t>
          </w:r>
        </w:p>
        <w:p>
          <w:pPr>
            <w:jc w:val="both"/>
            <w:rPr>
              <w:rFonts w:ascii="Arial" w:hAnsi="Arial"/>
              <w:sz w:val="20"/>
            </w:rPr>
          </w:pPr>
        </w:p>
        <w:p>
          <w:pPr>
            <w:tabs>
              <w:tab w:val="center" w:pos="4986"/>
              <w:tab w:val="right" w:pos="9972"/>
            </w:tabs>
          </w:pPr>
        </w:p>
        <w:p>
          <w:pPr>
            <w:tabs>
              <w:tab w:val="center" w:pos="4819"/>
              <w:tab w:val="right" w:pos="9071"/>
            </w:tabs>
            <w:overflowPunct w:val="0"/>
            <w:textAlignment w:val="baseline"/>
            <w:rPr>
              <w:sz w:val="2"/>
              <w:szCs w:val="2"/>
            </w:rPr>
          </w:pPr>
        </w:p>
        <w:p>
          <w:pPr>
            <w:jc w:val="center"/>
            <w:rPr>
              <w:szCs w:val="24"/>
            </w:rPr>
          </w:pPr>
          <w:r>
            <w:rPr>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8"/>
              <w:szCs w:val="28"/>
            </w:rPr>
          </w:pPr>
          <w:r>
            <w:rPr>
              <w:b/>
              <w:bCs/>
              <w:sz w:val="28"/>
              <w:szCs w:val="28"/>
            </w:rPr>
            <w:t>LIETUVOS RESPUBLIKOS ŠVIETIMO, MOKSLO IR SPORTO MINISTRAS</w:t>
          </w:r>
        </w:p>
        <w:p>
          <w:pPr>
            <w:jc w:val="center"/>
            <w:rPr>
              <w:szCs w:val="24"/>
            </w:rPr>
          </w:pPr>
        </w:p>
        <w:p>
          <w:pPr>
            <w:overflowPunct w:val="0"/>
            <w:jc w:val="center"/>
            <w:textAlignment w:val="baseline"/>
            <w:rPr>
              <w:szCs w:val="24"/>
            </w:rPr>
          </w:pPr>
          <w:r>
            <w:rPr>
              <w:b/>
              <w:bCs/>
              <w:szCs w:val="24"/>
            </w:rPr>
            <w:t>ĮSAKYMAS</w:t>
          </w:r>
        </w:p>
        <w:p>
          <w:pPr>
            <w:jc w:val="center"/>
            <w:rPr>
              <w:b/>
              <w:bCs/>
              <w:szCs w:val="24"/>
            </w:rPr>
          </w:pPr>
          <w:r>
            <w:rPr>
              <w:b/>
              <w:bCs/>
              <w:szCs w:val="24"/>
            </w:rPr>
            <w:t xml:space="preserve">DĖL </w:t>
          </w:r>
          <w:r>
            <w:rPr>
              <w:b/>
              <w:bCs/>
              <w:szCs w:val="24"/>
              <w:shd w:val="clear" w:color="auto" w:fill="FFFFFF"/>
            </w:rPr>
            <w:t>2022–2030 M. PLĖTROS 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w:t>
          </w:r>
        </w:p>
        <w:p>
          <w:pPr>
            <w:jc w:val="center"/>
            <w:rPr>
              <w:szCs w:val="24"/>
            </w:rPr>
          </w:pPr>
        </w:p>
        <w:p>
          <w:pPr>
            <w:keepNext/>
            <w:tabs>
              <w:tab w:val="left" w:pos="5035"/>
            </w:tabs>
            <w:overflowPunct w:val="0"/>
            <w:jc w:val="center"/>
            <w:textAlignment w:val="baseline"/>
            <w:rPr>
              <w:szCs w:val="24"/>
            </w:rPr>
          </w:pPr>
          <w:r>
            <w:rPr>
              <w:szCs w:val="24"/>
            </w:rPr>
            <w:t xml:space="preserve">2022 m. rugpjūčio 17 d. Nr. V-1250 </w:t>
          </w:r>
        </w:p>
        <w:p>
          <w:pPr>
            <w:overflowPunct w:val="0"/>
            <w:jc w:val="center"/>
            <w:textAlignment w:val="baseline"/>
            <w:rPr>
              <w:szCs w:val="24"/>
            </w:rPr>
          </w:pPr>
          <w:smartTag w:uri="urn:schemas-tilde-lv/tildestengine" w:element="firmas">
            <w:r>
              <w:rPr>
                <w:szCs w:val="24"/>
              </w:rPr>
              <w:t>Vilnius</w:t>
            </w:r>
          </w:smartTag>
        </w:p>
        <w:p>
          <w:pPr>
            <w:jc w:val="center"/>
            <w:rPr>
              <w:szCs w:val="24"/>
            </w:rPr>
          </w:pPr>
        </w:p>
        <w:p>
          <w:pPr>
            <w:jc w:val="center"/>
            <w:rPr>
              <w:szCs w:val="24"/>
            </w:rPr>
          </w:pPr>
        </w:p>
        <w:p>
          <w:pPr>
            <w:jc w:val="center"/>
            <w:rPr>
              <w:sz w:val="2"/>
              <w:szCs w:val="2"/>
            </w:rPr>
          </w:pPr>
        </w:p>
        <w:sdt>
          <w:sdtPr>
            <w:alias w:val="preambule"/>
            <w:tag w:val="part_1446f74c56424906a1bcc07b00192777"/>
            <w:lock w:val="sdtLocked"/>
            <w:richText/>
          </w:sdtPr>
          <w:sdtContent>
            <w:p>
              <w:pPr>
                <w:tabs>
                  <w:tab w:val="left" w:pos="851"/>
                </w:tabs>
                <w:ind w:firstLine="1276"/>
                <w:jc w:val="both"/>
                <w:rPr>
                  <w:szCs w:val="24"/>
                </w:rPr>
              </w:pPr>
              <w:r>
                <w:rPr>
                  <w:szCs w:val="24"/>
                </w:rPr>
                <w:t>Į</w:t>
              </w:r>
              <w:r>
                <w:rPr>
                  <w:color w:val="000000"/>
                </w:rPr>
                <w:t>gyvendindama Strateginio valdymo metodikos, patvirtintos Lietuvos Respublikos Vyriausybės 2021 m. balandžio 28 d. nutarimu Nr. 292 „Dėl Strateginio valdymo metodikos patvirtinimo“, 82 ir 87 punktus, 2021–2030 metų nacionalinio pažangos plano, patvirtinto Lietuvos Respublikos Vyriausybės 2020 m. rugsėjo 9 d. nutarimu Nr. 998 „Dėl 2021–2030 metų nacionalinio pažangos plano patvirtinimo“, 1 strateginio tikslo „Pereiti prie mokslo žiniomis, pažangiosiomis technologijomis, inovacijomis grįsto darnaus ekonomikos vystymosi ir didinti šalies tarptautinį konkurencingumą“ 1.1 uždavinį „Stiprinti žmonių išteklius ir kompetencijas aukšto lygio mokslui ir mokslu grįstoms technologijoms kurti“, 1.2 uždavinį „Kurti aukšto lygio mokslo žinias, didinančias šalies konkurencingumą“, 1.3 uždavinį „Skatinti mokslui imlaus verslo kūrimąsi bei mokslo ir verslo bendradarbiavimą ir plėtoti verslumo kultūrą mokslo ir studijų institucijose“ ir 3 strateginio tikslo „</w:t>
              </w:r>
              <w:r>
                <w:rPr>
                  <w:color w:val="000000"/>
                  <w:szCs w:val="24"/>
                </w:rPr>
                <w:t>Didinti švietimo įtrauktį ir veiksmingumą, siekiant atitikties asmens ir visuomenės poreikiams“</w:t>
              </w:r>
              <w:r>
                <w:rPr>
                  <w:color w:val="000000"/>
                </w:rPr>
                <w:t xml:space="preserve"> 3.7 uždavinį „Plėtoti mokslu grįstas studijas, geriau panaudojant laisvųjų mokslinių tyrimų potencialą, ir prisidėti prie Lietuvai ir pasauliui aktualių iššūkių sprendimo“,</w:t>
              </w:r>
              <w:r>
                <w:rPr>
                  <w:color w:val="000000"/>
                  <w:shd w:val="clear" w:color="auto" w:fill="FFFFFF"/>
                </w:rPr>
                <w:t> </w:t>
              </w:r>
              <w:r>
                <w:rPr>
                  <w:color w:val="000000"/>
                </w:rPr>
                <w:t>2022–2030 m. plėtros programos valdytojos Lietuvos Respublikos švietimo, mokslo ir sporto ministerijos mokslo plėtros programą, patvirtintą Lietuvos Respublikos Vyriausybės 2022 m. sausio 26 d. nutarimu Nr. 67 „Dėl 2022–2030 m. plėtros programos valdytojos Lietuvos Respublikos švietimo, mokslo ir sporto ministerijos mokslo plėtros programos patvirtinimo“, siekdama įgyvendinti 2021 m. liepos 20 d. Tarybos įgyvendinimo sprendimo Nr. CM 4171/21 dėl Lietuvos ekonomikos gaivinimo ir atsparumo didinimo plano įvertinimo patvirtinimo priedo E.1.3.3 3 papriemonę „Paskatinti mokslą ir verslą dalyvauti ES mokslinių tyrimų ir inovacijų programoje „Europos horizontas“ ir kitose tarptautinio finansavimo programose“ ir atsižvelgdama į Plėtros programos pažangos priemonės aprašo formą ir Plėtros programos pažangos priemonės apraše nurodytos informacijos pagrindimo aprašo formą, patvirtintas Lietuvos Respublikos finansų ministro 2021 m. birželio 28 d. įsakymu Nr. 1K-227 „Dėl Strateginio valdymo metodikos taikymo“, ir į darbo grupės pažangos priemonei „Stiprinti inovacijų ekosistemas mokslo centruose“ parengti, sudarytos Lietuvos Respublikos švietimo, mokslo ir sporto ministro 2022 m. gegužės 17 d. įsakymu Nr. V-776 „Dėl darbo grupės pažangos priemonei „Stiprinti inovacijų ekosistemas mokslo centruose“ parengti sudarymo“, 2022 m. gegužės 31 d. „Darbo grupės pažangos priemonei „Stiprinti inovacijų ekosistemas mokslo centruose“ parengti“ posėdžio protokolą</w:t>
              </w:r>
              <w:r>
                <w:rPr>
                  <w:szCs w:val="24"/>
                </w:rPr>
                <w:t>, taip pat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a519a0b28e11ed8df094f359a60216">
                <w:r w:rsidRPr="00532B9F">
                  <w:rPr>
                    <w:rFonts w:ascii="Arial" w:eastAsia="MS Mincho" w:hAnsi="Arial"/>
                    <w:sz w:val="20"/>
                    <w:i/>
                    <w:iCs/>
                    <w:color w:val="0000FF" w:themeColor="hyperlink"/>
                    <w:u w:val="single"/>
                  </w:rPr>
                  <w:t>V-205</w:t>
                </w:r>
              </w:fldSimple>
              <w:r>
                <w:rPr>
                  <w:rFonts w:ascii="Arial" w:eastAsia="MS Mincho" w:hAnsi="Arial"/>
                  <w:sz w:val="20"/>
                  <w:i/>
                  <w:iCs/>
                </w:rPr>
                <w:t>,
2023-02-22,
paskelbta TAR 2023-02-22, i. k. 2023-03104            </w:t>
              </w:r>
            </w:p>
            <w:p/>
          </w:sdtContent>
        </w:sdt>
        <w:sdt>
          <w:sdtPr>
            <w:alias w:val="pastraipa"/>
            <w:tag w:val="part_1420b5faeaa74003b44ca6285582c7b3"/>
            <w:lock w:val="sdtLocked"/>
            <w:richText/>
          </w:sdtPr>
          <w:sdtContent>
            <w:p>
              <w:pPr>
                <w:spacing w:line="276" w:lineRule="auto"/>
                <w:ind w:firstLine="1276"/>
                <w:jc w:val="both"/>
                <w:rPr>
                  <w:sz w:val="2"/>
                  <w:szCs w:val="2"/>
                </w:rPr>
              </w:pPr>
              <w:r>
                <w:rPr>
                  <w:szCs w:val="24"/>
                </w:rPr>
                <w:t xml:space="preserve">t v i r t i n u </w:t>
              </w: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aprašą (pridedama).</w:t>
              </w:r>
            </w:p>
            <w:p>
              <w:pPr>
                <w:tabs>
                  <w:tab w:val="center" w:pos="4819"/>
                  <w:tab w:val="right" w:pos="9071"/>
                </w:tabs>
                <w:overflowPunct w:val="0"/>
                <w:spacing w:line="360" w:lineRule="auto"/>
                <w:jc w:val="both"/>
                <w:textAlignment w:val="baseline"/>
                <w:rPr>
                  <w:rFonts w:ascii="HelveticaLT" w:hAnsi="HelveticaLT"/>
                  <w:sz w:val="20"/>
                </w:rPr>
              </w:pPr>
            </w:p>
            <w:p>
              <w:pPr>
                <w:jc w:val="both"/>
                <w:rPr>
                  <w:sz w:val="2"/>
                  <w:szCs w:val="2"/>
                </w:rPr>
              </w:pPr>
            </w:p>
            <w:p>
              <w:pPr>
                <w:tabs>
                  <w:tab w:val="left" w:pos="5886"/>
                </w:tabs>
                <w:overflowPunct w:val="0"/>
                <w:spacing w:line="276" w:lineRule="auto"/>
                <w:jc w:val="both"/>
                <w:textAlignment w:val="baseline"/>
                <w:rPr>
                  <w:szCs w:val="24"/>
                </w:rPr>
              </w:pPr>
            </w:p>
            <w:p>
              <w:pPr>
                <w:tabs>
                  <w:tab w:val="left" w:pos="5886"/>
                </w:tabs>
                <w:overflowPunct w:val="0"/>
                <w:spacing w:line="276" w:lineRule="auto"/>
                <w:jc w:val="both"/>
                <w:textAlignment w:val="baseline"/>
                <w:rPr>
                  <w:szCs w:val="24"/>
                </w:rPr>
              </w:pPr>
            </w:p>
          </w:sdtContent>
        </w:sdt>
        <w:sdt>
          <w:sdtPr>
            <w:alias w:val="signatura"/>
            <w:tag w:val="part_cb724fd6616044e2a23c5602d9105b54"/>
            <w:lock w:val="sdtLocked"/>
            <w:richText/>
          </w:sdtPr>
          <w:sdtContent>
            <w:p>
              <w:pPr>
                <w:tabs>
                  <w:tab w:val="left" w:pos="5886"/>
                </w:tabs>
                <w:overflowPunct w:val="0"/>
                <w:spacing w:line="276" w:lineRule="auto"/>
                <w:jc w:val="both"/>
                <w:textAlignment w:val="baseline"/>
                <w:rPr>
                  <w:szCs w:val="24"/>
                </w:rPr>
              </w:pPr>
              <w:r>
                <w:rPr>
                  <w:szCs w:val="24"/>
                </w:rPr>
                <w:t>Švietimo, mokslo ir sporto ministrė</w:t>
                <w:tab/>
                <w:tab/>
                <w:tab/>
                <w:t>Jurgita Šiugždinienė</w:t>
              </w:r>
            </w:p>
            <w:p>
              <w:pPr>
                <w:tabs>
                  <w:tab w:val="center" w:pos="4986"/>
                  <w:tab w:val="right" w:pos="9972"/>
                </w:tabs>
                <w:rPr>
                  <w:sz w:val="22"/>
                  <w:szCs w:val="22"/>
                </w:rPr>
              </w:pPr>
            </w:p>
            <w:p>
              <w:pPr>
                <w:tabs>
                  <w:tab w:val="center" w:pos="4986"/>
                  <w:tab w:val="right" w:pos="9972"/>
                </w:tabs>
                <w:rPr>
                  <w:sz w:val="22"/>
                  <w:szCs w:val="22"/>
                </w:rPr>
              </w:pPr>
            </w:p>
          </w:sdtContent>
        </w:sdt>
      </w:sdtContent>
    </w:sdt>
    <w:sdt>
      <w:sdtPr>
        <w:alias w:val="patvirtinta"/>
        <w:tag w:val="part_7909b7209d474123ae8ca74d262ecc4a"/>
        <w:lock w:val="sdtLocked"/>
        <w:richText/>
      </w:sdtPr>
      <w:sdtContent>
        <w:p>
          <w:pPr>
            <w:ind w:firstLine="8505"/>
            <w:sectPr>
              <w:headerReference w:type="even" r:id="rId19"/>
              <w:headerReference w:type="default" r:id="rId20"/>
              <w:footerReference w:type="even" r:id="rId21"/>
              <w:footerReference w:type="default" r:id="rId22"/>
              <w:headerReference w:type="first" r:id="rId23"/>
              <w:footerReference w:type="first" r:id="rId24"/>
              <w:type w:val="continuous"/>
              <w:pgSz w:w="11907" w:h="16840" w:code="9"/>
              <w:pgMar w:top="1701" w:right="567" w:bottom="1134" w:left="1701" w:header="289" w:footer="720" w:gutter="0"/>
              <w:pgNumType w:start="1"/>
              <w:cols w:space="720"/>
              <w:noEndnote/>
              <w:titlePg/>
              <w:docGrid w:linePitch="326"/>
            </w:sectPr>
          </w:pPr>
        </w:p>
        <w:p>
          <w:pPr>
            <w:ind w:firstLine="8505"/>
            <w:rPr>
              <w:bCs/>
              <w:sz w:val="22"/>
              <w:szCs w:val="22"/>
            </w:rPr>
          </w:pPr>
          <w:r>
            <w:rPr>
              <w:bCs/>
              <w:sz w:val="22"/>
              <w:szCs w:val="22"/>
            </w:rPr>
            <w:t>PATVIRTINTA</w:t>
          </w:r>
        </w:p>
        <w:p>
          <w:pPr>
            <w:ind w:firstLine="8505"/>
            <w:rPr>
              <w:bCs/>
              <w:szCs w:val="24"/>
            </w:rPr>
          </w:pPr>
          <w:r>
            <w:rPr>
              <w:bCs/>
              <w:szCs w:val="24"/>
            </w:rPr>
            <w:t xml:space="preserve">Lietuvos Respublikos švietimo, mokslo ir sporto </w:t>
          </w:r>
        </w:p>
        <w:p>
          <w:pPr>
            <w:ind w:firstLine="8505"/>
            <w:rPr>
              <w:bCs/>
              <w:szCs w:val="24"/>
            </w:rPr>
          </w:pPr>
          <w:r>
            <w:rPr>
              <w:bCs/>
              <w:szCs w:val="24"/>
            </w:rPr>
            <w:t>ministro 2022 m. rugpjūčio 17 d.</w:t>
          </w:r>
        </w:p>
        <w:p>
          <w:pPr>
            <w:ind w:firstLine="8505"/>
            <w:rPr>
              <w:b/>
              <w:szCs w:val="24"/>
            </w:rPr>
          </w:pPr>
          <w:r>
            <w:rPr>
              <w:bCs/>
              <w:szCs w:val="24"/>
            </w:rPr>
            <w:t>įsakymu Nr. V-1250</w:t>
          </w:r>
        </w:p>
        <w:p>
          <w:pPr>
            <w:jc w:val="center"/>
            <w:rPr>
              <w:b/>
              <w:szCs w:val="24"/>
            </w:rPr>
          </w:pPr>
        </w:p>
        <w:p>
          <w:pPr>
            <w:jc w:val="center"/>
            <w:rPr>
              <w:b/>
              <w:bCs/>
              <w:caps/>
              <w:szCs w:val="24"/>
            </w:rPr>
          </w:pPr>
          <w:sdt>
            <w:sdtPr>
              <w:alias w:val="Pavadinimas"/>
              <w:tag w:val="title_7909b7209d474123ae8ca74d262ecc4a"/>
              <w:lock w:val="sdtLocked"/>
              <w:richText/>
            </w:sdtPr>
            <w:sdtContent>
              <w:r>
                <w:rPr>
                  <w:b/>
                  <w:bCs/>
                  <w:szCs w:val="24"/>
                  <w:shd w:val="clear" w:color="auto" w:fill="FFFFFF"/>
                </w:rPr>
                <w:t xml:space="preserve">2022–2030 METŲ PLĖTROS PROGRAMOS VALDYTOJOS LIETUVOS RESPUBLIKOS ŠVIETIMO, MOKSLO IR SPORTO MINISTERIJOS MOKSLO PLĖTROS PROGRAMOS </w:t>
              </w:r>
              <w:r>
                <w:rPr>
                  <w:b/>
                  <w:bCs/>
                  <w:szCs w:val="24"/>
                </w:rPr>
                <w:t xml:space="preserve">PAŽANGOS PRIEMONĖS NR. </w:t>
              </w:r>
              <w:r>
                <w:rPr>
                  <w:b/>
                  <w:bCs/>
                </w:rPr>
                <w:t>12-001-01-02-01 „STIPRINTI INOVACIJŲ EKOSISTEMAS MOKSLO CENTRUOSE“</w:t>
              </w:r>
              <w:r>
                <w:rPr>
                  <w:b/>
                  <w:bCs/>
                  <w:szCs w:val="24"/>
                </w:rPr>
                <w:t xml:space="preserve"> APRAŠAS</w:t>
              </w:r>
            </w:sdtContent>
          </w:sdt>
        </w:p>
        <w:p>
          <w:pPr>
            <w:jc w:val="center"/>
            <w:rPr>
              <w:b/>
              <w:caps/>
              <w:szCs w:val="24"/>
              <w:lang w:eastAsia="lt-LT"/>
            </w:rPr>
          </w:pPr>
        </w:p>
        <w:sdt>
          <w:sdtPr>
            <w:alias w:val="skyrius"/>
            <w:tag w:val="part_9f8290f50eae42afa7e3510d001595d5"/>
            <w:lock w:val="sdtLocked"/>
            <w:richText/>
          </w:sdtPr>
          <w:sdtContent>
            <w:p>
              <w:pPr>
                <w:tabs>
                  <w:tab w:val="left" w:pos="1985"/>
                </w:tabs>
                <w:jc w:val="center"/>
                <w:rPr>
                  <w:b/>
                  <w:bCs/>
                  <w:szCs w:val="24"/>
                </w:rPr>
              </w:pPr>
              <w:sdt>
                <w:sdtPr>
                  <w:alias w:val="Numeris"/>
                  <w:tag w:val="nr_9f8290f50eae42afa7e3510d001595d5"/>
                  <w:lock w:val="sdtLocked"/>
                  <w:richText/>
                </w:sdtPr>
                <w:sdtContent>
                  <w:r>
                    <w:rPr>
                      <w:b/>
                      <w:bCs/>
                      <w:szCs w:val="24"/>
                    </w:rPr>
                    <w:t>I</w:t>
                  </w:r>
                </w:sdtContent>
              </w:sdt>
              <w:r>
                <w:rPr>
                  <w:b/>
                  <w:bCs/>
                  <w:szCs w:val="24"/>
                </w:rPr>
                <w:t xml:space="preserve"> SKYRIUS</w:t>
              </w:r>
            </w:p>
            <w:p>
              <w:pPr>
                <w:jc w:val="center"/>
                <w:rPr>
                  <w:b/>
                  <w:bCs/>
                  <w:lang w:eastAsia="lt-LT"/>
                </w:rPr>
              </w:pPr>
              <w:sdt>
                <w:sdtPr>
                  <w:alias w:val="Pavadinimas"/>
                  <w:tag w:val="title_9f8290f50eae42afa7e3510d001595d5"/>
                  <w:lock w:val="sdtLocked"/>
                  <w:richText/>
                </w:sdtPr>
                <w:sdtContent>
                  <w:r>
                    <w:rPr>
                      <w:b/>
                      <w:bCs/>
                      <w:lang w:eastAsia="lt-LT"/>
                    </w:rPr>
                    <w:t>PLĖTROS PROGRAMOS PAŽANGOS PRIEMONĖS SIEKIAMI REZULTATAI</w:t>
                  </w:r>
                </w:sdtContent>
              </w:sdt>
            </w:p>
            <w:p>
              <w:pPr>
                <w:jc w:val="center"/>
                <w:rPr>
                  <w:b/>
                  <w:bCs/>
                  <w:lang w:eastAsia="lt-LT"/>
                </w:rPr>
              </w:pPr>
            </w:p>
            <w:tbl>
              <w:tblPr>
                <w:tblW w:w="144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47"/>
                <w:gridCol w:w="1417"/>
                <w:gridCol w:w="2978"/>
                <w:gridCol w:w="1275"/>
                <w:gridCol w:w="1560"/>
                <w:gridCol w:w="992"/>
                <w:gridCol w:w="1134"/>
                <w:gridCol w:w="2551"/>
              </w:tblGrid>
              <w:tr>
                <w:trPr>
                  <w:jc w:val="center"/>
                </w:trPr>
                <w:tc>
                  <w:tcPr>
                    <w:tcW w:w="2547" w:type="dxa"/>
                    <w:vMerge w:val="restart"/>
                    <w:shd w:val="clear" w:color="auto" w:fill="DEEAF6" w:themeFill="accent1" w:themeFillTint="33"/>
                    <w:vAlign w:val="center"/>
                  </w:tcPr>
                  <w:p>
                    <w:pPr>
                      <w:jc w:val="center"/>
                      <w:rPr>
                        <w:b/>
                        <w:sz w:val="22"/>
                        <w:szCs w:val="22"/>
                      </w:rPr>
                    </w:pPr>
                    <w:r>
                      <w:rPr>
                        <w:b/>
                        <w:sz w:val="22"/>
                        <w:szCs w:val="22"/>
                      </w:rPr>
                      <w:t>Rodiklio kodas</w:t>
                    </w:r>
                  </w:p>
                </w:tc>
                <w:tc>
                  <w:tcPr>
                    <w:tcW w:w="1417" w:type="dxa"/>
                    <w:vMerge w:val="restart"/>
                    <w:shd w:val="clear" w:color="auto" w:fill="DEEAF6" w:themeFill="accent1" w:themeFillTint="33"/>
                    <w:vAlign w:val="center"/>
                  </w:tcPr>
                  <w:p>
                    <w:pPr>
                      <w:jc w:val="center"/>
                      <w:rPr>
                        <w:b/>
                        <w:sz w:val="22"/>
                        <w:szCs w:val="22"/>
                      </w:rPr>
                    </w:pPr>
                    <w:r>
                      <w:rPr>
                        <w:b/>
                        <w:sz w:val="22"/>
                        <w:szCs w:val="22"/>
                      </w:rPr>
                      <w:t>Rodiklio tipas (rezultato / produkto)</w:t>
                    </w:r>
                  </w:p>
                </w:tc>
                <w:tc>
                  <w:tcPr>
                    <w:tcW w:w="2978" w:type="dxa"/>
                    <w:vMerge w:val="restart"/>
                    <w:shd w:val="clear" w:color="auto" w:fill="DEEAF6" w:themeFill="accent1" w:themeFillTint="33"/>
                    <w:vAlign w:val="center"/>
                  </w:tcPr>
                  <w:p>
                    <w:pPr>
                      <w:jc w:val="center"/>
                      <w:rPr>
                        <w:b/>
                        <w:sz w:val="22"/>
                        <w:szCs w:val="22"/>
                      </w:rPr>
                    </w:pPr>
                    <w:r>
                      <w:rPr>
                        <w:b/>
                        <w:sz w:val="22"/>
                        <w:szCs w:val="22"/>
                      </w:rPr>
                      <w:t xml:space="preserve">Rodiklio pavadinimas </w:t>
                    </w:r>
                  </w:p>
                </w:tc>
                <w:tc>
                  <w:tcPr>
                    <w:tcW w:w="1275" w:type="dxa"/>
                    <w:vMerge w:val="restart"/>
                    <w:shd w:val="clear" w:color="auto" w:fill="DEEAF6" w:themeFill="accent1" w:themeFillTint="33"/>
                    <w:vAlign w:val="center"/>
                  </w:tcPr>
                  <w:p>
                    <w:pPr>
                      <w:jc w:val="center"/>
                      <w:rPr>
                        <w:b/>
                        <w:sz w:val="22"/>
                        <w:szCs w:val="22"/>
                      </w:rPr>
                    </w:pPr>
                    <w:r>
                      <w:rPr>
                        <w:b/>
                        <w:sz w:val="22"/>
                        <w:szCs w:val="22"/>
                      </w:rPr>
                      <w:t>Matavimo vienetas</w:t>
                    </w:r>
                  </w:p>
                </w:tc>
                <w:tc>
                  <w:tcPr>
                    <w:tcW w:w="1560" w:type="dxa"/>
                    <w:vMerge w:val="restart"/>
                    <w:shd w:val="clear" w:color="auto" w:fill="DEEAF6" w:themeFill="accent1" w:themeFillTint="33"/>
                    <w:vAlign w:val="center"/>
                  </w:tcPr>
                  <w:p>
                    <w:pPr>
                      <w:rPr>
                        <w:b/>
                        <w:sz w:val="22"/>
                        <w:szCs w:val="22"/>
                      </w:rPr>
                    </w:pPr>
                  </w:p>
                  <w:p>
                    <w:pPr>
                      <w:jc w:val="center"/>
                      <w:rPr>
                        <w:b/>
                        <w:sz w:val="22"/>
                        <w:szCs w:val="22"/>
                      </w:rPr>
                    </w:pPr>
                    <w:r>
                      <w:rPr>
                        <w:b/>
                        <w:sz w:val="22"/>
                        <w:szCs w:val="22"/>
                      </w:rPr>
                      <w:t>Pradinė rodiklio reikšmė (metai)</w:t>
                    </w:r>
                  </w:p>
                </w:tc>
                <w:tc>
                  <w:tcPr>
                    <w:tcW w:w="2126" w:type="dxa"/>
                    <w:gridSpan w:val="2"/>
                    <w:shd w:val="clear" w:color="auto" w:fill="DEEAF6" w:themeFill="accent1" w:themeFillTint="33"/>
                    <w:vAlign w:val="center"/>
                  </w:tcPr>
                  <w:p>
                    <w:pPr>
                      <w:jc w:val="center"/>
                      <w:rPr>
                        <w:b/>
                        <w:sz w:val="22"/>
                        <w:szCs w:val="22"/>
                      </w:rPr>
                    </w:pPr>
                    <w:r>
                      <w:rPr>
                        <w:b/>
                        <w:sz w:val="22"/>
                        <w:szCs w:val="22"/>
                      </w:rPr>
                      <w:t>Siektinos rodiklio reikšmės</w:t>
                    </w:r>
                  </w:p>
                </w:tc>
                <w:tc>
                  <w:tcPr>
                    <w:tcW w:w="2551" w:type="dxa"/>
                    <w:vMerge w:val="restart"/>
                    <w:shd w:val="clear" w:color="auto" w:fill="DEEAF6" w:themeFill="accent1" w:themeFillTint="33"/>
                    <w:vAlign w:val="center"/>
                  </w:tcPr>
                  <w:p>
                    <w:pPr>
                      <w:jc w:val="center"/>
                      <w:rPr>
                        <w:b/>
                        <w:sz w:val="22"/>
                        <w:szCs w:val="22"/>
                      </w:rPr>
                    </w:pPr>
                  </w:p>
                  <w:p>
                    <w:pPr>
                      <w:jc w:val="center"/>
                      <w:rPr>
                        <w:b/>
                        <w:sz w:val="22"/>
                        <w:szCs w:val="22"/>
                      </w:rPr>
                    </w:pPr>
                    <w:r>
                      <w:rPr>
                        <w:b/>
                        <w:sz w:val="22"/>
                        <w:szCs w:val="22"/>
                      </w:rPr>
                      <w:t>Finansavimo šaltinis</w:t>
                    </w:r>
                  </w:p>
                </w:tc>
              </w:tr>
              <w:tr>
                <w:trPr>
                  <w:jc w:val="center"/>
                </w:trPr>
                <w:tc>
                  <w:tcPr>
                    <w:tcW w:w="2547" w:type="dxa"/>
                    <w:vMerge/>
                    <w:vAlign w:val="center"/>
                  </w:tcPr>
                  <w:p>
                    <w:pPr>
                      <w:spacing w:line="276" w:lineRule="auto"/>
                      <w:jc w:val="center"/>
                      <w:rPr>
                        <w:b/>
                        <w:sz w:val="22"/>
                        <w:szCs w:val="22"/>
                      </w:rPr>
                    </w:pPr>
                  </w:p>
                </w:tc>
                <w:tc>
                  <w:tcPr>
                    <w:tcW w:w="1417" w:type="dxa"/>
                    <w:vMerge/>
                    <w:vAlign w:val="center"/>
                  </w:tcPr>
                  <w:p>
                    <w:pPr>
                      <w:spacing w:line="276" w:lineRule="auto"/>
                      <w:jc w:val="center"/>
                      <w:rPr>
                        <w:b/>
                        <w:sz w:val="22"/>
                        <w:szCs w:val="22"/>
                      </w:rPr>
                    </w:pPr>
                  </w:p>
                </w:tc>
                <w:tc>
                  <w:tcPr>
                    <w:tcW w:w="2978" w:type="dxa"/>
                    <w:vMerge/>
                    <w:vAlign w:val="center"/>
                  </w:tcPr>
                  <w:p>
                    <w:pPr>
                      <w:spacing w:line="276" w:lineRule="auto"/>
                      <w:jc w:val="center"/>
                      <w:rPr>
                        <w:b/>
                        <w:sz w:val="22"/>
                        <w:szCs w:val="22"/>
                      </w:rPr>
                    </w:pPr>
                  </w:p>
                </w:tc>
                <w:tc>
                  <w:tcPr>
                    <w:tcW w:w="1275" w:type="dxa"/>
                    <w:vMerge/>
                    <w:vAlign w:val="center"/>
                  </w:tcPr>
                  <w:p>
                    <w:pPr>
                      <w:spacing w:line="276" w:lineRule="auto"/>
                      <w:jc w:val="center"/>
                      <w:rPr>
                        <w:b/>
                        <w:sz w:val="22"/>
                        <w:szCs w:val="22"/>
                      </w:rPr>
                    </w:pPr>
                  </w:p>
                </w:tc>
                <w:tc>
                  <w:tcPr>
                    <w:tcW w:w="1560" w:type="dxa"/>
                    <w:vMerge/>
                    <w:vAlign w:val="center"/>
                  </w:tcPr>
                  <w:p>
                    <w:pPr>
                      <w:spacing w:line="276" w:lineRule="auto"/>
                      <w:jc w:val="center"/>
                      <w:rPr>
                        <w:b/>
                        <w:sz w:val="22"/>
                        <w:szCs w:val="22"/>
                      </w:rPr>
                    </w:pPr>
                  </w:p>
                </w:tc>
                <w:tc>
                  <w:tcPr>
                    <w:tcW w:w="992" w:type="dxa"/>
                    <w:shd w:val="clear" w:color="auto" w:fill="DEEAF6" w:themeFill="accent1" w:themeFillTint="33"/>
                    <w:vAlign w:val="center"/>
                  </w:tcPr>
                  <w:p>
                    <w:pPr>
                      <w:jc w:val="center"/>
                      <w:rPr>
                        <w:b/>
                        <w:sz w:val="22"/>
                        <w:szCs w:val="22"/>
                      </w:rPr>
                    </w:pPr>
                    <w:r>
                      <w:rPr>
                        <w:b/>
                        <w:sz w:val="22"/>
                        <w:szCs w:val="22"/>
                      </w:rPr>
                      <w:t>Tarpinė reikšmė 2025 m.</w:t>
                    </w:r>
                  </w:p>
                </w:tc>
                <w:tc>
                  <w:tcPr>
                    <w:tcW w:w="1134" w:type="dxa"/>
                    <w:shd w:val="clear" w:color="auto" w:fill="DEEAF6" w:themeFill="accent1" w:themeFillTint="33"/>
                    <w:vAlign w:val="center"/>
                  </w:tcPr>
                  <w:p>
                    <w:pPr>
                      <w:jc w:val="center"/>
                      <w:rPr>
                        <w:b/>
                        <w:sz w:val="22"/>
                        <w:szCs w:val="22"/>
                      </w:rPr>
                    </w:pPr>
                    <w:r>
                      <w:rPr>
                        <w:b/>
                        <w:sz w:val="22"/>
                        <w:szCs w:val="22"/>
                      </w:rPr>
                      <w:t>Galutinė reikšmė</w:t>
                    </w:r>
                  </w:p>
                  <w:p>
                    <w:pPr>
                      <w:jc w:val="center"/>
                      <w:rPr>
                        <w:b/>
                        <w:sz w:val="22"/>
                        <w:szCs w:val="22"/>
                      </w:rPr>
                    </w:pPr>
                    <w:r>
                      <w:rPr>
                        <w:b/>
                        <w:sz w:val="22"/>
                        <w:szCs w:val="22"/>
                      </w:rPr>
                      <w:t>2030 m.</w:t>
                    </w:r>
                  </w:p>
                </w:tc>
                <w:tc>
                  <w:tcPr>
                    <w:tcW w:w="2551" w:type="dxa"/>
                    <w:vMerge/>
                    <w:vAlign w:val="center"/>
                  </w:tcPr>
                  <w:p>
                    <w:pPr>
                      <w:spacing w:line="276" w:lineRule="auto"/>
                      <w:jc w:val="center"/>
                      <w:rPr>
                        <w:b/>
                        <w:sz w:val="22"/>
                        <w:szCs w:val="22"/>
                      </w:rPr>
                    </w:pPr>
                  </w:p>
                </w:tc>
              </w:tr>
              <w:tr>
                <w:trPr>
                  <w:jc w:val="center"/>
                </w:trPr>
                <w:tc>
                  <w:tcPr>
                    <w:tcW w:w="2547" w:type="dxa"/>
                    <w:shd w:val="clear" w:color="auto" w:fill="FFFFFF" w:themeFill="background1"/>
                  </w:tcPr>
                  <w:p>
                    <w:pPr>
                      <w:spacing w:line="276" w:lineRule="auto"/>
                      <w:jc w:val="center"/>
                      <w:rPr>
                        <w:sz w:val="10"/>
                        <w:szCs w:val="10"/>
                      </w:rPr>
                    </w:pPr>
                    <w:r>
                      <w:rPr>
                        <w:sz w:val="18"/>
                      </w:rPr>
                      <w:t>R-12-001-01-02-01-01</w:t>
                    </w:r>
                  </w:p>
                </w:tc>
                <w:tc>
                  <w:tcPr>
                    <w:tcW w:w="1417" w:type="dxa"/>
                    <w:shd w:val="clear" w:color="auto" w:fill="FFFFFF" w:themeFill="background1"/>
                    <w:vAlign w:val="center"/>
                  </w:tcPr>
                  <w:p>
                    <w:pPr>
                      <w:spacing w:line="276" w:lineRule="auto"/>
                      <w:jc w:val="center"/>
                      <w:rPr>
                        <w:sz w:val="18"/>
                        <w:szCs w:val="18"/>
                      </w:rPr>
                    </w:pPr>
                    <w:r>
                      <w:rPr>
                        <w:sz w:val="18"/>
                        <w:szCs w:val="18"/>
                      </w:rPr>
                      <w:t>rezultato</w:t>
                    </w:r>
                  </w:p>
                </w:tc>
                <w:tc>
                  <w:tcPr>
                    <w:tcW w:w="2978" w:type="dxa"/>
                  </w:tcPr>
                  <w:p>
                    <w:pPr>
                      <w:jc w:val="center"/>
                      <w:rPr>
                        <w:sz w:val="18"/>
                        <w:szCs w:val="18"/>
                      </w:rPr>
                    </w:pPr>
                    <w:r>
                      <w:rPr>
                        <w:sz w:val="18"/>
                        <w:szCs w:val="18"/>
                      </w:rPr>
                      <w:t>Lietuvos dalyvių pasirašytų dotacijos sutarčių skaičius programos „Europos horizontas“ finansuojamuose projektuose (kaupiamuoju būdu)</w:t>
                    </w:r>
                  </w:p>
                  <w:p>
                    <w:pPr>
                      <w:jc w:val="center"/>
                      <w:rPr>
                        <w:sz w:val="18"/>
                        <w:szCs w:val="18"/>
                      </w:rPr>
                    </w:pPr>
                  </w:p>
                </w:tc>
                <w:tc>
                  <w:tcPr>
                    <w:tcW w:w="1275" w:type="dxa"/>
                  </w:tcPr>
                  <w:p>
                    <w:pPr>
                      <w:spacing w:line="276" w:lineRule="auto"/>
                      <w:jc w:val="center"/>
                      <w:rPr>
                        <w:sz w:val="18"/>
                        <w:szCs w:val="18"/>
                      </w:rPr>
                    </w:pPr>
                    <w:r>
                      <w:rPr>
                        <w:sz w:val="18"/>
                        <w:szCs w:val="18"/>
                      </w:rPr>
                      <w:t>vienetai</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(2020)</w:t>
                    </w:r>
                  </w:p>
                </w:tc>
                <w:tc>
                  <w:tcPr>
                    <w:tcW w:w="992" w:type="dxa"/>
                    <w:shd w:val="clear" w:color="auto" w:fill="FFFFFF" w:themeFill="background1"/>
                  </w:tcPr>
                  <w:p>
                    <w:pPr>
                      <w:spacing w:line="276" w:lineRule="auto"/>
                      <w:jc w:val="center"/>
                      <w:rPr>
                        <w:sz w:val="10"/>
                        <w:szCs w:val="10"/>
                      </w:rPr>
                    </w:pPr>
                    <w:r>
                      <w:rPr>
                        <w:sz w:val="18"/>
                        <w:szCs w:val="18"/>
                      </w:rPr>
                      <w:t>100</w:t>
                    </w:r>
                  </w:p>
                </w:tc>
                <w:tc>
                  <w:tcPr>
                    <w:tcW w:w="1134" w:type="dxa"/>
                    <w:shd w:val="clear" w:color="auto" w:fill="FFFFFF" w:themeFill="background1"/>
                  </w:tcPr>
                  <w:p>
                    <w:pPr>
                      <w:ind w:left="-57" w:right="-57"/>
                      <w:jc w:val="center"/>
                      <w:rPr>
                        <w:sz w:val="10"/>
                        <w:szCs w:val="10"/>
                      </w:rPr>
                    </w:pPr>
                    <w:r>
                      <w:rPr>
                        <w:sz w:val="18"/>
                        <w:szCs w:val="18"/>
                      </w:rPr>
                      <w:t>605</w:t>
                    </w:r>
                  </w:p>
                </w:tc>
                <w:tc>
                  <w:tcPr>
                    <w:tcW w:w="2551" w:type="dxa"/>
                    <w:shd w:val="clear" w:color="auto" w:fill="FFFFFF" w:themeFill="background1"/>
                  </w:tcPr>
                  <w:p>
                    <w:pPr>
                      <w:spacing w:line="276" w:lineRule="auto"/>
                      <w:jc w:val="center"/>
                      <w:rPr>
                        <w:sz w:val="10"/>
                        <w:szCs w:val="10"/>
                      </w:rPr>
                    </w:pPr>
                    <w:r>
                      <w:rPr>
                        <w:sz w:val="18"/>
                        <w:szCs w:val="18"/>
                      </w:rPr>
                      <w:t>Valstybės biudžetas (toliau – VB)</w:t>
                    </w:r>
                  </w:p>
                </w:tc>
              </w:tr>
              <w:tr>
                <w:trPr>
                  <w:jc w:val="center"/>
                </w:trPr>
                <w:tc>
                  <w:tcPr>
                    <w:tcW w:w="2547" w:type="dxa"/>
                    <w:shd w:val="clear" w:color="auto" w:fill="FFFFFF" w:themeFill="background1"/>
                  </w:tcPr>
                  <w:p>
                    <w:pPr>
                      <w:spacing w:line="276" w:lineRule="auto"/>
                      <w:jc w:val="center"/>
                      <w:rPr>
                        <w:sz w:val="10"/>
                        <w:szCs w:val="10"/>
                      </w:rPr>
                    </w:pPr>
                    <w:r>
                      <w:rPr>
                        <w:sz w:val="18"/>
                      </w:rPr>
                      <w:t>R-12-001-01-02-01-02</w:t>
                    </w:r>
                  </w:p>
                </w:tc>
                <w:tc>
                  <w:tcPr>
                    <w:tcW w:w="1417" w:type="dxa"/>
                    <w:shd w:val="clear" w:color="auto" w:fill="FFFFFF" w:themeFill="background1"/>
                    <w:vAlign w:val="center"/>
                  </w:tcPr>
                  <w:p>
                    <w:pPr>
                      <w:spacing w:line="276" w:lineRule="auto"/>
                      <w:jc w:val="center"/>
                      <w:rPr>
                        <w:sz w:val="18"/>
                        <w:szCs w:val="18"/>
                      </w:rPr>
                    </w:pPr>
                    <w:r>
                      <w:rPr>
                        <w:sz w:val="18"/>
                        <w:szCs w:val="18"/>
                      </w:rPr>
                      <w:t>rezultato</w:t>
                    </w:r>
                  </w:p>
                </w:tc>
                <w:tc>
                  <w:tcPr>
                    <w:tcW w:w="2978" w:type="dxa"/>
                  </w:tcPr>
                  <w:p>
                    <w:pPr>
                      <w:spacing w:line="276" w:lineRule="auto"/>
                      <w:jc w:val="center"/>
                      <w:rPr>
                        <w:sz w:val="18"/>
                        <w:szCs w:val="18"/>
                      </w:rPr>
                    </w:pPr>
                    <w:r>
                      <w:rPr>
                        <w:sz w:val="18"/>
                        <w:szCs w:val="18"/>
                      </w:rPr>
                      <w:t>Mokslo ir studijų institucijų pajamų už ūkio subjektų (įskaitant viešąjį sektorių) mokslinių tyrimų ir eksperimentinės plėtros užsakymus suma</w:t>
                    </w:r>
                  </w:p>
                </w:tc>
                <w:tc>
                  <w:tcPr>
                    <w:tcW w:w="1275" w:type="dxa"/>
                  </w:tcPr>
                  <w:p>
                    <w:pPr>
                      <w:spacing w:line="276" w:lineRule="auto"/>
                      <w:jc w:val="center"/>
                      <w:rPr>
                        <w:sz w:val="18"/>
                        <w:szCs w:val="18"/>
                      </w:rPr>
                    </w:pPr>
                    <w:r>
                      <w:rPr>
                        <w:sz w:val="18"/>
                        <w:szCs w:val="18"/>
                      </w:rPr>
                      <w:t>tūkstančiai eurų</w:t>
                    </w:r>
                  </w:p>
                </w:tc>
                <w:tc>
                  <w:tcPr>
                    <w:tcW w:w="1560" w:type="dxa"/>
                  </w:tcPr>
                  <w:p>
                    <w:pPr>
                      <w:spacing w:line="276" w:lineRule="auto"/>
                      <w:jc w:val="center"/>
                      <w:rPr>
                        <w:sz w:val="18"/>
                        <w:szCs w:val="18"/>
                      </w:rPr>
                    </w:pPr>
                    <w:r>
                      <w:rPr>
                        <w:sz w:val="18"/>
                        <w:szCs w:val="18"/>
                      </w:rPr>
                      <w:t xml:space="preserve">13 872 </w:t>
                    </w:r>
                  </w:p>
                  <w:p>
                    <w:pPr>
                      <w:rPr>
                        <w:sz w:val="18"/>
                        <w:szCs w:val="18"/>
                      </w:rPr>
                    </w:pPr>
                  </w:p>
                  <w:p>
                    <w:pPr>
                      <w:spacing w:line="276" w:lineRule="auto"/>
                      <w:jc w:val="center"/>
                      <w:rPr>
                        <w:sz w:val="10"/>
                        <w:szCs w:val="10"/>
                      </w:rPr>
                    </w:pPr>
                    <w:r>
                      <w:rPr>
                        <w:sz w:val="18"/>
                        <w:szCs w:val="18"/>
                      </w:rPr>
                      <w:t>(2020)</w:t>
                    </w:r>
                  </w:p>
                </w:tc>
                <w:tc>
                  <w:tcPr>
                    <w:tcW w:w="992" w:type="dxa"/>
                    <w:shd w:val="clear" w:color="auto" w:fill="FFFFFF" w:themeFill="background1"/>
                  </w:tcPr>
                  <w:p>
                    <w:pPr>
                      <w:spacing w:line="276" w:lineRule="auto"/>
                      <w:jc w:val="center"/>
                      <w:rPr>
                        <w:sz w:val="10"/>
                        <w:szCs w:val="10"/>
                      </w:rPr>
                    </w:pPr>
                    <w:r>
                      <w:rPr>
                        <w:sz w:val="18"/>
                        <w:szCs w:val="18"/>
                      </w:rPr>
                      <w:t>15 500</w:t>
                    </w:r>
                  </w:p>
                </w:tc>
                <w:tc>
                  <w:tcPr>
                    <w:tcW w:w="1134" w:type="dxa"/>
                    <w:shd w:val="clear" w:color="auto" w:fill="FFFFFF" w:themeFill="background1"/>
                  </w:tcPr>
                  <w:p>
                    <w:pPr>
                      <w:spacing w:line="276" w:lineRule="auto"/>
                      <w:jc w:val="center"/>
                      <w:rPr>
                        <w:sz w:val="10"/>
                        <w:szCs w:val="10"/>
                      </w:rPr>
                    </w:pPr>
                    <w:r>
                      <w:rPr>
                        <w:sz w:val="18"/>
                        <w:szCs w:val="18"/>
                      </w:rPr>
                      <w:t>21 000</w:t>
                    </w:r>
                  </w:p>
                </w:tc>
                <w:tc>
                  <w:tcPr>
                    <w:tcW w:w="2551" w:type="dxa"/>
                    <w:shd w:val="clear" w:color="auto" w:fill="FFFFFF" w:themeFill="background1"/>
                  </w:tcPr>
                  <w:p>
                    <w:pPr>
                      <w:spacing w:line="276" w:lineRule="auto"/>
                      <w:jc w:val="center"/>
                      <w:rPr>
                        <w:sz w:val="10"/>
                        <w:szCs w:val="10"/>
                      </w:rPr>
                    </w:pPr>
                    <w:r>
                      <w:rPr>
                        <w:sz w:val="18"/>
                        <w:szCs w:val="18"/>
                      </w:rPr>
                      <w:t>VB</w:t>
                    </w:r>
                  </w:p>
                </w:tc>
              </w:tr>
              <w:tr>
                <w:trPr>
                  <w:jc w:val="center"/>
                </w:trPr>
                <w:tc>
                  <w:tcPr>
                    <w:tcW w:w="2547" w:type="dxa"/>
                    <w:shd w:val="clear" w:color="auto" w:fill="FFFFFF" w:themeFill="background1"/>
                  </w:tcPr>
                  <w:p>
                    <w:pPr>
                      <w:spacing w:line="276" w:lineRule="auto"/>
                      <w:jc w:val="center"/>
                      <w:rPr>
                        <w:sz w:val="10"/>
                        <w:szCs w:val="10"/>
                      </w:rPr>
                    </w:pPr>
                    <w:r>
                      <w:rPr>
                        <w:sz w:val="18"/>
                      </w:rPr>
                      <w:t>R-12-001-01-02-01-03</w:t>
                    </w:r>
                  </w:p>
                </w:tc>
                <w:tc>
                  <w:tcPr>
                    <w:tcW w:w="1417" w:type="dxa"/>
                    <w:shd w:val="clear" w:color="auto" w:fill="FFFFFF" w:themeFill="background1"/>
                    <w:vAlign w:val="center"/>
                  </w:tcPr>
                  <w:p>
                    <w:pPr>
                      <w:spacing w:line="276" w:lineRule="auto"/>
                      <w:jc w:val="center"/>
                      <w:rPr>
                        <w:sz w:val="18"/>
                        <w:szCs w:val="18"/>
                      </w:rPr>
                    </w:pPr>
                    <w:r>
                      <w:rPr>
                        <w:sz w:val="18"/>
                        <w:szCs w:val="18"/>
                      </w:rPr>
                      <w:t>rezultato</w:t>
                    </w:r>
                  </w:p>
                </w:tc>
                <w:tc>
                  <w:tcPr>
                    <w:tcW w:w="2978" w:type="dxa"/>
                  </w:tcPr>
                  <w:p>
                    <w:pPr>
                      <w:spacing w:line="276" w:lineRule="auto"/>
                      <w:jc w:val="center"/>
                      <w:rPr>
                        <w:sz w:val="18"/>
                        <w:szCs w:val="18"/>
                      </w:rPr>
                    </w:pPr>
                    <w:r>
                      <w:rPr>
                        <w:sz w:val="18"/>
                        <w:szCs w:val="18"/>
                      </w:rPr>
                      <w:t xml:space="preserve">Publikacijų pagal </w:t>
                    </w:r>
                    <w:r>
                      <w:rPr>
                        <w:i/>
                        <w:iCs/>
                        <w:sz w:val="18"/>
                        <w:szCs w:val="18"/>
                      </w:rPr>
                      <w:t>CA WoS</w:t>
                    </w:r>
                    <w:r>
                      <w:rPr>
                        <w:sz w:val="18"/>
                        <w:szCs w:val="18"/>
                      </w:rPr>
                      <w:t xml:space="preserve"> duomenų bazę skaičius (kaupiamuoju būdu)</w:t>
                    </w:r>
                  </w:p>
                </w:tc>
                <w:tc>
                  <w:tcPr>
                    <w:tcW w:w="1275" w:type="dxa"/>
                  </w:tcPr>
                  <w:p>
                    <w:pPr>
                      <w:spacing w:line="276" w:lineRule="auto"/>
                      <w:jc w:val="center"/>
                      <w:rPr>
                        <w:sz w:val="18"/>
                        <w:szCs w:val="18"/>
                      </w:rPr>
                    </w:pPr>
                    <w:r>
                      <w:rPr>
                        <w:sz w:val="18"/>
                        <w:szCs w:val="18"/>
                      </w:rPr>
                      <w:t>vienetai</w:t>
                    </w:r>
                  </w:p>
                </w:tc>
                <w:tc>
                  <w:tcPr>
                    <w:tcW w:w="1560" w:type="dxa"/>
                  </w:tcPr>
                  <w:p>
                    <w:pPr>
                      <w:spacing w:line="276" w:lineRule="auto"/>
                      <w:jc w:val="center"/>
                      <w:rPr>
                        <w:sz w:val="18"/>
                        <w:szCs w:val="18"/>
                      </w:rPr>
                    </w:pPr>
                    <w:r>
                      <w:rPr>
                        <w:sz w:val="18"/>
                        <w:szCs w:val="18"/>
                      </w:rPr>
                      <w:t xml:space="preserve">26 380 </w:t>
                    </w:r>
                  </w:p>
                  <w:p>
                    <w:pPr>
                      <w:rPr>
                        <w:sz w:val="18"/>
                        <w:szCs w:val="18"/>
                      </w:rPr>
                    </w:pPr>
                  </w:p>
                  <w:p>
                    <w:pPr>
                      <w:spacing w:line="276" w:lineRule="auto"/>
                      <w:jc w:val="center"/>
                      <w:rPr>
                        <w:sz w:val="10"/>
                        <w:szCs w:val="10"/>
                      </w:rPr>
                    </w:pPr>
                    <w:r>
                      <w:rPr>
                        <w:sz w:val="18"/>
                        <w:szCs w:val="18"/>
                      </w:rPr>
                      <w:t>(2020)</w:t>
                    </w:r>
                  </w:p>
                </w:tc>
                <w:tc>
                  <w:tcPr>
                    <w:tcW w:w="992" w:type="dxa"/>
                    <w:shd w:val="clear" w:color="auto" w:fill="FFFFFF" w:themeFill="background1"/>
                  </w:tcPr>
                  <w:p>
                    <w:pPr>
                      <w:spacing w:line="276" w:lineRule="auto"/>
                      <w:jc w:val="center"/>
                      <w:rPr>
                        <w:sz w:val="10"/>
                        <w:szCs w:val="10"/>
                      </w:rPr>
                    </w:pPr>
                    <w:r>
                      <w:rPr>
                        <w:sz w:val="18"/>
                        <w:szCs w:val="18"/>
                      </w:rPr>
                      <w:t>27 000</w:t>
                    </w:r>
                  </w:p>
                </w:tc>
                <w:tc>
                  <w:tcPr>
                    <w:tcW w:w="1134" w:type="dxa"/>
                    <w:shd w:val="clear" w:color="auto" w:fill="FFFFFF" w:themeFill="background1"/>
                  </w:tcPr>
                  <w:p>
                    <w:pPr>
                      <w:spacing w:line="276" w:lineRule="auto"/>
                      <w:jc w:val="center"/>
                      <w:rPr>
                        <w:sz w:val="10"/>
                        <w:szCs w:val="10"/>
                      </w:rPr>
                    </w:pPr>
                    <w:r>
                      <w:rPr>
                        <w:sz w:val="18"/>
                        <w:szCs w:val="18"/>
                      </w:rPr>
                      <w:t>31 660</w:t>
                    </w:r>
                  </w:p>
                </w:tc>
                <w:tc>
                  <w:tcPr>
                    <w:tcW w:w="2551" w:type="dxa"/>
                    <w:shd w:val="clear" w:color="auto" w:fill="FFFFFF" w:themeFill="background1"/>
                  </w:tcPr>
                  <w:p>
                    <w:pPr>
                      <w:spacing w:line="276" w:lineRule="auto"/>
                      <w:jc w:val="center"/>
                      <w:rPr>
                        <w:sz w:val="10"/>
                        <w:szCs w:val="10"/>
                      </w:rPr>
                    </w:pPr>
                    <w:r>
                      <w:rPr>
                        <w:sz w:val="18"/>
                        <w:szCs w:val="18"/>
                      </w:rPr>
                      <w:t>VB</w:t>
                    </w:r>
                  </w:p>
                </w:tc>
              </w:tr>
              <w:tr>
                <w:trPr>
                  <w:jc w:val="center"/>
                </w:trPr>
                <w:tc>
                  <w:tcPr>
                    <w:tcW w:w="2547" w:type="dxa"/>
                    <w:shd w:val="clear" w:color="auto" w:fill="FFFFFF" w:themeFill="background1"/>
                  </w:tcPr>
                  <w:p>
                    <w:pPr>
                      <w:spacing w:line="276" w:lineRule="auto"/>
                      <w:jc w:val="center"/>
                      <w:rPr>
                        <w:sz w:val="10"/>
                        <w:szCs w:val="10"/>
                      </w:rPr>
                    </w:pPr>
                    <w:r>
                      <w:rPr>
                        <w:sz w:val="18"/>
                      </w:rPr>
                      <w:t>R-12-001-01-02-01-04</w:t>
                    </w:r>
                  </w:p>
                </w:tc>
                <w:tc>
                  <w:tcPr>
                    <w:tcW w:w="1417" w:type="dxa"/>
                    <w:shd w:val="clear" w:color="auto" w:fill="FFFFFF" w:themeFill="background1"/>
                    <w:vAlign w:val="center"/>
                  </w:tcPr>
                  <w:p>
                    <w:pPr>
                      <w:spacing w:line="276" w:lineRule="auto"/>
                      <w:jc w:val="center"/>
                      <w:rPr>
                        <w:sz w:val="18"/>
                        <w:szCs w:val="18"/>
                      </w:rPr>
                    </w:pPr>
                    <w:r>
                      <w:rPr>
                        <w:sz w:val="18"/>
                        <w:szCs w:val="18"/>
                      </w:rPr>
                      <w:t>rezultato</w:t>
                    </w:r>
                  </w:p>
                </w:tc>
                <w:tc>
                  <w:tcPr>
                    <w:tcW w:w="2978" w:type="dxa"/>
                  </w:tcPr>
                  <w:p>
                    <w:pPr>
                      <w:spacing w:line="276" w:lineRule="auto"/>
                      <w:jc w:val="center"/>
                      <w:rPr>
                        <w:sz w:val="18"/>
                        <w:szCs w:val="18"/>
                      </w:rPr>
                    </w:pPr>
                    <w:r>
                      <w:rPr>
                        <w:sz w:val="18"/>
                        <w:szCs w:val="18"/>
                      </w:rPr>
                      <w:t xml:space="preserve">Pateiktos patentų paraiškos  </w:t>
                    </w:r>
                  </w:p>
                </w:tc>
                <w:tc>
                  <w:tcPr>
                    <w:tcW w:w="1275" w:type="dxa"/>
                  </w:tcPr>
                  <w:p>
                    <w:pPr>
                      <w:spacing w:line="276" w:lineRule="auto"/>
                      <w:jc w:val="center"/>
                      <w:rPr>
                        <w:sz w:val="18"/>
                        <w:szCs w:val="18"/>
                      </w:rPr>
                    </w:pPr>
                    <w:r>
                      <w:rPr>
                        <w:sz w:val="18"/>
                        <w:szCs w:val="18"/>
                      </w:rPr>
                      <w:t>vienetai</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(2021)</w:t>
                    </w:r>
                  </w:p>
                </w:tc>
                <w:tc>
                  <w:tcPr>
                    <w:tcW w:w="992" w:type="dxa"/>
                    <w:shd w:val="clear" w:color="auto" w:fill="FFFFFF" w:themeFill="background1"/>
                  </w:tcPr>
                  <w:p>
                    <w:pPr>
                      <w:spacing w:line="276" w:lineRule="auto"/>
                      <w:jc w:val="center"/>
                      <w:rPr>
                        <w:sz w:val="10"/>
                        <w:szCs w:val="10"/>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 xml:space="preserve">184 </w:t>
                    </w:r>
                  </w:p>
                  <w:p>
                    <w:pPr>
                      <w:rPr>
                        <w:sz w:val="18"/>
                        <w:szCs w:val="18"/>
                      </w:rPr>
                    </w:pPr>
                  </w:p>
                  <w:p>
                    <w:pPr>
                      <w:spacing w:line="276" w:lineRule="auto"/>
                      <w:jc w:val="center"/>
                      <w:rPr>
                        <w:sz w:val="10"/>
                        <w:szCs w:val="10"/>
                      </w:rPr>
                    </w:pPr>
                    <w:r>
                      <w:rPr>
                        <w:sz w:val="18"/>
                        <w:szCs w:val="18"/>
                      </w:rPr>
                      <w:t>(2029)</w:t>
                    </w:r>
                  </w:p>
                </w:tc>
                <w:tc>
                  <w:tcPr>
                    <w:tcW w:w="2551" w:type="dxa"/>
                    <w:shd w:val="clear" w:color="auto" w:fill="FFFFFF" w:themeFill="background1"/>
                  </w:tcPr>
                  <w:p>
                    <w:pPr>
                      <w:jc w:val="center"/>
                      <w:rPr>
                        <w:color w:val="000000"/>
                        <w:sz w:val="27"/>
                        <w:szCs w:val="27"/>
                        <w:lang w:eastAsia="lt-LT"/>
                      </w:rPr>
                    </w:pPr>
                    <w:r>
                      <w:rPr>
                        <w:color w:val="000000"/>
                        <w:sz w:val="20"/>
                        <w:lang w:eastAsia="lt-LT"/>
                      </w:rPr>
                      <w:t>2021–2027 m. Investicijų programa (toliau – IP),</w:t>
                    </w:r>
                  </w:p>
                  <w:p>
                    <w:pPr>
                      <w:spacing w:line="276" w:lineRule="auto"/>
                      <w:jc w:val="center"/>
                      <w:rPr>
                        <w:sz w:val="10"/>
                        <w:szCs w:val="10"/>
                      </w:rPr>
                    </w:pPr>
                    <w:r>
                      <w:rPr>
                        <w:color w:val="000000"/>
                        <w:sz w:val="20"/>
                        <w:lang w:eastAsia="lt-LT"/>
                      </w:rPr>
                      <w:t>privačios lėšos</w:t>
                    </w:r>
                  </w:p>
                </w:tc>
              </w:tr>
              <w:tr>
                <w:trPr>
                  <w:jc w:val="center"/>
                </w:trPr>
                <w:tc>
                  <w:tcPr>
                    <w:tcW w:w="2547" w:type="dxa"/>
                    <w:shd w:val="clear" w:color="auto" w:fill="FFFFFF" w:themeFill="background1"/>
                  </w:tcPr>
                  <w:p>
                    <w:pPr>
                      <w:spacing w:line="276" w:lineRule="auto"/>
                      <w:jc w:val="center"/>
                      <w:rPr>
                        <w:sz w:val="10"/>
                        <w:szCs w:val="10"/>
                      </w:rPr>
                    </w:pPr>
                    <w:r>
                      <w:rPr>
                        <w:sz w:val="18"/>
                      </w:rPr>
                      <w:t>R-12-001-01-02-01-05</w:t>
                    </w:r>
                  </w:p>
                </w:tc>
                <w:tc>
                  <w:tcPr>
                    <w:tcW w:w="1417" w:type="dxa"/>
                    <w:shd w:val="clear" w:color="auto" w:fill="FFFFFF" w:themeFill="background1"/>
                    <w:vAlign w:val="center"/>
                  </w:tcPr>
                  <w:p>
                    <w:pPr>
                      <w:spacing w:line="276" w:lineRule="auto"/>
                      <w:jc w:val="center"/>
                      <w:rPr>
                        <w:sz w:val="18"/>
                        <w:szCs w:val="18"/>
                      </w:rPr>
                    </w:pPr>
                    <w:r>
                      <w:rPr>
                        <w:sz w:val="18"/>
                        <w:szCs w:val="18"/>
                      </w:rPr>
                      <w:t>rezultato</w:t>
                    </w:r>
                  </w:p>
                </w:tc>
                <w:tc>
                  <w:tcPr>
                    <w:tcW w:w="2978" w:type="dxa"/>
                  </w:tcPr>
                  <w:p>
                    <w:pPr>
                      <w:spacing w:line="276" w:lineRule="auto"/>
                      <w:jc w:val="center"/>
                      <w:rPr>
                        <w:sz w:val="18"/>
                        <w:szCs w:val="18"/>
                      </w:rPr>
                    </w:pPr>
                    <w:r>
                      <w:rPr>
                        <w:sz w:val="18"/>
                        <w:szCs w:val="18"/>
                      </w:rPr>
                      <w:t xml:space="preserve">Remiamų projektų leidiniai </w:t>
                    </w:r>
                  </w:p>
                </w:tc>
                <w:tc>
                  <w:tcPr>
                    <w:tcW w:w="1275" w:type="dxa"/>
                  </w:tcPr>
                  <w:p>
                    <w:pPr>
                      <w:spacing w:line="276" w:lineRule="auto"/>
                      <w:jc w:val="center"/>
                      <w:rPr>
                        <w:sz w:val="18"/>
                        <w:szCs w:val="18"/>
                      </w:rPr>
                    </w:pPr>
                    <w:r>
                      <w:rPr>
                        <w:sz w:val="18"/>
                        <w:szCs w:val="18"/>
                      </w:rPr>
                      <w:t>leidiniai</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(2021)</w:t>
                    </w:r>
                  </w:p>
                </w:tc>
                <w:tc>
                  <w:tcPr>
                    <w:tcW w:w="992" w:type="dxa"/>
                    <w:shd w:val="clear" w:color="auto" w:fill="FFFFFF" w:themeFill="background1"/>
                  </w:tcPr>
                  <w:p>
                    <w:pPr>
                      <w:spacing w:line="276" w:lineRule="auto"/>
                      <w:jc w:val="center"/>
                      <w:rPr>
                        <w:sz w:val="10"/>
                        <w:szCs w:val="10"/>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 xml:space="preserve">1270 </w:t>
                    </w:r>
                  </w:p>
                  <w:p>
                    <w:pPr>
                      <w:rPr>
                        <w:sz w:val="18"/>
                        <w:szCs w:val="18"/>
                      </w:rPr>
                    </w:pPr>
                  </w:p>
                  <w:p>
                    <w:pPr>
                      <w:spacing w:line="276" w:lineRule="auto"/>
                      <w:jc w:val="center"/>
                      <w:rPr>
                        <w:sz w:val="10"/>
                        <w:szCs w:val="10"/>
                      </w:rPr>
                    </w:pPr>
                    <w:r>
                      <w:rPr>
                        <w:sz w:val="18"/>
                        <w:szCs w:val="18"/>
                      </w:rPr>
                      <w:t>(2029)</w:t>
                    </w:r>
                  </w:p>
                </w:tc>
                <w:tc>
                  <w:tcPr>
                    <w:tcW w:w="2551" w:type="dxa"/>
                    <w:shd w:val="clear" w:color="auto" w:fill="FFFFFF" w:themeFill="background1"/>
                  </w:tcPr>
                  <w:p>
                    <w:pPr>
                      <w:jc w:val="center"/>
                      <w:rPr>
                        <w:color w:val="000000"/>
                        <w:sz w:val="27"/>
                        <w:szCs w:val="27"/>
                        <w:lang w:eastAsia="lt-LT"/>
                      </w:rPr>
                    </w:pPr>
                    <w:r>
                      <w:rPr>
                        <w:color w:val="000000"/>
                        <w:sz w:val="20"/>
                        <w:lang w:eastAsia="lt-LT"/>
                      </w:rPr>
                      <w:t>2021–2027 m. IP,</w:t>
                    </w:r>
                  </w:p>
                  <w:p>
                    <w:pPr>
                      <w:jc w:val="center"/>
                      <w:rPr>
                        <w:color w:val="000000"/>
                        <w:sz w:val="20"/>
                        <w:lang w:eastAsia="lt-LT"/>
                      </w:rPr>
                    </w:pPr>
                    <w:r>
                      <w:rPr>
                        <w:color w:val="000000"/>
                        <w:sz w:val="20"/>
                        <w:lang w:eastAsia="lt-LT"/>
                      </w:rPr>
                      <w:t>privačios lėšos</w:t>
                    </w:r>
                  </w:p>
                  <w:p>
                    <w:pPr>
                      <w:jc w:val="center"/>
                      <w:rPr>
                        <w:sz w:val="10"/>
                        <w:szCs w:val="10"/>
                      </w:rPr>
                    </w:pPr>
                  </w:p>
                </w:tc>
              </w:tr>
              <w:tr>
                <w:trPr>
                  <w:jc w:val="center"/>
                </w:trPr>
                <w:tc>
                  <w:tcPr>
                    <w:tcW w:w="2547" w:type="dxa"/>
                    <w:shd w:val="clear" w:color="auto" w:fill="FFFFFF" w:themeFill="background1"/>
                  </w:tcPr>
                  <w:p>
                    <w:pPr>
                      <w:spacing w:line="276" w:lineRule="auto"/>
                      <w:jc w:val="center"/>
                      <w:rPr>
                        <w:sz w:val="10"/>
                        <w:szCs w:val="10"/>
                      </w:rPr>
                    </w:pPr>
                    <w:r>
                      <w:rPr>
                        <w:sz w:val="18"/>
                      </w:rPr>
                      <w:t>R-12-001-01-02-01-06</w:t>
                    </w:r>
                  </w:p>
                </w:tc>
                <w:tc>
                  <w:tcPr>
                    <w:tcW w:w="1417" w:type="dxa"/>
                    <w:shd w:val="clear" w:color="auto" w:fill="FFFFFF" w:themeFill="background1"/>
                    <w:vAlign w:val="center"/>
                  </w:tcPr>
                  <w:p>
                    <w:pPr>
                      <w:spacing w:line="276" w:lineRule="auto"/>
                      <w:jc w:val="center"/>
                      <w:rPr>
                        <w:sz w:val="18"/>
                        <w:szCs w:val="18"/>
                      </w:rPr>
                    </w:pPr>
                    <w:r>
                      <w:rPr>
                        <w:sz w:val="18"/>
                        <w:szCs w:val="18"/>
                      </w:rPr>
                      <w:t>rezultato</w:t>
                    </w:r>
                  </w:p>
                </w:tc>
                <w:tc>
                  <w:tcPr>
                    <w:tcW w:w="2978" w:type="dxa"/>
                  </w:tcPr>
                  <w:p>
                    <w:pPr>
                      <w:spacing w:line="276" w:lineRule="auto"/>
                      <w:jc w:val="center"/>
                      <w:rPr>
                        <w:sz w:val="18"/>
                        <w:szCs w:val="18"/>
                      </w:rPr>
                    </w:pPr>
                    <w:r>
                      <w:rPr>
                        <w:sz w:val="18"/>
                        <w:szCs w:val="18"/>
                      </w:rPr>
                      <w:t xml:space="preserve">MTEP veiklos produktas </w:t>
                    </w:r>
                  </w:p>
                </w:tc>
                <w:tc>
                  <w:tcPr>
                    <w:tcW w:w="1275" w:type="dxa"/>
                  </w:tcPr>
                  <w:p>
                    <w:pPr>
                      <w:spacing w:line="276" w:lineRule="auto"/>
                      <w:jc w:val="center"/>
                      <w:rPr>
                        <w:sz w:val="18"/>
                        <w:szCs w:val="18"/>
                      </w:rPr>
                    </w:pPr>
                    <w:r>
                      <w:rPr>
                        <w:sz w:val="18"/>
                        <w:szCs w:val="18"/>
                      </w:rPr>
                      <w:t>skaičius</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(2021)</w:t>
                    </w:r>
                  </w:p>
                </w:tc>
                <w:tc>
                  <w:tcPr>
                    <w:tcW w:w="992" w:type="dxa"/>
                    <w:shd w:val="clear" w:color="auto" w:fill="FFFFFF" w:themeFill="background1"/>
                  </w:tcPr>
                  <w:p>
                    <w:pPr>
                      <w:spacing w:line="276" w:lineRule="auto"/>
                      <w:jc w:val="center"/>
                      <w:rPr>
                        <w:sz w:val="10"/>
                        <w:szCs w:val="10"/>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 xml:space="preserve">36 </w:t>
                    </w:r>
                  </w:p>
                  <w:p>
                    <w:pPr>
                      <w:rPr>
                        <w:sz w:val="18"/>
                        <w:szCs w:val="18"/>
                      </w:rPr>
                    </w:pPr>
                  </w:p>
                  <w:p>
                    <w:pPr>
                      <w:spacing w:line="276" w:lineRule="auto"/>
                      <w:jc w:val="center"/>
                      <w:rPr>
                        <w:sz w:val="10"/>
                        <w:szCs w:val="10"/>
                      </w:rPr>
                    </w:pPr>
                    <w:r>
                      <w:rPr>
                        <w:sz w:val="18"/>
                        <w:szCs w:val="18"/>
                      </w:rPr>
                      <w:t>(2029)</w:t>
                    </w:r>
                  </w:p>
                </w:tc>
                <w:tc>
                  <w:tcPr>
                    <w:tcW w:w="2551" w:type="dxa"/>
                    <w:shd w:val="clear" w:color="auto" w:fill="FFFFFF" w:themeFill="background1"/>
                  </w:tcPr>
                  <w:p>
                    <w:pPr>
                      <w:jc w:val="center"/>
                      <w:rPr>
                        <w:color w:val="000000"/>
                        <w:sz w:val="27"/>
                        <w:szCs w:val="27"/>
                        <w:lang w:eastAsia="lt-LT"/>
                      </w:rPr>
                    </w:pPr>
                    <w:r>
                      <w:rPr>
                        <w:color w:val="000000"/>
                        <w:sz w:val="20"/>
                        <w:lang w:eastAsia="lt-LT"/>
                      </w:rPr>
                      <w:t>2021–2027 m. IP,</w:t>
                    </w:r>
                  </w:p>
                  <w:p>
                    <w:pPr>
                      <w:jc w:val="center"/>
                      <w:rPr>
                        <w:color w:val="000000"/>
                        <w:sz w:val="27"/>
                        <w:szCs w:val="27"/>
                        <w:lang w:eastAsia="lt-LT"/>
                      </w:rPr>
                    </w:pPr>
                    <w:r>
                      <w:rPr>
                        <w:color w:val="000000"/>
                        <w:sz w:val="20"/>
                        <w:lang w:eastAsia="lt-LT"/>
                      </w:rPr>
                      <w:t>privačios lėšos</w:t>
                    </w:r>
                  </w:p>
                  <w:p>
                    <w:pPr>
                      <w:spacing w:line="276" w:lineRule="auto"/>
                      <w:jc w:val="center"/>
                      <w:rPr>
                        <w:sz w:val="10"/>
                        <w:szCs w:val="10"/>
                        <w:highlight w:val="yellow"/>
                      </w:rPr>
                    </w:pPr>
                  </w:p>
                </w:tc>
              </w:tr>
              <w:tr>
                <w:trPr>
                  <w:jc w:val="center"/>
                </w:trPr>
                <w:tc>
                  <w:tcPr>
                    <w:tcW w:w="2547" w:type="dxa"/>
                    <w:shd w:val="clear" w:color="auto" w:fill="FFFFFF" w:themeFill="background1"/>
                  </w:tcPr>
                  <w:p>
                    <w:pPr>
                      <w:spacing w:line="276" w:lineRule="auto"/>
                      <w:jc w:val="center"/>
                      <w:rPr>
                        <w:sz w:val="10"/>
                        <w:szCs w:val="10"/>
                      </w:rPr>
                    </w:pPr>
                    <w:r>
                      <w:rPr>
                        <w:sz w:val="18"/>
                      </w:rPr>
                      <w:t>R-12-001-01-02-01-07</w:t>
                    </w:r>
                    <w:r>
                      <w:rPr>
                        <w:sz w:val="18"/>
                        <w:szCs w:val="18"/>
                      </w:rPr>
                      <w:t xml:space="preserve"> </w:t>
                    </w:r>
                  </w:p>
                </w:tc>
                <w:tc>
                  <w:tcPr>
                    <w:tcW w:w="1417" w:type="dxa"/>
                    <w:shd w:val="clear" w:color="auto" w:fill="FFFFFF" w:themeFill="background1"/>
                    <w:vAlign w:val="center"/>
                  </w:tcPr>
                  <w:p>
                    <w:pPr>
                      <w:spacing w:line="276" w:lineRule="auto"/>
                      <w:jc w:val="center"/>
                      <w:rPr>
                        <w:sz w:val="18"/>
                        <w:szCs w:val="18"/>
                      </w:rPr>
                    </w:pPr>
                    <w:r>
                      <w:rPr>
                        <w:sz w:val="18"/>
                        <w:szCs w:val="18"/>
                      </w:rPr>
                      <w:t>rezultato</w:t>
                    </w:r>
                  </w:p>
                </w:tc>
                <w:tc>
                  <w:tcPr>
                    <w:tcW w:w="2978" w:type="dxa"/>
                  </w:tcPr>
                  <w:p>
                    <w:pPr>
                      <w:spacing w:line="276" w:lineRule="auto"/>
                      <w:jc w:val="center"/>
                      <w:rPr>
                        <w:sz w:val="18"/>
                        <w:szCs w:val="18"/>
                      </w:rPr>
                    </w:pPr>
                    <w:r>
                      <w:rPr>
                        <w:sz w:val="18"/>
                        <w:szCs w:val="18"/>
                      </w:rPr>
                      <w:t xml:space="preserve">Produktų ar procesų inovacijas diegiančios mažos ir vidutinės įmonės </w:t>
                    </w:r>
                  </w:p>
                </w:tc>
                <w:tc>
                  <w:tcPr>
                    <w:tcW w:w="1275" w:type="dxa"/>
                  </w:tcPr>
                  <w:p>
                    <w:pPr>
                      <w:spacing w:line="276" w:lineRule="auto"/>
                      <w:jc w:val="center"/>
                      <w:rPr>
                        <w:sz w:val="18"/>
                        <w:szCs w:val="18"/>
                      </w:rPr>
                    </w:pPr>
                    <w:r>
                      <w:rPr>
                        <w:sz w:val="18"/>
                        <w:szCs w:val="18"/>
                      </w:rPr>
                      <w:t>įmonės</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(2021)</w:t>
                    </w:r>
                  </w:p>
                </w:tc>
                <w:tc>
                  <w:tcPr>
                    <w:tcW w:w="992" w:type="dxa"/>
                    <w:shd w:val="clear" w:color="auto" w:fill="FFFFFF" w:themeFill="background1"/>
                  </w:tcPr>
                  <w:p>
                    <w:pPr>
                      <w:spacing w:line="276" w:lineRule="auto"/>
                      <w:jc w:val="center"/>
                      <w:rPr>
                        <w:sz w:val="10"/>
                        <w:szCs w:val="10"/>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 xml:space="preserve">65 </w:t>
                    </w:r>
                  </w:p>
                  <w:p>
                    <w:pPr>
                      <w:rPr>
                        <w:sz w:val="18"/>
                        <w:szCs w:val="18"/>
                      </w:rPr>
                    </w:pPr>
                  </w:p>
                  <w:p>
                    <w:pPr>
                      <w:spacing w:line="276" w:lineRule="auto"/>
                      <w:jc w:val="center"/>
                      <w:rPr>
                        <w:sz w:val="10"/>
                        <w:szCs w:val="10"/>
                      </w:rPr>
                    </w:pPr>
                    <w:r>
                      <w:rPr>
                        <w:sz w:val="18"/>
                        <w:szCs w:val="18"/>
                      </w:rPr>
                      <w:t>(2029)</w:t>
                    </w:r>
                  </w:p>
                </w:tc>
                <w:tc>
                  <w:tcPr>
                    <w:tcW w:w="2551" w:type="dxa"/>
                    <w:shd w:val="clear" w:color="auto" w:fill="FFFFFF" w:themeFill="background1"/>
                  </w:tcPr>
                  <w:p>
                    <w:pPr>
                      <w:jc w:val="center"/>
                      <w:rPr>
                        <w:color w:val="000000"/>
                        <w:sz w:val="27"/>
                        <w:szCs w:val="27"/>
                        <w:lang w:eastAsia="lt-LT"/>
                      </w:rPr>
                    </w:pPr>
                    <w:r>
                      <w:rPr>
                        <w:color w:val="000000"/>
                        <w:sz w:val="20"/>
                        <w:lang w:eastAsia="lt-LT"/>
                      </w:rPr>
                      <w:t>2021–2027 m. IP,</w:t>
                    </w:r>
                  </w:p>
                  <w:p>
                    <w:pPr>
                      <w:jc w:val="center"/>
                      <w:rPr>
                        <w:color w:val="000000"/>
                        <w:sz w:val="27"/>
                        <w:szCs w:val="27"/>
                        <w:lang w:eastAsia="lt-LT"/>
                      </w:rPr>
                    </w:pPr>
                    <w:r>
                      <w:rPr>
                        <w:color w:val="000000"/>
                        <w:sz w:val="20"/>
                        <w:lang w:eastAsia="lt-LT"/>
                      </w:rPr>
                      <w:t>privačios lėšos</w:t>
                    </w:r>
                  </w:p>
                  <w:p>
                    <w:pPr>
                      <w:spacing w:line="276" w:lineRule="auto"/>
                      <w:jc w:val="center"/>
                      <w:rPr>
                        <w:sz w:val="10"/>
                        <w:szCs w:val="10"/>
                      </w:rPr>
                    </w:pPr>
                  </w:p>
                </w:tc>
              </w:tr>
              <w:tr>
                <w:trPr>
                  <w:jc w:val="center"/>
                </w:trPr>
                <w:tc>
                  <w:tcPr>
                    <w:tcW w:w="2547" w:type="dxa"/>
                    <w:shd w:val="clear" w:color="auto" w:fill="FFFFFF" w:themeFill="background1"/>
                  </w:tcPr>
                  <w:p>
                    <w:pPr>
                      <w:spacing w:line="276" w:lineRule="auto"/>
                      <w:jc w:val="center"/>
                      <w:rPr>
                        <w:sz w:val="10"/>
                        <w:szCs w:val="10"/>
                      </w:rPr>
                    </w:pPr>
                    <w:r>
                      <w:rPr>
                        <w:sz w:val="18"/>
                      </w:rPr>
                      <w:t>R-12-001-01-02-01-08</w:t>
                    </w:r>
                  </w:p>
                </w:tc>
                <w:tc>
                  <w:tcPr>
                    <w:tcW w:w="1417" w:type="dxa"/>
                    <w:shd w:val="clear" w:color="auto" w:fill="FFFFFF" w:themeFill="background1"/>
                    <w:vAlign w:val="center"/>
                  </w:tcPr>
                  <w:p>
                    <w:pPr>
                      <w:spacing w:line="276" w:lineRule="auto"/>
                      <w:jc w:val="center"/>
                      <w:rPr>
                        <w:sz w:val="18"/>
                        <w:szCs w:val="18"/>
                      </w:rPr>
                    </w:pPr>
                    <w:r>
                      <w:rPr>
                        <w:sz w:val="18"/>
                        <w:szCs w:val="18"/>
                      </w:rPr>
                      <w:t>rezultato</w:t>
                    </w:r>
                  </w:p>
                </w:tc>
                <w:tc>
                  <w:tcPr>
                    <w:tcW w:w="2978" w:type="dxa"/>
                  </w:tcPr>
                  <w:p>
                    <w:pPr>
                      <w:spacing w:line="276" w:lineRule="auto"/>
                      <w:jc w:val="center"/>
                      <w:rPr>
                        <w:sz w:val="18"/>
                        <w:szCs w:val="18"/>
                      </w:rPr>
                    </w:pPr>
                    <w:r>
                      <w:rPr>
                        <w:sz w:val="18"/>
                        <w:szCs w:val="18"/>
                      </w:rPr>
                      <w:t xml:space="preserve">Investicijas gavusių mokslo ir studijų institucijų gautų MTEP užsakymų skaičius </w:t>
                    </w:r>
                  </w:p>
                </w:tc>
                <w:tc>
                  <w:tcPr>
                    <w:tcW w:w="1275" w:type="dxa"/>
                  </w:tcPr>
                  <w:p>
                    <w:pPr>
                      <w:spacing w:line="276" w:lineRule="auto"/>
                      <w:jc w:val="center"/>
                      <w:rPr>
                        <w:sz w:val="18"/>
                        <w:szCs w:val="18"/>
                      </w:rPr>
                    </w:pPr>
                    <w:r>
                      <w:rPr>
                        <w:sz w:val="18"/>
                        <w:szCs w:val="18"/>
                      </w:rPr>
                      <w:t>vienetai</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(2021)</w:t>
                    </w:r>
                  </w:p>
                </w:tc>
                <w:tc>
                  <w:tcPr>
                    <w:tcW w:w="992" w:type="dxa"/>
                    <w:shd w:val="clear" w:color="auto" w:fill="FFFFFF" w:themeFill="background1"/>
                  </w:tcPr>
                  <w:p>
                    <w:pPr>
                      <w:spacing w:line="276" w:lineRule="auto"/>
                      <w:jc w:val="center"/>
                      <w:rPr>
                        <w:sz w:val="10"/>
                        <w:szCs w:val="10"/>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 xml:space="preserve">225 </w:t>
                    </w:r>
                  </w:p>
                  <w:p>
                    <w:pPr>
                      <w:rPr>
                        <w:sz w:val="18"/>
                        <w:szCs w:val="18"/>
                      </w:rPr>
                    </w:pPr>
                  </w:p>
                  <w:p>
                    <w:pPr>
                      <w:spacing w:line="276" w:lineRule="auto"/>
                      <w:jc w:val="center"/>
                      <w:rPr>
                        <w:sz w:val="10"/>
                        <w:szCs w:val="10"/>
                      </w:rPr>
                    </w:pPr>
                    <w:r>
                      <w:rPr>
                        <w:sz w:val="18"/>
                        <w:szCs w:val="18"/>
                      </w:rPr>
                      <w:t>(2029)</w:t>
                    </w:r>
                  </w:p>
                </w:tc>
                <w:tc>
                  <w:tcPr>
                    <w:tcW w:w="2551" w:type="dxa"/>
                    <w:shd w:val="clear" w:color="auto" w:fill="FFFFFF" w:themeFill="background1"/>
                  </w:tcPr>
                  <w:p>
                    <w:pPr>
                      <w:jc w:val="center"/>
                      <w:rPr>
                        <w:color w:val="000000"/>
                        <w:sz w:val="27"/>
                        <w:szCs w:val="27"/>
                        <w:lang w:eastAsia="lt-LT"/>
                      </w:rPr>
                    </w:pPr>
                    <w:r>
                      <w:rPr>
                        <w:color w:val="000000"/>
                        <w:sz w:val="20"/>
                        <w:lang w:eastAsia="lt-LT"/>
                      </w:rPr>
                      <w:t>2021–2027 m. IP,</w:t>
                    </w:r>
                  </w:p>
                  <w:p>
                    <w:pPr>
                      <w:jc w:val="center"/>
                      <w:rPr>
                        <w:color w:val="000000"/>
                        <w:sz w:val="27"/>
                        <w:szCs w:val="27"/>
                        <w:lang w:eastAsia="lt-LT"/>
                      </w:rPr>
                    </w:pPr>
                    <w:r>
                      <w:rPr>
                        <w:color w:val="000000"/>
                        <w:sz w:val="20"/>
                        <w:lang w:eastAsia="lt-LT"/>
                      </w:rPr>
                      <w:t>privačios lėšos</w:t>
                    </w:r>
                  </w:p>
                  <w:p>
                    <w:pPr>
                      <w:spacing w:line="276" w:lineRule="auto"/>
                      <w:jc w:val="center"/>
                      <w:rPr>
                        <w:sz w:val="10"/>
                        <w:szCs w:val="10"/>
                      </w:rPr>
                    </w:pPr>
                  </w:p>
                </w:tc>
              </w:tr>
              <w:tr>
                <w:trPr>
                  <w:jc w:val="center"/>
                </w:trPr>
                <w:tc>
                  <w:tcPr>
                    <w:tcW w:w="2547" w:type="dxa"/>
                    <w:shd w:val="clear" w:color="auto" w:fill="FFFFFF" w:themeFill="background1"/>
                  </w:tcPr>
                  <w:p>
                    <w:pPr>
                      <w:spacing w:line="276" w:lineRule="auto"/>
                      <w:jc w:val="center"/>
                      <w:rPr>
                        <w:sz w:val="10"/>
                        <w:szCs w:val="10"/>
                      </w:rPr>
                    </w:pPr>
                    <w:r>
                      <w:rPr>
                        <w:sz w:val="18"/>
                      </w:rPr>
                      <w:t xml:space="preserve">P-12-001-01-02-01-01 </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jc w:val="center"/>
                      <w:rPr>
                        <w:sz w:val="16"/>
                        <w:szCs w:val="16"/>
                      </w:rPr>
                    </w:pPr>
                    <w:r>
                      <w:rPr>
                        <w:sz w:val="18"/>
                        <w:szCs w:val="18"/>
                      </w:rPr>
                      <w:t>Paramą gavusiose mokslinių tyrimų įstaigose dirbantys mokslininkai</w:t>
                    </w:r>
                  </w:p>
                </w:tc>
                <w:tc>
                  <w:tcPr>
                    <w:tcW w:w="1275" w:type="dxa"/>
                  </w:tcPr>
                  <w:p>
                    <w:pPr>
                      <w:spacing w:line="276" w:lineRule="auto"/>
                      <w:jc w:val="center"/>
                      <w:rPr>
                        <w:sz w:val="10"/>
                        <w:szCs w:val="10"/>
                      </w:rPr>
                    </w:pPr>
                    <w:r>
                      <w:rPr>
                        <w:sz w:val="18"/>
                        <w:szCs w:val="18"/>
                      </w:rPr>
                      <w:t>vienų metų etato ekvivalentas</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(2021)</w:t>
                    </w:r>
                  </w:p>
                </w:tc>
                <w:tc>
                  <w:tcPr>
                    <w:tcW w:w="992" w:type="dxa"/>
                    <w:shd w:val="clear" w:color="auto" w:fill="FFFFFF" w:themeFill="background1"/>
                  </w:tcPr>
                  <w:p>
                    <w:pPr>
                      <w:spacing w:line="276" w:lineRule="auto"/>
                      <w:jc w:val="center"/>
                      <w:rPr>
                        <w:sz w:val="18"/>
                        <w:szCs w:val="18"/>
                      </w:rPr>
                    </w:pPr>
                    <w:r>
                      <w:rPr>
                        <w:sz w:val="18"/>
                        <w:szCs w:val="18"/>
                      </w:rPr>
                      <w:t xml:space="preserve">128 </w:t>
                    </w:r>
                  </w:p>
                  <w:p>
                    <w:pPr>
                      <w:rPr>
                        <w:sz w:val="18"/>
                        <w:szCs w:val="18"/>
                      </w:rPr>
                    </w:pPr>
                  </w:p>
                  <w:p>
                    <w:pPr>
                      <w:spacing w:line="276" w:lineRule="auto"/>
                      <w:jc w:val="center"/>
                      <w:rPr>
                        <w:sz w:val="10"/>
                        <w:szCs w:val="10"/>
                      </w:rPr>
                    </w:pPr>
                    <w:r>
                      <w:rPr>
                        <w:sz w:val="18"/>
                        <w:szCs w:val="18"/>
                      </w:rPr>
                      <w:t>(2024)</w:t>
                    </w:r>
                  </w:p>
                </w:tc>
                <w:tc>
                  <w:tcPr>
                    <w:tcW w:w="1134" w:type="dxa"/>
                    <w:shd w:val="clear" w:color="auto" w:fill="FFFFFF" w:themeFill="background1"/>
                  </w:tcPr>
                  <w:p>
                    <w:pPr>
                      <w:spacing w:line="276" w:lineRule="auto"/>
                      <w:jc w:val="center"/>
                      <w:rPr>
                        <w:sz w:val="18"/>
                        <w:szCs w:val="18"/>
                      </w:rPr>
                    </w:pPr>
                    <w:r>
                      <w:rPr>
                        <w:sz w:val="18"/>
                        <w:szCs w:val="18"/>
                      </w:rPr>
                      <w:t xml:space="preserve">1270 </w:t>
                    </w:r>
                  </w:p>
                  <w:p>
                    <w:pPr>
                      <w:rPr>
                        <w:sz w:val="18"/>
                        <w:szCs w:val="18"/>
                      </w:rPr>
                    </w:pPr>
                  </w:p>
                  <w:p>
                    <w:pPr>
                      <w:spacing w:line="276" w:lineRule="auto"/>
                      <w:jc w:val="center"/>
                      <w:rPr>
                        <w:sz w:val="10"/>
                        <w:szCs w:val="10"/>
                      </w:rPr>
                    </w:pPr>
                    <w:r>
                      <w:rPr>
                        <w:sz w:val="18"/>
                        <w:szCs w:val="18"/>
                      </w:rPr>
                      <w:t>(2029)</w:t>
                    </w:r>
                  </w:p>
                </w:tc>
                <w:tc>
                  <w:tcPr>
                    <w:tcW w:w="2551" w:type="dxa"/>
                    <w:shd w:val="clear" w:color="auto" w:fill="FFFFFF" w:themeFill="background1"/>
                  </w:tcPr>
                  <w:p>
                    <w:pPr>
                      <w:jc w:val="center"/>
                      <w:rPr>
                        <w:color w:val="000000"/>
                        <w:sz w:val="27"/>
                        <w:szCs w:val="27"/>
                        <w:lang w:eastAsia="lt-LT"/>
                      </w:rPr>
                    </w:pPr>
                    <w:r>
                      <w:rPr>
                        <w:color w:val="000000"/>
                        <w:sz w:val="20"/>
                        <w:lang w:eastAsia="lt-LT"/>
                      </w:rPr>
                      <w:t>2021–2027 m. IP,</w:t>
                    </w:r>
                  </w:p>
                  <w:p>
                    <w:pPr>
                      <w:jc w:val="center"/>
                      <w:rPr>
                        <w:color w:val="000000"/>
                        <w:sz w:val="27"/>
                        <w:szCs w:val="27"/>
                        <w:lang w:eastAsia="lt-LT"/>
                      </w:rPr>
                    </w:pPr>
                    <w:r>
                      <w:rPr>
                        <w:color w:val="000000"/>
                        <w:sz w:val="20"/>
                        <w:lang w:eastAsia="lt-LT"/>
                      </w:rPr>
                      <w:t>privačios lėšos</w:t>
                    </w:r>
                  </w:p>
                  <w:p>
                    <w:pPr>
                      <w:spacing w:line="276" w:lineRule="auto"/>
                      <w:jc w:val="center"/>
                      <w:rPr>
                        <w:sz w:val="10"/>
                        <w:szCs w:val="10"/>
                      </w:rPr>
                    </w:pPr>
                  </w:p>
                </w:tc>
              </w:tr>
              <w:tr>
                <w:trPr>
                  <w:jc w:val="center"/>
                </w:trPr>
                <w:tc>
                  <w:tcPr>
                    <w:tcW w:w="2547" w:type="dxa"/>
                    <w:shd w:val="clear" w:color="auto" w:fill="FFFFFF" w:themeFill="background1"/>
                  </w:tcPr>
                  <w:p>
                    <w:pPr>
                      <w:spacing w:line="276" w:lineRule="auto"/>
                      <w:jc w:val="center"/>
                      <w:rPr>
                        <w:sz w:val="10"/>
                        <w:szCs w:val="10"/>
                      </w:rPr>
                    </w:pPr>
                    <w:r>
                      <w:rPr>
                        <w:sz w:val="18"/>
                      </w:rPr>
                      <w:t xml:space="preserve">P-12-001-01-02-01-02 </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0"/>
                        <w:szCs w:val="10"/>
                      </w:rPr>
                    </w:pPr>
                    <w:r>
                      <w:rPr>
                        <w:sz w:val="18"/>
                        <w:szCs w:val="18"/>
                      </w:rPr>
                      <w:t>Bendruose mokslinių tyrimų projektuose dalyvaujančios mokslinių tyrimų organizacijos</w:t>
                    </w:r>
                  </w:p>
                </w:tc>
                <w:tc>
                  <w:tcPr>
                    <w:tcW w:w="1275" w:type="dxa"/>
                  </w:tcPr>
                  <w:p>
                    <w:pPr>
                      <w:spacing w:line="276" w:lineRule="auto"/>
                      <w:jc w:val="center"/>
                      <w:rPr>
                        <w:sz w:val="10"/>
                        <w:szCs w:val="10"/>
                      </w:rPr>
                    </w:pPr>
                    <w:r>
                      <w:rPr>
                        <w:sz w:val="18"/>
                        <w:szCs w:val="18"/>
                      </w:rPr>
                      <w:t>vienetai</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(2021)</w:t>
                    </w:r>
                  </w:p>
                </w:tc>
                <w:tc>
                  <w:tcPr>
                    <w:tcW w:w="992" w:type="dxa"/>
                    <w:shd w:val="clear" w:color="auto" w:fill="FFFFFF" w:themeFill="background1"/>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(2024)</w:t>
                    </w:r>
                  </w:p>
                </w:tc>
                <w:tc>
                  <w:tcPr>
                    <w:tcW w:w="1134" w:type="dxa"/>
                    <w:shd w:val="clear" w:color="auto" w:fill="FFFFFF" w:themeFill="background1"/>
                  </w:tcPr>
                  <w:p>
                    <w:pPr>
                      <w:spacing w:line="276" w:lineRule="auto"/>
                      <w:jc w:val="center"/>
                      <w:rPr>
                        <w:sz w:val="18"/>
                        <w:szCs w:val="18"/>
                      </w:rPr>
                    </w:pPr>
                    <w:r>
                      <w:rPr>
                        <w:sz w:val="18"/>
                        <w:szCs w:val="18"/>
                      </w:rPr>
                      <w:t xml:space="preserve">20 </w:t>
                    </w:r>
                  </w:p>
                  <w:p>
                    <w:pPr>
                      <w:rPr>
                        <w:sz w:val="18"/>
                        <w:szCs w:val="18"/>
                      </w:rPr>
                    </w:pPr>
                  </w:p>
                  <w:p>
                    <w:pPr>
                      <w:spacing w:line="276" w:lineRule="auto"/>
                      <w:jc w:val="center"/>
                      <w:rPr>
                        <w:sz w:val="10"/>
                        <w:szCs w:val="10"/>
                      </w:rPr>
                    </w:pPr>
                    <w:r>
                      <w:rPr>
                        <w:sz w:val="18"/>
                        <w:szCs w:val="18"/>
                      </w:rPr>
                      <w:t>(2029)</w:t>
                    </w:r>
                  </w:p>
                </w:tc>
                <w:tc>
                  <w:tcPr>
                    <w:tcW w:w="2551" w:type="dxa"/>
                    <w:shd w:val="clear" w:color="auto" w:fill="FFFFFF" w:themeFill="background1"/>
                  </w:tcPr>
                  <w:p>
                    <w:pPr>
                      <w:jc w:val="center"/>
                      <w:rPr>
                        <w:color w:val="000000"/>
                        <w:sz w:val="27"/>
                        <w:szCs w:val="27"/>
                        <w:lang w:eastAsia="lt-LT"/>
                      </w:rPr>
                    </w:pPr>
                    <w:r>
                      <w:rPr>
                        <w:color w:val="000000"/>
                        <w:sz w:val="20"/>
                        <w:lang w:eastAsia="lt-LT"/>
                      </w:rPr>
                      <w:t>2021–2027 m. IP,</w:t>
                    </w:r>
                  </w:p>
                  <w:p>
                    <w:pPr>
                      <w:jc w:val="center"/>
                      <w:rPr>
                        <w:color w:val="000000"/>
                        <w:sz w:val="27"/>
                        <w:szCs w:val="27"/>
                        <w:lang w:eastAsia="lt-LT"/>
                      </w:rPr>
                    </w:pPr>
                    <w:r>
                      <w:rPr>
                        <w:color w:val="000000"/>
                        <w:sz w:val="20"/>
                        <w:lang w:eastAsia="lt-LT"/>
                      </w:rPr>
                      <w:t>privačios lėšos</w:t>
                    </w:r>
                  </w:p>
                  <w:p>
                    <w:pPr>
                      <w:spacing w:line="276" w:lineRule="auto"/>
                      <w:jc w:val="center"/>
                      <w:rPr>
                        <w:sz w:val="10"/>
                        <w:szCs w:val="10"/>
                        <w:highlight w:val="yellow"/>
                      </w:rPr>
                    </w:pPr>
                  </w:p>
                </w:tc>
              </w:tr>
              <w:tr>
                <w:trPr>
                  <w:jc w:val="center"/>
                </w:trPr>
                <w:tc>
                  <w:tcPr>
                    <w:tcW w:w="2547" w:type="dxa"/>
                    <w:shd w:val="clear" w:color="auto" w:fill="FFFFFF" w:themeFill="background1"/>
                  </w:tcPr>
                  <w:p>
                    <w:pPr>
                      <w:spacing w:line="276" w:lineRule="auto"/>
                      <w:jc w:val="center"/>
                      <w:rPr>
                        <w:sz w:val="10"/>
                        <w:szCs w:val="10"/>
                      </w:rPr>
                    </w:pPr>
                    <w:r>
                      <w:rPr>
                        <w:sz w:val="18"/>
                      </w:rPr>
                      <w:t xml:space="preserve">P-12-001-01-02-01-03 </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0"/>
                        <w:szCs w:val="10"/>
                      </w:rPr>
                    </w:pPr>
                    <w:r>
                      <w:rPr>
                        <w:sz w:val="18"/>
                        <w:szCs w:val="18"/>
                      </w:rPr>
                      <w:t>Nominalioji mokslinių tyrimų ir inovacijų įrangos vertė</w:t>
                    </w:r>
                  </w:p>
                </w:tc>
                <w:tc>
                  <w:tcPr>
                    <w:tcW w:w="1275" w:type="dxa"/>
                  </w:tcPr>
                  <w:p>
                    <w:pPr>
                      <w:spacing w:line="276" w:lineRule="auto"/>
                      <w:jc w:val="center"/>
                      <w:rPr>
                        <w:sz w:val="10"/>
                        <w:szCs w:val="10"/>
                      </w:rPr>
                    </w:pPr>
                    <w:r>
                      <w:rPr>
                        <w:sz w:val="18"/>
                        <w:szCs w:val="18"/>
                      </w:rPr>
                      <w:t>eurai</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(2021)</w:t>
                    </w:r>
                  </w:p>
                </w:tc>
                <w:tc>
                  <w:tcPr>
                    <w:tcW w:w="992" w:type="dxa"/>
                    <w:shd w:val="clear" w:color="auto" w:fill="FFFFFF" w:themeFill="background1"/>
                  </w:tcPr>
                  <w:p>
                    <w:pPr>
                      <w:spacing w:line="276" w:lineRule="auto"/>
                      <w:jc w:val="center"/>
                      <w:rPr>
                        <w:sz w:val="18"/>
                        <w:szCs w:val="18"/>
                      </w:rPr>
                    </w:pPr>
                    <w:r>
                      <w:rPr>
                        <w:sz w:val="18"/>
                        <w:szCs w:val="18"/>
                      </w:rPr>
                      <w:t xml:space="preserve">3 875 312 </w:t>
                    </w:r>
                  </w:p>
                  <w:p>
                    <w:pPr>
                      <w:rPr>
                        <w:sz w:val="18"/>
                        <w:szCs w:val="18"/>
                      </w:rPr>
                    </w:pPr>
                  </w:p>
                  <w:p>
                    <w:pPr>
                      <w:spacing w:line="276" w:lineRule="auto"/>
                      <w:jc w:val="center"/>
                      <w:rPr>
                        <w:sz w:val="10"/>
                        <w:szCs w:val="10"/>
                      </w:rPr>
                    </w:pPr>
                    <w:r>
                      <w:rPr>
                        <w:sz w:val="18"/>
                        <w:szCs w:val="18"/>
                      </w:rPr>
                      <w:t>(2024)</w:t>
                    </w:r>
                  </w:p>
                </w:tc>
                <w:tc>
                  <w:tcPr>
                    <w:tcW w:w="1134" w:type="dxa"/>
                    <w:shd w:val="clear" w:color="auto" w:fill="FFFFFF" w:themeFill="background1"/>
                  </w:tcPr>
                  <w:p>
                    <w:pPr>
                      <w:spacing w:line="276" w:lineRule="auto"/>
                      <w:jc w:val="center"/>
                      <w:rPr>
                        <w:sz w:val="18"/>
                        <w:szCs w:val="18"/>
                      </w:rPr>
                    </w:pPr>
                    <w:r>
                      <w:rPr>
                        <w:sz w:val="18"/>
                        <w:szCs w:val="18"/>
                      </w:rPr>
                      <w:t xml:space="preserve">38 753 120 </w:t>
                    </w:r>
                  </w:p>
                  <w:p>
                    <w:pPr>
                      <w:rPr>
                        <w:sz w:val="18"/>
                        <w:szCs w:val="18"/>
                      </w:rPr>
                    </w:pPr>
                  </w:p>
                  <w:p>
                    <w:pPr>
                      <w:spacing w:line="276" w:lineRule="auto"/>
                      <w:jc w:val="center"/>
                      <w:rPr>
                        <w:sz w:val="10"/>
                        <w:szCs w:val="10"/>
                      </w:rPr>
                    </w:pPr>
                    <w:r>
                      <w:rPr>
                        <w:sz w:val="18"/>
                        <w:szCs w:val="18"/>
                      </w:rPr>
                      <w:t>(2029)</w:t>
                    </w:r>
                  </w:p>
                </w:tc>
                <w:tc>
                  <w:tcPr>
                    <w:tcW w:w="2551" w:type="dxa"/>
                    <w:shd w:val="clear" w:color="auto" w:fill="FFFFFF" w:themeFill="background1"/>
                  </w:tcPr>
                  <w:p>
                    <w:pPr>
                      <w:jc w:val="center"/>
                      <w:rPr>
                        <w:color w:val="000000"/>
                        <w:sz w:val="27"/>
                        <w:szCs w:val="27"/>
                        <w:lang w:eastAsia="lt-LT"/>
                      </w:rPr>
                    </w:pPr>
                    <w:r>
                      <w:rPr>
                        <w:color w:val="000000"/>
                        <w:sz w:val="20"/>
                        <w:lang w:eastAsia="lt-LT"/>
                      </w:rPr>
                      <w:t>2021–2027 m. IP,</w:t>
                    </w:r>
                  </w:p>
                  <w:p>
                    <w:pPr>
                      <w:jc w:val="center"/>
                      <w:rPr>
                        <w:color w:val="000000"/>
                        <w:sz w:val="27"/>
                        <w:szCs w:val="27"/>
                        <w:lang w:eastAsia="lt-LT"/>
                      </w:rPr>
                    </w:pPr>
                    <w:r>
                      <w:rPr>
                        <w:color w:val="000000"/>
                        <w:sz w:val="20"/>
                        <w:lang w:eastAsia="lt-LT"/>
                      </w:rPr>
                      <w:t>privačios lėšos</w:t>
                    </w:r>
                  </w:p>
                  <w:p>
                    <w:pPr>
                      <w:spacing w:line="276" w:lineRule="auto"/>
                      <w:jc w:val="center"/>
                      <w:rPr>
                        <w:sz w:val="10"/>
                        <w:szCs w:val="10"/>
                        <w:highlight w:val="yellow"/>
                      </w:rPr>
                    </w:pPr>
                  </w:p>
                </w:tc>
              </w:tr>
              <w:tr>
                <w:trPr>
                  <w:jc w:val="center"/>
                </w:trPr>
                <w:tc>
                  <w:tcPr>
                    <w:tcW w:w="2547" w:type="dxa"/>
                    <w:shd w:val="clear" w:color="auto" w:fill="FFFFFF" w:themeFill="background1"/>
                  </w:tcPr>
                  <w:p>
                    <w:pPr>
                      <w:spacing w:line="276" w:lineRule="auto"/>
                      <w:jc w:val="center"/>
                      <w:rPr>
                        <w:sz w:val="10"/>
                        <w:szCs w:val="10"/>
                      </w:rPr>
                    </w:pPr>
                    <w:r>
                      <w:rPr>
                        <w:sz w:val="18"/>
                      </w:rPr>
                      <w:t xml:space="preserve">P-12-001-01-02-01-04 </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8"/>
                        <w:szCs w:val="18"/>
                      </w:rPr>
                    </w:pPr>
                    <w:r>
                      <w:rPr>
                        <w:sz w:val="18"/>
                        <w:szCs w:val="18"/>
                      </w:rPr>
                      <w:t>Su mokslo ir studijų institucijomis bendradarbiaujančios įmonės</w:t>
                    </w:r>
                  </w:p>
                </w:tc>
                <w:tc>
                  <w:tcPr>
                    <w:tcW w:w="1275" w:type="dxa"/>
                  </w:tcPr>
                  <w:p>
                    <w:pPr>
                      <w:spacing w:line="276" w:lineRule="auto"/>
                      <w:jc w:val="center"/>
                      <w:rPr>
                        <w:sz w:val="18"/>
                        <w:szCs w:val="18"/>
                      </w:rPr>
                    </w:pPr>
                    <w:r>
                      <w:rPr>
                        <w:sz w:val="18"/>
                        <w:szCs w:val="18"/>
                      </w:rPr>
                      <w:t>vienetai</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(2021)</w:t>
                    </w:r>
                  </w:p>
                </w:tc>
                <w:tc>
                  <w:tcPr>
                    <w:tcW w:w="992" w:type="dxa"/>
                    <w:shd w:val="clear" w:color="auto" w:fill="FFFFFF" w:themeFill="background1"/>
                  </w:tcPr>
                  <w:p>
                    <w:pPr>
                      <w:spacing w:line="276" w:lineRule="auto"/>
                      <w:jc w:val="center"/>
                      <w:rPr>
                        <w:sz w:val="18"/>
                        <w:szCs w:val="18"/>
                      </w:rPr>
                    </w:pPr>
                    <w:r>
                      <w:rPr>
                        <w:sz w:val="18"/>
                        <w:szCs w:val="18"/>
                      </w:rPr>
                      <w:t xml:space="preserve">16 </w:t>
                    </w:r>
                  </w:p>
                  <w:p>
                    <w:pPr>
                      <w:rPr>
                        <w:sz w:val="18"/>
                        <w:szCs w:val="18"/>
                      </w:rPr>
                    </w:pPr>
                  </w:p>
                  <w:p>
                    <w:pPr>
                      <w:spacing w:line="276" w:lineRule="auto"/>
                      <w:jc w:val="center"/>
                      <w:rPr>
                        <w:sz w:val="10"/>
                        <w:szCs w:val="10"/>
                      </w:rPr>
                    </w:pPr>
                    <w:r>
                      <w:rPr>
                        <w:sz w:val="18"/>
                        <w:szCs w:val="18"/>
                      </w:rPr>
                      <w:t>(2024)</w:t>
                    </w:r>
                  </w:p>
                </w:tc>
                <w:tc>
                  <w:tcPr>
                    <w:tcW w:w="1134" w:type="dxa"/>
                    <w:shd w:val="clear" w:color="auto" w:fill="FFFFFF" w:themeFill="background1"/>
                  </w:tcPr>
                  <w:p>
                    <w:pPr>
                      <w:spacing w:line="276" w:lineRule="auto"/>
                      <w:jc w:val="center"/>
                      <w:rPr>
                        <w:sz w:val="18"/>
                        <w:szCs w:val="18"/>
                      </w:rPr>
                    </w:pPr>
                    <w:r>
                      <w:rPr>
                        <w:sz w:val="18"/>
                        <w:szCs w:val="18"/>
                      </w:rPr>
                      <w:t xml:space="preserve">150 </w:t>
                    </w:r>
                  </w:p>
                  <w:p>
                    <w:pPr>
                      <w:rPr>
                        <w:sz w:val="18"/>
                        <w:szCs w:val="18"/>
                      </w:rPr>
                    </w:pPr>
                  </w:p>
                  <w:p>
                    <w:pPr>
                      <w:spacing w:line="276" w:lineRule="auto"/>
                      <w:jc w:val="center"/>
                      <w:rPr>
                        <w:sz w:val="10"/>
                        <w:szCs w:val="10"/>
                      </w:rPr>
                    </w:pPr>
                    <w:r>
                      <w:rPr>
                        <w:sz w:val="18"/>
                        <w:szCs w:val="18"/>
                      </w:rPr>
                      <w:t>(2029)</w:t>
                    </w:r>
                  </w:p>
                </w:tc>
                <w:tc>
                  <w:tcPr>
                    <w:tcW w:w="2551" w:type="dxa"/>
                    <w:shd w:val="clear" w:color="auto" w:fill="FFFFFF" w:themeFill="background1"/>
                  </w:tcPr>
                  <w:p>
                    <w:pPr>
                      <w:jc w:val="center"/>
                      <w:rPr>
                        <w:color w:val="000000"/>
                        <w:sz w:val="27"/>
                        <w:szCs w:val="27"/>
                        <w:lang w:eastAsia="lt-LT"/>
                      </w:rPr>
                    </w:pPr>
                    <w:r>
                      <w:rPr>
                        <w:color w:val="000000"/>
                        <w:sz w:val="20"/>
                        <w:lang w:eastAsia="lt-LT"/>
                      </w:rPr>
                      <w:t>2021–2027 m. IP,</w:t>
                    </w:r>
                  </w:p>
                  <w:p>
                    <w:pPr>
                      <w:jc w:val="center"/>
                      <w:rPr>
                        <w:color w:val="000000"/>
                        <w:sz w:val="27"/>
                        <w:szCs w:val="27"/>
                        <w:lang w:eastAsia="lt-LT"/>
                      </w:rPr>
                    </w:pPr>
                    <w:r>
                      <w:rPr>
                        <w:color w:val="000000"/>
                        <w:sz w:val="20"/>
                        <w:lang w:eastAsia="lt-LT"/>
                      </w:rPr>
                      <w:t>privačios lėšos</w:t>
                    </w:r>
                  </w:p>
                  <w:p>
                    <w:pPr>
                      <w:spacing w:line="276" w:lineRule="auto"/>
                      <w:jc w:val="center"/>
                      <w:rPr>
                        <w:sz w:val="10"/>
                        <w:szCs w:val="10"/>
                      </w:rPr>
                    </w:pPr>
                  </w:p>
                </w:tc>
              </w:tr>
              <w:tr>
                <w:trPr>
                  <w:jc w:val="center"/>
                </w:trPr>
                <w:tc>
                  <w:tcPr>
                    <w:tcW w:w="2547" w:type="dxa"/>
                    <w:shd w:val="clear" w:color="auto" w:fill="FFFFFF" w:themeFill="background1"/>
                  </w:tcPr>
                  <w:p>
                    <w:pPr>
                      <w:spacing w:line="276" w:lineRule="auto"/>
                      <w:jc w:val="center"/>
                      <w:rPr>
                        <w:sz w:val="10"/>
                        <w:szCs w:val="10"/>
                      </w:rPr>
                    </w:pPr>
                    <w:r>
                      <w:rPr>
                        <w:sz w:val="18"/>
                      </w:rPr>
                      <w:t>P-12-001-01-02-01-05</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8"/>
                        <w:szCs w:val="18"/>
                      </w:rPr>
                    </w:pPr>
                    <w:r>
                      <w:rPr>
                        <w:sz w:val="18"/>
                        <w:szCs w:val="18"/>
                      </w:rPr>
                      <w:t>Investicijas gavusių mokslo ir studijų institucijų skaičius</w:t>
                    </w:r>
                  </w:p>
                </w:tc>
                <w:tc>
                  <w:tcPr>
                    <w:tcW w:w="1275" w:type="dxa"/>
                  </w:tcPr>
                  <w:p>
                    <w:pPr>
                      <w:spacing w:line="276" w:lineRule="auto"/>
                      <w:jc w:val="center"/>
                      <w:rPr>
                        <w:sz w:val="18"/>
                        <w:szCs w:val="18"/>
                      </w:rPr>
                    </w:pPr>
                    <w:r>
                      <w:rPr>
                        <w:sz w:val="18"/>
                        <w:szCs w:val="18"/>
                      </w:rPr>
                      <w:t>skaičius</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(2021)</w:t>
                    </w:r>
                  </w:p>
                </w:tc>
                <w:tc>
                  <w:tcPr>
                    <w:tcW w:w="992" w:type="dxa"/>
                    <w:shd w:val="clear" w:color="auto" w:fill="FFFFFF" w:themeFill="background1"/>
                  </w:tcPr>
                  <w:p>
                    <w:pPr>
                      <w:spacing w:line="276" w:lineRule="auto"/>
                      <w:jc w:val="center"/>
                      <w:rPr>
                        <w:sz w:val="18"/>
                        <w:szCs w:val="18"/>
                      </w:rPr>
                    </w:pPr>
                    <w:r>
                      <w:rPr>
                        <w:sz w:val="18"/>
                        <w:szCs w:val="18"/>
                      </w:rPr>
                      <w:t xml:space="preserve">8 </w:t>
                    </w:r>
                  </w:p>
                  <w:p>
                    <w:pPr>
                      <w:rPr>
                        <w:sz w:val="18"/>
                        <w:szCs w:val="18"/>
                      </w:rPr>
                    </w:pPr>
                  </w:p>
                  <w:p>
                    <w:pPr>
                      <w:spacing w:line="276" w:lineRule="auto"/>
                      <w:jc w:val="center"/>
                      <w:rPr>
                        <w:sz w:val="10"/>
                        <w:szCs w:val="10"/>
                      </w:rPr>
                    </w:pPr>
                    <w:r>
                      <w:rPr>
                        <w:sz w:val="18"/>
                        <w:szCs w:val="18"/>
                      </w:rPr>
                      <w:t>(2024)</w:t>
                    </w:r>
                  </w:p>
                </w:tc>
                <w:tc>
                  <w:tcPr>
                    <w:tcW w:w="1134" w:type="dxa"/>
                    <w:shd w:val="clear" w:color="auto" w:fill="FFFFFF" w:themeFill="background1"/>
                  </w:tcPr>
                  <w:p>
                    <w:pPr>
                      <w:spacing w:line="276" w:lineRule="auto"/>
                      <w:jc w:val="center"/>
                      <w:rPr>
                        <w:sz w:val="18"/>
                        <w:szCs w:val="18"/>
                      </w:rPr>
                    </w:pPr>
                    <w:r>
                      <w:rPr>
                        <w:sz w:val="18"/>
                        <w:szCs w:val="18"/>
                      </w:rPr>
                      <w:t xml:space="preserve">16 </w:t>
                    </w:r>
                  </w:p>
                  <w:p>
                    <w:pPr>
                      <w:rPr>
                        <w:sz w:val="18"/>
                        <w:szCs w:val="18"/>
                      </w:rPr>
                    </w:pPr>
                  </w:p>
                  <w:p>
                    <w:pPr>
                      <w:spacing w:line="276" w:lineRule="auto"/>
                      <w:jc w:val="center"/>
                      <w:rPr>
                        <w:sz w:val="10"/>
                        <w:szCs w:val="10"/>
                      </w:rPr>
                    </w:pPr>
                    <w:r>
                      <w:rPr>
                        <w:sz w:val="18"/>
                        <w:szCs w:val="18"/>
                      </w:rPr>
                      <w:t>(2029)</w:t>
                    </w:r>
                  </w:p>
                </w:tc>
                <w:tc>
                  <w:tcPr>
                    <w:tcW w:w="2551" w:type="dxa"/>
                    <w:shd w:val="clear" w:color="auto" w:fill="FFFFFF" w:themeFill="background1"/>
                  </w:tcPr>
                  <w:p>
                    <w:pPr>
                      <w:jc w:val="center"/>
                      <w:rPr>
                        <w:color w:val="000000"/>
                        <w:sz w:val="27"/>
                        <w:szCs w:val="27"/>
                        <w:lang w:eastAsia="lt-LT"/>
                      </w:rPr>
                    </w:pPr>
                    <w:r>
                      <w:rPr>
                        <w:color w:val="000000"/>
                        <w:sz w:val="20"/>
                        <w:lang w:eastAsia="lt-LT"/>
                      </w:rPr>
                      <w:t>2021–2027 m. IP,</w:t>
                    </w:r>
                  </w:p>
                  <w:p>
                    <w:pPr>
                      <w:jc w:val="center"/>
                      <w:rPr>
                        <w:color w:val="000000"/>
                        <w:sz w:val="27"/>
                        <w:szCs w:val="27"/>
                        <w:lang w:eastAsia="lt-LT"/>
                      </w:rPr>
                    </w:pPr>
                    <w:r>
                      <w:rPr>
                        <w:color w:val="000000"/>
                        <w:sz w:val="20"/>
                        <w:lang w:eastAsia="lt-LT"/>
                      </w:rPr>
                      <w:t>privačios lėšos</w:t>
                    </w:r>
                  </w:p>
                  <w:p>
                    <w:pPr>
                      <w:spacing w:line="276" w:lineRule="auto"/>
                      <w:jc w:val="center"/>
                      <w:rPr>
                        <w:sz w:val="10"/>
                        <w:szCs w:val="10"/>
                      </w:rPr>
                    </w:pPr>
                  </w:p>
                </w:tc>
              </w:tr>
              <w:tr>
                <w:trPr>
                  <w:jc w:val="center"/>
                </w:trPr>
                <w:tc>
                  <w:tcPr>
                    <w:tcW w:w="2547" w:type="dxa"/>
                    <w:shd w:val="clear" w:color="auto" w:fill="FFFFFF" w:themeFill="background1"/>
                  </w:tcPr>
                  <w:p>
                    <w:pPr>
                      <w:spacing w:line="276" w:lineRule="auto"/>
                      <w:jc w:val="center"/>
                      <w:rPr>
                        <w:sz w:val="10"/>
                        <w:szCs w:val="10"/>
                      </w:rPr>
                    </w:pPr>
                    <w:r>
                      <w:rPr>
                        <w:sz w:val="18"/>
                      </w:rPr>
                      <w:t xml:space="preserve">P-12-001-01-02-01-06 </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8"/>
                        <w:szCs w:val="18"/>
                      </w:rPr>
                    </w:pPr>
                    <w:r>
                      <w:rPr>
                        <w:sz w:val="18"/>
                        <w:szCs w:val="18"/>
                      </w:rPr>
                      <w:t xml:space="preserve">Paramą gavusios įmonės </w:t>
                    </w:r>
                    <w:r>
                      <w:rPr>
                        <w:color w:val="000000"/>
                        <w:sz w:val="18"/>
                        <w:szCs w:val="18"/>
                        <w:shd w:val="clear" w:color="auto" w:fill="FFFFFF"/>
                      </w:rPr>
                      <w:t>(iš kurių: labai mažos, mažosios, vidutinės ir didelės)</w:t>
                    </w:r>
                  </w:p>
                </w:tc>
                <w:tc>
                  <w:tcPr>
                    <w:tcW w:w="1275" w:type="dxa"/>
                  </w:tcPr>
                  <w:p>
                    <w:pPr>
                      <w:spacing w:line="276" w:lineRule="auto"/>
                      <w:jc w:val="center"/>
                      <w:rPr>
                        <w:sz w:val="18"/>
                        <w:szCs w:val="18"/>
                      </w:rPr>
                    </w:pPr>
                    <w:r>
                      <w:rPr>
                        <w:sz w:val="18"/>
                      </w:rPr>
                      <w:t>įmonės</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(2021)</w:t>
                    </w:r>
                  </w:p>
                </w:tc>
                <w:tc>
                  <w:tcPr>
                    <w:tcW w:w="992" w:type="dxa"/>
                    <w:shd w:val="clear" w:color="auto" w:fill="FFFFFF" w:themeFill="background1"/>
                  </w:tcPr>
                  <w:p>
                    <w:pPr>
                      <w:spacing w:line="276" w:lineRule="auto"/>
                      <w:jc w:val="center"/>
                      <w:rPr>
                        <w:sz w:val="18"/>
                        <w:szCs w:val="18"/>
                      </w:rPr>
                    </w:pPr>
                    <w:r>
                      <w:rPr>
                        <w:sz w:val="18"/>
                        <w:szCs w:val="18"/>
                      </w:rPr>
                      <w:t xml:space="preserve">34 </w:t>
                    </w:r>
                  </w:p>
                  <w:p>
                    <w:pPr>
                      <w:rPr>
                        <w:sz w:val="18"/>
                        <w:szCs w:val="18"/>
                      </w:rPr>
                    </w:pPr>
                  </w:p>
                  <w:p>
                    <w:pPr>
                      <w:spacing w:line="276" w:lineRule="auto"/>
                      <w:jc w:val="center"/>
                      <w:rPr>
                        <w:sz w:val="10"/>
                        <w:szCs w:val="10"/>
                      </w:rPr>
                    </w:pPr>
                    <w:r>
                      <w:rPr>
                        <w:sz w:val="18"/>
                        <w:szCs w:val="18"/>
                      </w:rPr>
                      <w:t>(2024)</w:t>
                    </w:r>
                  </w:p>
                </w:tc>
                <w:tc>
                  <w:tcPr>
                    <w:tcW w:w="1134" w:type="dxa"/>
                    <w:shd w:val="clear" w:color="auto" w:fill="FFFFFF" w:themeFill="background1"/>
                  </w:tcPr>
                  <w:p>
                    <w:pPr>
                      <w:spacing w:line="276" w:lineRule="auto"/>
                      <w:jc w:val="center"/>
                      <w:rPr>
                        <w:sz w:val="18"/>
                        <w:szCs w:val="18"/>
                      </w:rPr>
                    </w:pPr>
                    <w:r>
                      <w:rPr>
                        <w:sz w:val="18"/>
                        <w:szCs w:val="18"/>
                      </w:rPr>
                      <w:t xml:space="preserve">170 </w:t>
                    </w:r>
                  </w:p>
                  <w:p>
                    <w:pPr>
                      <w:rPr>
                        <w:sz w:val="18"/>
                        <w:szCs w:val="18"/>
                      </w:rPr>
                    </w:pPr>
                  </w:p>
                  <w:p>
                    <w:pPr>
                      <w:spacing w:line="276" w:lineRule="auto"/>
                      <w:jc w:val="center"/>
                      <w:rPr>
                        <w:sz w:val="10"/>
                        <w:szCs w:val="10"/>
                      </w:rPr>
                    </w:pPr>
                    <w:r>
                      <w:rPr>
                        <w:sz w:val="18"/>
                        <w:szCs w:val="18"/>
                      </w:rPr>
                      <w:t>(2029)</w:t>
                    </w:r>
                  </w:p>
                </w:tc>
                <w:tc>
                  <w:tcPr>
                    <w:tcW w:w="2551" w:type="dxa"/>
                    <w:shd w:val="clear" w:color="auto" w:fill="FFFFFF" w:themeFill="background1"/>
                  </w:tcPr>
                  <w:p>
                    <w:pPr>
                      <w:jc w:val="center"/>
                      <w:rPr>
                        <w:color w:val="000000"/>
                        <w:sz w:val="27"/>
                        <w:szCs w:val="27"/>
                        <w:lang w:eastAsia="lt-LT"/>
                      </w:rPr>
                    </w:pPr>
                    <w:r>
                      <w:rPr>
                        <w:color w:val="000000"/>
                        <w:sz w:val="20"/>
                        <w:lang w:eastAsia="lt-LT"/>
                      </w:rPr>
                      <w:t>2021–2027 m. IP,</w:t>
                    </w:r>
                  </w:p>
                  <w:p>
                    <w:pPr>
                      <w:jc w:val="center"/>
                      <w:rPr>
                        <w:color w:val="000000"/>
                        <w:sz w:val="27"/>
                        <w:szCs w:val="27"/>
                        <w:lang w:eastAsia="lt-LT"/>
                      </w:rPr>
                    </w:pPr>
                    <w:r>
                      <w:rPr>
                        <w:color w:val="000000"/>
                        <w:sz w:val="20"/>
                        <w:lang w:eastAsia="lt-LT"/>
                      </w:rPr>
                      <w:t>privačios lėšos</w:t>
                    </w:r>
                  </w:p>
                  <w:p>
                    <w:pPr>
                      <w:spacing w:line="276" w:lineRule="auto"/>
                      <w:jc w:val="center"/>
                      <w:rPr>
                        <w:sz w:val="10"/>
                        <w:szCs w:val="10"/>
                        <w:highlight w:val="yellow"/>
                      </w:rPr>
                    </w:pPr>
                  </w:p>
                </w:tc>
              </w:tr>
              <w:tr>
                <w:trPr>
                  <w:jc w:val="center"/>
                </w:trPr>
                <w:tc>
                  <w:tcPr>
                    <w:tcW w:w="2547" w:type="dxa"/>
                    <w:shd w:val="clear" w:color="auto" w:fill="FFFFFF" w:themeFill="background1"/>
                  </w:tcPr>
                  <w:p>
                    <w:pPr>
                      <w:spacing w:line="276" w:lineRule="auto"/>
                      <w:ind w:firstLine="48"/>
                      <w:jc w:val="center"/>
                      <w:rPr>
                        <w:sz w:val="18"/>
                      </w:rPr>
                    </w:pPr>
                    <w:r>
                      <w:rPr>
                        <w:sz w:val="18"/>
                      </w:rPr>
                      <w:t xml:space="preserve">P-12-001-01-02-01-07 </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8"/>
                        <w:szCs w:val="18"/>
                      </w:rPr>
                    </w:pPr>
                    <w:r>
                      <w:rPr>
                        <w:color w:val="000000"/>
                        <w:sz w:val="18"/>
                        <w:szCs w:val="18"/>
                        <w:shd w:val="clear" w:color="auto" w:fill="FFFFFF"/>
                      </w:rPr>
                      <w:t>Paramą gavusios įmonės (iš kurių: labai mažos)</w:t>
                    </w:r>
                  </w:p>
                </w:tc>
                <w:tc>
                  <w:tcPr>
                    <w:tcW w:w="1275" w:type="dxa"/>
                  </w:tcPr>
                  <w:p>
                    <w:pPr>
                      <w:spacing w:line="276" w:lineRule="auto"/>
                      <w:jc w:val="center"/>
                      <w:rPr>
                        <w:sz w:val="18"/>
                        <w:szCs w:val="18"/>
                      </w:rPr>
                    </w:pPr>
                    <w:r>
                      <w:rPr>
                        <w:sz w:val="18"/>
                        <w:szCs w:val="18"/>
                      </w:rPr>
                      <w:t>įmonės</w:t>
                    </w:r>
                  </w:p>
                </w:tc>
                <w:tc>
                  <w:tcPr>
                    <w:tcW w:w="1560" w:type="dxa"/>
                  </w:tcPr>
                  <w:p>
                    <w:pPr>
                      <w:spacing w:line="276" w:lineRule="auto"/>
                      <w:jc w:val="center"/>
                      <w:rPr>
                        <w:sz w:val="18"/>
                        <w:szCs w:val="18"/>
                      </w:rPr>
                    </w:pPr>
                    <w:r>
                      <w:rPr>
                        <w:sz w:val="18"/>
                        <w:szCs w:val="18"/>
                      </w:rPr>
                      <w:t>n/a</w:t>
                    </w:r>
                  </w:p>
                </w:tc>
                <w:tc>
                  <w:tcPr>
                    <w:tcW w:w="992" w:type="dxa"/>
                    <w:shd w:val="clear" w:color="auto" w:fill="FFFFFF" w:themeFill="background1"/>
                  </w:tcPr>
                  <w:p>
                    <w:pPr>
                      <w:spacing w:line="276" w:lineRule="auto"/>
                      <w:jc w:val="center"/>
                      <w:rPr>
                        <w:sz w:val="18"/>
                        <w:szCs w:val="18"/>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n/a</w:t>
                    </w:r>
                  </w:p>
                </w:tc>
                <w:tc>
                  <w:tcPr>
                    <w:tcW w:w="2551" w:type="dxa"/>
                    <w:shd w:val="clear" w:color="auto" w:fill="FFFFFF" w:themeFill="background1"/>
                  </w:tcPr>
                  <w:p>
                    <w:pPr>
                      <w:jc w:val="center"/>
                      <w:rPr>
                        <w:color w:val="000000"/>
                        <w:sz w:val="18"/>
                        <w:szCs w:val="18"/>
                        <w:lang w:eastAsia="lt-LT"/>
                      </w:rPr>
                    </w:pPr>
                    <w:r>
                      <w:rPr>
                        <w:color w:val="000000"/>
                        <w:sz w:val="18"/>
                        <w:szCs w:val="18"/>
                        <w:lang w:eastAsia="lt-LT"/>
                      </w:rPr>
                      <w:t>2021–2027 m. IP,</w:t>
                    </w:r>
                  </w:p>
                  <w:p>
                    <w:pPr>
                      <w:jc w:val="center"/>
                      <w:rPr>
                        <w:color w:val="000000"/>
                        <w:sz w:val="18"/>
                        <w:szCs w:val="18"/>
                        <w:lang w:eastAsia="lt-LT"/>
                      </w:rPr>
                    </w:pPr>
                    <w:r>
                      <w:rPr>
                        <w:color w:val="000000"/>
                        <w:sz w:val="18"/>
                        <w:szCs w:val="18"/>
                        <w:lang w:eastAsia="lt-LT"/>
                      </w:rPr>
                      <w:t>privačios lėšos</w:t>
                    </w:r>
                  </w:p>
                  <w:p>
                    <w:pPr>
                      <w:jc w:val="center"/>
                      <w:rPr>
                        <w:color w:val="000000"/>
                        <w:sz w:val="20"/>
                        <w:lang w:eastAsia="lt-LT"/>
                      </w:rPr>
                    </w:pPr>
                  </w:p>
                </w:tc>
              </w:tr>
              <w:tr>
                <w:trPr>
                  <w:jc w:val="center"/>
                </w:trPr>
                <w:tc>
                  <w:tcPr>
                    <w:tcW w:w="2547" w:type="dxa"/>
                    <w:shd w:val="clear" w:color="auto" w:fill="FFFFFF" w:themeFill="background1"/>
                  </w:tcPr>
                  <w:p>
                    <w:pPr>
                      <w:spacing w:line="276" w:lineRule="auto"/>
                      <w:jc w:val="center"/>
                      <w:rPr>
                        <w:sz w:val="18"/>
                      </w:rPr>
                    </w:pPr>
                    <w:r>
                      <w:rPr>
                        <w:sz w:val="18"/>
                      </w:rPr>
                      <w:t>P-12-001-01-02-01-08</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8"/>
                        <w:szCs w:val="18"/>
                      </w:rPr>
                    </w:pPr>
                    <w:r>
                      <w:rPr>
                        <w:color w:val="000000"/>
                        <w:sz w:val="18"/>
                        <w:szCs w:val="18"/>
                        <w:shd w:val="clear" w:color="auto" w:fill="FFFFFF"/>
                      </w:rPr>
                      <w:t>Paramą gavusios įmonės (iš kurių: mažosios)</w:t>
                    </w:r>
                  </w:p>
                </w:tc>
                <w:tc>
                  <w:tcPr>
                    <w:tcW w:w="1275" w:type="dxa"/>
                  </w:tcPr>
                  <w:p>
                    <w:pPr>
                      <w:spacing w:line="276" w:lineRule="auto"/>
                      <w:jc w:val="center"/>
                      <w:rPr>
                        <w:sz w:val="18"/>
                        <w:szCs w:val="18"/>
                      </w:rPr>
                    </w:pPr>
                    <w:r>
                      <w:rPr>
                        <w:sz w:val="18"/>
                        <w:szCs w:val="18"/>
                      </w:rPr>
                      <w:t>įmonės</w:t>
                    </w:r>
                  </w:p>
                </w:tc>
                <w:tc>
                  <w:tcPr>
                    <w:tcW w:w="1560" w:type="dxa"/>
                  </w:tcPr>
                  <w:p>
                    <w:pPr>
                      <w:spacing w:line="276" w:lineRule="auto"/>
                      <w:jc w:val="center"/>
                      <w:rPr>
                        <w:sz w:val="18"/>
                        <w:szCs w:val="18"/>
                      </w:rPr>
                    </w:pPr>
                    <w:r>
                      <w:rPr>
                        <w:sz w:val="18"/>
                        <w:szCs w:val="18"/>
                      </w:rPr>
                      <w:t>n/a</w:t>
                    </w:r>
                  </w:p>
                </w:tc>
                <w:tc>
                  <w:tcPr>
                    <w:tcW w:w="992" w:type="dxa"/>
                    <w:shd w:val="clear" w:color="auto" w:fill="FFFFFF" w:themeFill="background1"/>
                  </w:tcPr>
                  <w:p>
                    <w:pPr>
                      <w:spacing w:line="276" w:lineRule="auto"/>
                      <w:jc w:val="center"/>
                      <w:rPr>
                        <w:sz w:val="18"/>
                        <w:szCs w:val="18"/>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n/a</w:t>
                    </w:r>
                  </w:p>
                </w:tc>
                <w:tc>
                  <w:tcPr>
                    <w:tcW w:w="2551" w:type="dxa"/>
                    <w:shd w:val="clear" w:color="auto" w:fill="FFFFFF" w:themeFill="background1"/>
                  </w:tcPr>
                  <w:p>
                    <w:pPr>
                      <w:jc w:val="center"/>
                      <w:rPr>
                        <w:color w:val="000000"/>
                        <w:sz w:val="18"/>
                        <w:szCs w:val="18"/>
                        <w:lang w:eastAsia="lt-LT"/>
                      </w:rPr>
                    </w:pPr>
                    <w:r>
                      <w:rPr>
                        <w:color w:val="000000"/>
                        <w:sz w:val="18"/>
                        <w:szCs w:val="18"/>
                        <w:lang w:eastAsia="lt-LT"/>
                      </w:rPr>
                      <w:t>2021–2027 m. IP,</w:t>
                    </w:r>
                  </w:p>
                  <w:p>
                    <w:pPr>
                      <w:jc w:val="center"/>
                      <w:rPr>
                        <w:color w:val="000000"/>
                        <w:sz w:val="18"/>
                        <w:szCs w:val="18"/>
                        <w:lang w:eastAsia="lt-LT"/>
                      </w:rPr>
                    </w:pPr>
                    <w:r>
                      <w:rPr>
                        <w:color w:val="000000"/>
                        <w:sz w:val="18"/>
                        <w:szCs w:val="18"/>
                        <w:lang w:eastAsia="lt-LT"/>
                      </w:rPr>
                      <w:t>privačios lėšos</w:t>
                    </w:r>
                  </w:p>
                  <w:p>
                    <w:pPr>
                      <w:jc w:val="center"/>
                      <w:rPr>
                        <w:color w:val="000000"/>
                        <w:sz w:val="20"/>
                        <w:lang w:eastAsia="lt-LT"/>
                      </w:rPr>
                    </w:pPr>
                  </w:p>
                </w:tc>
              </w:tr>
              <w:tr>
                <w:trPr>
                  <w:jc w:val="center"/>
                </w:trPr>
                <w:tc>
                  <w:tcPr>
                    <w:tcW w:w="2547" w:type="dxa"/>
                    <w:shd w:val="clear" w:color="auto" w:fill="FFFFFF" w:themeFill="background1"/>
                  </w:tcPr>
                  <w:p>
                    <w:pPr>
                      <w:spacing w:line="276" w:lineRule="auto"/>
                      <w:jc w:val="center"/>
                      <w:rPr>
                        <w:sz w:val="18"/>
                      </w:rPr>
                    </w:pPr>
                    <w:r>
                      <w:rPr>
                        <w:sz w:val="18"/>
                      </w:rPr>
                      <w:t>P-12-001-01-02-01-09</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8"/>
                        <w:szCs w:val="18"/>
                      </w:rPr>
                    </w:pPr>
                    <w:r>
                      <w:rPr>
                        <w:color w:val="000000"/>
                        <w:sz w:val="18"/>
                        <w:szCs w:val="18"/>
                        <w:shd w:val="clear" w:color="auto" w:fill="FFFFFF"/>
                      </w:rPr>
                      <w:t>Paramą gavusios įmonės (iš kurių: vidutinės)</w:t>
                    </w:r>
                  </w:p>
                </w:tc>
                <w:tc>
                  <w:tcPr>
                    <w:tcW w:w="1275" w:type="dxa"/>
                  </w:tcPr>
                  <w:p>
                    <w:pPr>
                      <w:spacing w:line="276" w:lineRule="auto"/>
                      <w:jc w:val="center"/>
                      <w:rPr>
                        <w:sz w:val="18"/>
                        <w:szCs w:val="18"/>
                      </w:rPr>
                    </w:pPr>
                    <w:r>
                      <w:rPr>
                        <w:sz w:val="18"/>
                        <w:szCs w:val="18"/>
                      </w:rPr>
                      <w:t>įmonės</w:t>
                    </w:r>
                  </w:p>
                </w:tc>
                <w:tc>
                  <w:tcPr>
                    <w:tcW w:w="1560" w:type="dxa"/>
                  </w:tcPr>
                  <w:p>
                    <w:pPr>
                      <w:spacing w:line="276" w:lineRule="auto"/>
                      <w:jc w:val="center"/>
                      <w:rPr>
                        <w:sz w:val="18"/>
                        <w:szCs w:val="18"/>
                      </w:rPr>
                    </w:pPr>
                    <w:r>
                      <w:rPr>
                        <w:sz w:val="18"/>
                        <w:szCs w:val="18"/>
                      </w:rPr>
                      <w:t>n/a</w:t>
                    </w:r>
                  </w:p>
                </w:tc>
                <w:tc>
                  <w:tcPr>
                    <w:tcW w:w="992" w:type="dxa"/>
                    <w:shd w:val="clear" w:color="auto" w:fill="FFFFFF" w:themeFill="background1"/>
                  </w:tcPr>
                  <w:p>
                    <w:pPr>
                      <w:spacing w:line="276" w:lineRule="auto"/>
                      <w:jc w:val="center"/>
                      <w:rPr>
                        <w:sz w:val="18"/>
                        <w:szCs w:val="18"/>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n/a</w:t>
                    </w:r>
                  </w:p>
                </w:tc>
                <w:tc>
                  <w:tcPr>
                    <w:tcW w:w="2551" w:type="dxa"/>
                    <w:shd w:val="clear" w:color="auto" w:fill="FFFFFF" w:themeFill="background1"/>
                  </w:tcPr>
                  <w:p>
                    <w:pPr>
                      <w:jc w:val="center"/>
                      <w:rPr>
                        <w:color w:val="000000"/>
                        <w:sz w:val="18"/>
                        <w:szCs w:val="18"/>
                        <w:lang w:eastAsia="lt-LT"/>
                      </w:rPr>
                    </w:pPr>
                    <w:r>
                      <w:rPr>
                        <w:color w:val="000000"/>
                        <w:sz w:val="18"/>
                        <w:szCs w:val="18"/>
                        <w:lang w:eastAsia="lt-LT"/>
                      </w:rPr>
                      <w:t>2021–2027 m. IP,</w:t>
                    </w:r>
                  </w:p>
                  <w:p>
                    <w:pPr>
                      <w:jc w:val="center"/>
                      <w:rPr>
                        <w:color w:val="000000"/>
                        <w:sz w:val="18"/>
                        <w:szCs w:val="18"/>
                        <w:lang w:eastAsia="lt-LT"/>
                      </w:rPr>
                    </w:pPr>
                    <w:r>
                      <w:rPr>
                        <w:color w:val="000000"/>
                        <w:sz w:val="18"/>
                        <w:szCs w:val="18"/>
                        <w:lang w:eastAsia="lt-LT"/>
                      </w:rPr>
                      <w:t>privačios lėšos</w:t>
                    </w:r>
                  </w:p>
                  <w:p>
                    <w:pPr>
                      <w:jc w:val="center"/>
                      <w:rPr>
                        <w:color w:val="000000"/>
                        <w:sz w:val="20"/>
                        <w:lang w:eastAsia="lt-LT"/>
                      </w:rPr>
                    </w:pPr>
                  </w:p>
                </w:tc>
              </w:tr>
              <w:tr>
                <w:trPr>
                  <w:jc w:val="center"/>
                </w:trPr>
                <w:tc>
                  <w:tcPr>
                    <w:tcW w:w="2547" w:type="dxa"/>
                    <w:shd w:val="clear" w:color="auto" w:fill="FFFFFF" w:themeFill="background1"/>
                  </w:tcPr>
                  <w:p>
                    <w:pPr>
                      <w:spacing w:line="276" w:lineRule="auto"/>
                      <w:jc w:val="center"/>
                      <w:rPr>
                        <w:sz w:val="18"/>
                      </w:rPr>
                    </w:pPr>
                    <w:r>
                      <w:rPr>
                        <w:sz w:val="18"/>
                      </w:rPr>
                      <w:t>P-12-001-01-02-01-10</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8"/>
                        <w:szCs w:val="18"/>
                      </w:rPr>
                    </w:pPr>
                    <w:r>
                      <w:rPr>
                        <w:color w:val="000000"/>
                        <w:sz w:val="18"/>
                        <w:szCs w:val="18"/>
                        <w:shd w:val="clear" w:color="auto" w:fill="FFFFFF"/>
                      </w:rPr>
                      <w:t>Paramą gavusios įmonės (iš kurių: didelės)</w:t>
                    </w:r>
                  </w:p>
                </w:tc>
                <w:tc>
                  <w:tcPr>
                    <w:tcW w:w="1275" w:type="dxa"/>
                  </w:tcPr>
                  <w:p>
                    <w:pPr>
                      <w:spacing w:line="276" w:lineRule="auto"/>
                      <w:jc w:val="center"/>
                      <w:rPr>
                        <w:sz w:val="18"/>
                        <w:szCs w:val="18"/>
                      </w:rPr>
                    </w:pPr>
                    <w:r>
                      <w:rPr>
                        <w:sz w:val="18"/>
                        <w:szCs w:val="18"/>
                      </w:rPr>
                      <w:t>įmonės</w:t>
                    </w:r>
                  </w:p>
                </w:tc>
                <w:tc>
                  <w:tcPr>
                    <w:tcW w:w="1560" w:type="dxa"/>
                  </w:tcPr>
                  <w:p>
                    <w:pPr>
                      <w:spacing w:line="276" w:lineRule="auto"/>
                      <w:jc w:val="center"/>
                      <w:rPr>
                        <w:sz w:val="18"/>
                        <w:szCs w:val="18"/>
                      </w:rPr>
                    </w:pPr>
                    <w:r>
                      <w:rPr>
                        <w:sz w:val="18"/>
                        <w:szCs w:val="18"/>
                      </w:rPr>
                      <w:t>n/a</w:t>
                    </w:r>
                  </w:p>
                </w:tc>
                <w:tc>
                  <w:tcPr>
                    <w:tcW w:w="992" w:type="dxa"/>
                    <w:shd w:val="clear" w:color="auto" w:fill="FFFFFF" w:themeFill="background1"/>
                  </w:tcPr>
                  <w:p>
                    <w:pPr>
                      <w:spacing w:line="276" w:lineRule="auto"/>
                      <w:jc w:val="center"/>
                      <w:rPr>
                        <w:sz w:val="18"/>
                        <w:szCs w:val="18"/>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n/a</w:t>
                    </w:r>
                  </w:p>
                </w:tc>
                <w:tc>
                  <w:tcPr>
                    <w:tcW w:w="2551" w:type="dxa"/>
                    <w:shd w:val="clear" w:color="auto" w:fill="FFFFFF" w:themeFill="background1"/>
                  </w:tcPr>
                  <w:p>
                    <w:pPr>
                      <w:jc w:val="center"/>
                      <w:rPr>
                        <w:color w:val="000000"/>
                        <w:sz w:val="18"/>
                        <w:szCs w:val="18"/>
                        <w:lang w:eastAsia="lt-LT"/>
                      </w:rPr>
                    </w:pPr>
                    <w:r>
                      <w:rPr>
                        <w:color w:val="000000"/>
                        <w:sz w:val="18"/>
                        <w:szCs w:val="18"/>
                        <w:lang w:eastAsia="lt-LT"/>
                      </w:rPr>
                      <w:t>2021–2027 m. IP,</w:t>
                    </w:r>
                  </w:p>
                  <w:p>
                    <w:pPr>
                      <w:jc w:val="center"/>
                      <w:rPr>
                        <w:color w:val="000000"/>
                        <w:sz w:val="18"/>
                        <w:szCs w:val="18"/>
                        <w:lang w:eastAsia="lt-LT"/>
                      </w:rPr>
                    </w:pPr>
                    <w:r>
                      <w:rPr>
                        <w:color w:val="000000"/>
                        <w:sz w:val="18"/>
                        <w:szCs w:val="18"/>
                        <w:lang w:eastAsia="lt-LT"/>
                      </w:rPr>
                      <w:t>privačios lėšos</w:t>
                    </w:r>
                  </w:p>
                  <w:p>
                    <w:pPr>
                      <w:jc w:val="center"/>
                      <w:rPr>
                        <w:color w:val="000000"/>
                        <w:sz w:val="20"/>
                        <w:lang w:eastAsia="lt-LT"/>
                      </w:rPr>
                    </w:pPr>
                  </w:p>
                </w:tc>
              </w:tr>
              <w:tr>
                <w:trPr>
                  <w:jc w:val="center"/>
                </w:trPr>
                <w:tc>
                  <w:tcPr>
                    <w:tcW w:w="2547" w:type="dxa"/>
                    <w:shd w:val="clear" w:color="auto" w:fill="FFFFFF" w:themeFill="background1"/>
                  </w:tcPr>
                  <w:p>
                    <w:pPr>
                      <w:spacing w:line="276" w:lineRule="auto"/>
                      <w:jc w:val="center"/>
                      <w:rPr>
                        <w:sz w:val="10"/>
                        <w:szCs w:val="10"/>
                      </w:rPr>
                    </w:pPr>
                    <w:r>
                      <w:rPr>
                        <w:sz w:val="18"/>
                      </w:rPr>
                      <w:t>P-12-001-01-02-01-11</w:t>
                    </w:r>
                    <w:r>
                      <w:rPr>
                        <w:sz w:val="18"/>
                        <w:szCs w:val="18"/>
                      </w:rPr>
                      <w:t xml:space="preserve"> </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8"/>
                        <w:szCs w:val="18"/>
                      </w:rPr>
                    </w:pPr>
                    <w:r>
                      <w:rPr>
                        <w:sz w:val="18"/>
                        <w:szCs w:val="18"/>
                      </w:rPr>
                      <w:t>Nefinansinę paramą gavusios įmonės</w:t>
                    </w:r>
                  </w:p>
                </w:tc>
                <w:tc>
                  <w:tcPr>
                    <w:tcW w:w="1275" w:type="dxa"/>
                  </w:tcPr>
                  <w:p>
                    <w:pPr>
                      <w:spacing w:line="276" w:lineRule="auto"/>
                      <w:jc w:val="center"/>
                      <w:rPr>
                        <w:sz w:val="18"/>
                        <w:szCs w:val="18"/>
                      </w:rPr>
                    </w:pPr>
                    <w:r>
                      <w:rPr>
                        <w:sz w:val="18"/>
                        <w:szCs w:val="18"/>
                      </w:rPr>
                      <w:t>įmonės</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(2021)</w:t>
                    </w:r>
                  </w:p>
                </w:tc>
                <w:tc>
                  <w:tcPr>
                    <w:tcW w:w="992" w:type="dxa"/>
                    <w:shd w:val="clear" w:color="auto" w:fill="FFFFFF" w:themeFill="background1"/>
                  </w:tcPr>
                  <w:p>
                    <w:pPr>
                      <w:spacing w:line="276" w:lineRule="auto"/>
                      <w:jc w:val="center"/>
                      <w:rPr>
                        <w:sz w:val="18"/>
                        <w:szCs w:val="18"/>
                      </w:rPr>
                    </w:pPr>
                    <w:r>
                      <w:rPr>
                        <w:sz w:val="18"/>
                        <w:szCs w:val="18"/>
                      </w:rPr>
                      <w:t xml:space="preserve">34 </w:t>
                    </w:r>
                  </w:p>
                  <w:p>
                    <w:pPr>
                      <w:rPr>
                        <w:sz w:val="18"/>
                        <w:szCs w:val="18"/>
                      </w:rPr>
                    </w:pPr>
                  </w:p>
                  <w:p>
                    <w:pPr>
                      <w:spacing w:line="276" w:lineRule="auto"/>
                      <w:jc w:val="center"/>
                      <w:rPr>
                        <w:sz w:val="10"/>
                        <w:szCs w:val="10"/>
                      </w:rPr>
                    </w:pPr>
                    <w:r>
                      <w:rPr>
                        <w:sz w:val="18"/>
                        <w:szCs w:val="18"/>
                      </w:rPr>
                      <w:t>(2024)</w:t>
                    </w:r>
                  </w:p>
                </w:tc>
                <w:tc>
                  <w:tcPr>
                    <w:tcW w:w="1134" w:type="dxa"/>
                    <w:shd w:val="clear" w:color="auto" w:fill="FFFFFF" w:themeFill="background1"/>
                  </w:tcPr>
                  <w:p>
                    <w:pPr>
                      <w:spacing w:line="276" w:lineRule="auto"/>
                      <w:jc w:val="center"/>
                      <w:rPr>
                        <w:sz w:val="18"/>
                        <w:szCs w:val="18"/>
                      </w:rPr>
                    </w:pPr>
                    <w:r>
                      <w:rPr>
                        <w:sz w:val="18"/>
                        <w:szCs w:val="18"/>
                      </w:rPr>
                      <w:t xml:space="preserve">170 </w:t>
                    </w:r>
                  </w:p>
                  <w:p>
                    <w:pPr>
                      <w:rPr>
                        <w:sz w:val="18"/>
                        <w:szCs w:val="18"/>
                      </w:rPr>
                    </w:pPr>
                  </w:p>
                  <w:p>
                    <w:pPr>
                      <w:spacing w:line="276" w:lineRule="auto"/>
                      <w:jc w:val="center"/>
                      <w:rPr>
                        <w:sz w:val="10"/>
                        <w:szCs w:val="10"/>
                      </w:rPr>
                    </w:pPr>
                    <w:r>
                      <w:rPr>
                        <w:sz w:val="18"/>
                        <w:szCs w:val="18"/>
                      </w:rPr>
                      <w:t>(2024)</w:t>
                    </w:r>
                  </w:p>
                </w:tc>
                <w:tc>
                  <w:tcPr>
                    <w:tcW w:w="2551" w:type="dxa"/>
                    <w:shd w:val="clear" w:color="auto" w:fill="FFFFFF" w:themeFill="background1"/>
                  </w:tcPr>
                  <w:p>
                    <w:pPr>
                      <w:jc w:val="center"/>
                      <w:rPr>
                        <w:color w:val="000000"/>
                        <w:sz w:val="27"/>
                        <w:szCs w:val="27"/>
                        <w:lang w:eastAsia="lt-LT"/>
                      </w:rPr>
                    </w:pPr>
                    <w:r>
                      <w:rPr>
                        <w:color w:val="000000"/>
                        <w:sz w:val="20"/>
                        <w:lang w:eastAsia="lt-LT"/>
                      </w:rPr>
                      <w:t>2021–2027 m. IP,</w:t>
                    </w:r>
                  </w:p>
                  <w:p>
                    <w:pPr>
                      <w:jc w:val="center"/>
                      <w:rPr>
                        <w:color w:val="000000"/>
                        <w:sz w:val="27"/>
                        <w:szCs w:val="27"/>
                        <w:lang w:eastAsia="lt-LT"/>
                      </w:rPr>
                    </w:pPr>
                    <w:r>
                      <w:rPr>
                        <w:color w:val="000000"/>
                        <w:sz w:val="20"/>
                        <w:lang w:eastAsia="lt-LT"/>
                      </w:rPr>
                      <w:t>privačios lėšos</w:t>
                    </w:r>
                  </w:p>
                  <w:p>
                    <w:pPr>
                      <w:spacing w:line="276" w:lineRule="auto"/>
                      <w:jc w:val="center"/>
                      <w:rPr>
                        <w:sz w:val="10"/>
                        <w:szCs w:val="10"/>
                        <w:highlight w:val="yellow"/>
                      </w:rPr>
                    </w:pPr>
                  </w:p>
                </w:tc>
              </w:tr>
              <w:tr>
                <w:trPr>
                  <w:jc w:val="center"/>
                </w:trPr>
                <w:tc>
                  <w:tcPr>
                    <w:tcW w:w="2547" w:type="dxa"/>
                    <w:shd w:val="clear" w:color="auto" w:fill="FFFFFF" w:themeFill="background1"/>
                  </w:tcPr>
                  <w:p>
                    <w:pPr>
                      <w:spacing w:line="276" w:lineRule="auto"/>
                      <w:jc w:val="center"/>
                      <w:rPr>
                        <w:sz w:val="10"/>
                        <w:szCs w:val="10"/>
                      </w:rPr>
                    </w:pPr>
                    <w:r>
                      <w:rPr>
                        <w:sz w:val="18"/>
                      </w:rPr>
                      <w:t>P-12-001-01-02-01-12</w:t>
                    </w:r>
                    <w:r>
                      <w:rPr>
                        <w:sz w:val="18"/>
                        <w:szCs w:val="18"/>
                      </w:rPr>
                      <w:t xml:space="preserve"> </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8"/>
                        <w:szCs w:val="18"/>
                      </w:rPr>
                    </w:pPr>
                    <w:r>
                      <w:rPr>
                        <w:sz w:val="18"/>
                        <w:szCs w:val="18"/>
                      </w:rPr>
                      <w:t>Paramą gavusios naujos įmonės</w:t>
                    </w:r>
                  </w:p>
                </w:tc>
                <w:tc>
                  <w:tcPr>
                    <w:tcW w:w="1275" w:type="dxa"/>
                  </w:tcPr>
                  <w:p>
                    <w:pPr>
                      <w:spacing w:line="276" w:lineRule="auto"/>
                      <w:jc w:val="center"/>
                      <w:rPr>
                        <w:sz w:val="18"/>
                        <w:szCs w:val="18"/>
                      </w:rPr>
                    </w:pPr>
                    <w:r>
                      <w:rPr>
                        <w:sz w:val="18"/>
                        <w:szCs w:val="18"/>
                      </w:rPr>
                      <w:t>įmonės</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(2021)</w:t>
                    </w:r>
                  </w:p>
                </w:tc>
                <w:tc>
                  <w:tcPr>
                    <w:tcW w:w="992" w:type="dxa"/>
                    <w:shd w:val="clear" w:color="auto" w:fill="FFFFFF" w:themeFill="background1"/>
                  </w:tcPr>
                  <w:p>
                    <w:pPr>
                      <w:spacing w:line="276" w:lineRule="auto"/>
                      <w:jc w:val="center"/>
                      <w:rPr>
                        <w:sz w:val="18"/>
                        <w:szCs w:val="18"/>
                      </w:rPr>
                    </w:pPr>
                    <w:r>
                      <w:rPr>
                        <w:sz w:val="18"/>
                        <w:szCs w:val="18"/>
                      </w:rPr>
                      <w:t xml:space="preserve">34 </w:t>
                    </w:r>
                  </w:p>
                  <w:p>
                    <w:pPr>
                      <w:rPr>
                        <w:sz w:val="18"/>
                        <w:szCs w:val="18"/>
                      </w:rPr>
                    </w:pPr>
                  </w:p>
                  <w:p>
                    <w:pPr>
                      <w:spacing w:line="276" w:lineRule="auto"/>
                      <w:jc w:val="center"/>
                      <w:rPr>
                        <w:sz w:val="10"/>
                        <w:szCs w:val="10"/>
                      </w:rPr>
                    </w:pPr>
                    <w:r>
                      <w:rPr>
                        <w:sz w:val="18"/>
                        <w:szCs w:val="18"/>
                      </w:rPr>
                      <w:t>(2024)</w:t>
                    </w:r>
                  </w:p>
                </w:tc>
                <w:tc>
                  <w:tcPr>
                    <w:tcW w:w="1134" w:type="dxa"/>
                    <w:shd w:val="clear" w:color="auto" w:fill="FFFFFF" w:themeFill="background1"/>
                  </w:tcPr>
                  <w:p>
                    <w:pPr>
                      <w:spacing w:line="276" w:lineRule="auto"/>
                      <w:jc w:val="center"/>
                      <w:rPr>
                        <w:sz w:val="18"/>
                        <w:szCs w:val="18"/>
                      </w:rPr>
                    </w:pPr>
                    <w:r>
                      <w:rPr>
                        <w:sz w:val="18"/>
                        <w:szCs w:val="18"/>
                      </w:rPr>
                      <w:t xml:space="preserve">170 </w:t>
                    </w:r>
                  </w:p>
                  <w:p>
                    <w:pPr>
                      <w:rPr>
                        <w:sz w:val="18"/>
                        <w:szCs w:val="18"/>
                      </w:rPr>
                    </w:pPr>
                  </w:p>
                  <w:p>
                    <w:pPr>
                      <w:spacing w:line="276" w:lineRule="auto"/>
                      <w:jc w:val="center"/>
                      <w:rPr>
                        <w:sz w:val="10"/>
                        <w:szCs w:val="10"/>
                      </w:rPr>
                    </w:pPr>
                    <w:r>
                      <w:rPr>
                        <w:sz w:val="18"/>
                        <w:szCs w:val="18"/>
                      </w:rPr>
                      <w:t>(2029)</w:t>
                    </w:r>
                  </w:p>
                </w:tc>
                <w:tc>
                  <w:tcPr>
                    <w:tcW w:w="2551" w:type="dxa"/>
                    <w:shd w:val="clear" w:color="auto" w:fill="FFFFFF" w:themeFill="background1"/>
                  </w:tcPr>
                  <w:p>
                    <w:pPr>
                      <w:jc w:val="center"/>
                      <w:rPr>
                        <w:color w:val="000000"/>
                        <w:sz w:val="27"/>
                        <w:szCs w:val="27"/>
                        <w:lang w:eastAsia="lt-LT"/>
                      </w:rPr>
                    </w:pPr>
                    <w:r>
                      <w:rPr>
                        <w:color w:val="000000"/>
                        <w:sz w:val="20"/>
                        <w:lang w:eastAsia="lt-LT"/>
                      </w:rPr>
                      <w:t>2021–2027 m. IP,</w:t>
                    </w:r>
                  </w:p>
                  <w:p>
                    <w:pPr>
                      <w:jc w:val="center"/>
                      <w:rPr>
                        <w:color w:val="000000"/>
                        <w:sz w:val="27"/>
                        <w:szCs w:val="27"/>
                        <w:lang w:eastAsia="lt-LT"/>
                      </w:rPr>
                    </w:pPr>
                    <w:r>
                      <w:rPr>
                        <w:color w:val="000000"/>
                        <w:sz w:val="20"/>
                        <w:lang w:eastAsia="lt-LT"/>
                      </w:rPr>
                      <w:t>privačios lėšos</w:t>
                    </w:r>
                  </w:p>
                  <w:p>
                    <w:pPr>
                      <w:spacing w:line="276" w:lineRule="auto"/>
                      <w:jc w:val="center"/>
                      <w:rPr>
                        <w:sz w:val="10"/>
                        <w:szCs w:val="10"/>
                      </w:rPr>
                    </w:pPr>
                  </w:p>
                </w:tc>
              </w:tr>
              <w:tr>
                <w:trPr>
                  <w:jc w:val="center"/>
                </w:trPr>
                <w:tc>
                  <w:tcPr>
                    <w:tcW w:w="2547" w:type="dxa"/>
                    <w:shd w:val="clear" w:color="auto" w:fill="FFFFFF" w:themeFill="background1"/>
                  </w:tcPr>
                  <w:p>
                    <w:pPr>
                      <w:spacing w:line="276" w:lineRule="auto"/>
                      <w:jc w:val="center"/>
                      <w:rPr>
                        <w:sz w:val="10"/>
                        <w:szCs w:val="10"/>
                      </w:rPr>
                    </w:pPr>
                    <w:r>
                      <w:rPr>
                        <w:sz w:val="18"/>
                      </w:rPr>
                      <w:t>P-12-001-01-02-01-13</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8"/>
                        <w:szCs w:val="18"/>
                      </w:rPr>
                    </w:pPr>
                    <w:r>
                      <w:rPr>
                        <w:sz w:val="18"/>
                        <w:szCs w:val="18"/>
                      </w:rPr>
                      <w:t xml:space="preserve">Programos „Europos horizontas“ įgyvendinimo spartinimo veiksmų plano rengimas ir priėmimas </w:t>
                    </w:r>
                  </w:p>
                </w:tc>
                <w:tc>
                  <w:tcPr>
                    <w:tcW w:w="1275" w:type="dxa"/>
                  </w:tcPr>
                  <w:p>
                    <w:pPr>
                      <w:spacing w:line="276" w:lineRule="auto"/>
                      <w:jc w:val="center"/>
                      <w:rPr>
                        <w:sz w:val="18"/>
                        <w:szCs w:val="18"/>
                      </w:rPr>
                    </w:pPr>
                    <w:r>
                      <w:rPr>
                        <w:sz w:val="18"/>
                        <w:szCs w:val="18"/>
                      </w:rPr>
                      <w:t>vienetai</w:t>
                    </w:r>
                  </w:p>
                </w:tc>
                <w:tc>
                  <w:tcPr>
                    <w:tcW w:w="1560" w:type="dxa"/>
                  </w:tcPr>
                  <w:p>
                    <w:pPr>
                      <w:spacing w:line="276" w:lineRule="auto"/>
                      <w:jc w:val="center"/>
                      <w:rPr>
                        <w:sz w:val="10"/>
                        <w:szCs w:val="10"/>
                      </w:rPr>
                    </w:pPr>
                    <w:r>
                      <w:rPr>
                        <w:sz w:val="18"/>
                        <w:szCs w:val="18"/>
                      </w:rPr>
                      <w:t>n/a (2021)</w:t>
                    </w:r>
                  </w:p>
                </w:tc>
                <w:tc>
                  <w:tcPr>
                    <w:tcW w:w="992" w:type="dxa"/>
                    <w:shd w:val="clear" w:color="auto" w:fill="FFFFFF" w:themeFill="background1"/>
                  </w:tcPr>
                  <w:p>
                    <w:pPr>
                      <w:spacing w:line="276" w:lineRule="auto"/>
                      <w:jc w:val="center"/>
                      <w:rPr>
                        <w:sz w:val="10"/>
                        <w:szCs w:val="10"/>
                      </w:rPr>
                    </w:pPr>
                    <w:r>
                      <w:rPr>
                        <w:sz w:val="18"/>
                        <w:szCs w:val="18"/>
                      </w:rPr>
                      <w:t>n/a</w:t>
                    </w:r>
                  </w:p>
                </w:tc>
                <w:tc>
                  <w:tcPr>
                    <w:tcW w:w="1134" w:type="dxa"/>
                    <w:shd w:val="clear" w:color="auto" w:fill="FFFFFF" w:themeFill="background1"/>
                  </w:tcPr>
                  <w:p>
                    <w:pPr>
                      <w:spacing w:line="276" w:lineRule="auto"/>
                      <w:jc w:val="center"/>
                      <w:rPr>
                        <w:sz w:val="10"/>
                        <w:szCs w:val="10"/>
                      </w:rPr>
                    </w:pPr>
                    <w:r>
                      <w:rPr>
                        <w:sz w:val="18"/>
                        <w:szCs w:val="18"/>
                      </w:rPr>
                      <w:t>1 (2022 II ketv.)</w:t>
                    </w:r>
                  </w:p>
                </w:tc>
                <w:tc>
                  <w:tcPr>
                    <w:tcW w:w="2551" w:type="dxa"/>
                    <w:shd w:val="clear" w:color="auto" w:fill="FFFFFF" w:themeFill="background1"/>
                  </w:tcPr>
                  <w:p>
                    <w:pPr>
                      <w:spacing w:line="276" w:lineRule="auto"/>
                      <w:jc w:val="center"/>
                      <w:rPr>
                        <w:sz w:val="10"/>
                        <w:szCs w:val="10"/>
                      </w:rPr>
                    </w:pPr>
                    <w:r>
                      <w:rPr>
                        <w:sz w:val="18"/>
                        <w:szCs w:val="18"/>
                      </w:rPr>
                      <w:t>Ekonomikos gaivinimo ir atsparumo didinimo planas (toliau – EGADP)</w:t>
                    </w:r>
                  </w:p>
                </w:tc>
              </w:tr>
              <w:tr>
                <w:trPr>
                  <w:jc w:val="center"/>
                </w:trPr>
                <w:tc>
                  <w:tcPr>
                    <w:tcW w:w="2547" w:type="dxa"/>
                    <w:shd w:val="clear" w:color="auto" w:fill="FFFFFF" w:themeFill="background1"/>
                  </w:tcPr>
                  <w:p>
                    <w:pPr>
                      <w:spacing w:line="276" w:lineRule="auto"/>
                      <w:jc w:val="center"/>
                      <w:rPr>
                        <w:sz w:val="10"/>
                        <w:szCs w:val="10"/>
                      </w:rPr>
                    </w:pPr>
                    <w:r>
                      <w:rPr>
                        <w:sz w:val="18"/>
                      </w:rPr>
                      <w:t>P-12-001-01-02-01-14</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8"/>
                        <w:szCs w:val="18"/>
                      </w:rPr>
                    </w:pPr>
                    <w:r>
                      <w:rPr>
                        <w:sz w:val="18"/>
                        <w:szCs w:val="18"/>
                      </w:rPr>
                      <w:t xml:space="preserve">Finansuoti projektai ir konsultavimo paslaugos mokslo ir studijų institucijų ir mažų ir vidutinių įmonių potencialiems  programos „Europos horizontas“ pareiškėjams</w:t>
                    </w:r>
                  </w:p>
                </w:tc>
                <w:tc>
                  <w:tcPr>
                    <w:tcW w:w="1275" w:type="dxa"/>
                  </w:tcPr>
                  <w:p>
                    <w:pPr>
                      <w:spacing w:line="276" w:lineRule="auto"/>
                      <w:jc w:val="center"/>
                      <w:rPr>
                        <w:sz w:val="18"/>
                        <w:szCs w:val="18"/>
                      </w:rPr>
                    </w:pPr>
                    <w:r>
                      <w:rPr>
                        <w:sz w:val="18"/>
                        <w:szCs w:val="18"/>
                      </w:rPr>
                      <w:t>vienetai</w:t>
                    </w:r>
                  </w:p>
                </w:tc>
                <w:tc>
                  <w:tcPr>
                    <w:tcW w:w="1560" w:type="dxa"/>
                  </w:tcPr>
                  <w:p>
                    <w:pPr>
                      <w:spacing w:line="276" w:lineRule="auto"/>
                      <w:jc w:val="center"/>
                      <w:rPr>
                        <w:sz w:val="18"/>
                        <w:szCs w:val="18"/>
                      </w:rPr>
                    </w:pPr>
                    <w:r>
                      <w:rPr>
                        <w:sz w:val="18"/>
                        <w:szCs w:val="18"/>
                      </w:rPr>
                      <w:t>0 (2021)</w:t>
                    </w:r>
                  </w:p>
                </w:tc>
                <w:tc>
                  <w:tcPr>
                    <w:tcW w:w="992" w:type="dxa"/>
                    <w:shd w:val="clear" w:color="auto" w:fill="FFFFFF" w:themeFill="background1"/>
                  </w:tcPr>
                  <w:p>
                    <w:pPr>
                      <w:spacing w:line="276" w:lineRule="auto"/>
                      <w:jc w:val="center"/>
                      <w:rPr>
                        <w:sz w:val="18"/>
                        <w:szCs w:val="18"/>
                      </w:rPr>
                    </w:pPr>
                    <w:r>
                      <w:rPr>
                        <w:sz w:val="18"/>
                        <w:szCs w:val="18"/>
                      </w:rPr>
                      <w:t>200 (2025 I ketv.)</w:t>
                    </w:r>
                  </w:p>
                </w:tc>
                <w:tc>
                  <w:tcPr>
                    <w:tcW w:w="1134" w:type="dxa"/>
                    <w:shd w:val="clear" w:color="auto" w:fill="FFFFFF" w:themeFill="background1"/>
                  </w:tcPr>
                  <w:p>
                    <w:pPr>
                      <w:spacing w:line="276" w:lineRule="auto"/>
                      <w:jc w:val="center"/>
                      <w:rPr>
                        <w:sz w:val="18"/>
                        <w:szCs w:val="18"/>
                      </w:rPr>
                    </w:pPr>
                    <w:r>
                      <w:rPr>
                        <w:sz w:val="18"/>
                        <w:szCs w:val="18"/>
                      </w:rPr>
                      <w:t>477 (2026 II ketv.)</w:t>
                    </w:r>
                  </w:p>
                </w:tc>
                <w:tc>
                  <w:tcPr>
                    <w:tcW w:w="2551" w:type="dxa"/>
                    <w:shd w:val="clear" w:color="auto" w:fill="FFFFFF" w:themeFill="background1"/>
                  </w:tcPr>
                  <w:p>
                    <w:pPr>
                      <w:spacing w:line="276" w:lineRule="auto"/>
                      <w:jc w:val="center"/>
                      <w:rPr>
                        <w:sz w:val="18"/>
                        <w:szCs w:val="18"/>
                      </w:rPr>
                    </w:pPr>
                    <w:r>
                      <w:rPr>
                        <w:sz w:val="18"/>
                        <w:szCs w:val="18"/>
                      </w:rPr>
                      <w:t>EGADP</w:t>
                    </w:r>
                  </w:p>
                </w:tc>
              </w:tr>
              <w:tr>
                <w:trPr>
                  <w:jc w:val="center"/>
                </w:trPr>
                <w:tc>
                  <w:tcPr>
                    <w:tcW w:w="2547" w:type="dxa"/>
                    <w:shd w:val="clear" w:color="auto" w:fill="FFFFFF" w:themeFill="background1"/>
                  </w:tcPr>
                  <w:p>
                    <w:pPr>
                      <w:spacing w:line="276" w:lineRule="auto"/>
                      <w:jc w:val="center"/>
                      <w:rPr>
                        <w:sz w:val="10"/>
                        <w:szCs w:val="10"/>
                      </w:rPr>
                    </w:pPr>
                    <w:r>
                      <w:rPr>
                        <w:sz w:val="18"/>
                      </w:rPr>
                      <w:t>P-12-001-01-02-01-15</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8"/>
                        <w:szCs w:val="18"/>
                      </w:rPr>
                    </w:pPr>
                    <w:r>
                      <w:rPr>
                        <w:sz w:val="18"/>
                        <w:szCs w:val="18"/>
                      </w:rPr>
                      <w:t>Sukurtas mokslo ir inovacijų srities pareigūnų veiklos modelis</w:t>
                    </w:r>
                  </w:p>
                </w:tc>
                <w:tc>
                  <w:tcPr>
                    <w:tcW w:w="1275" w:type="dxa"/>
                  </w:tcPr>
                  <w:p>
                    <w:pPr>
                      <w:spacing w:line="276" w:lineRule="auto"/>
                      <w:jc w:val="center"/>
                      <w:rPr>
                        <w:sz w:val="18"/>
                        <w:szCs w:val="18"/>
                      </w:rPr>
                    </w:pPr>
                    <w:r>
                      <w:rPr>
                        <w:sz w:val="18"/>
                        <w:szCs w:val="18"/>
                      </w:rPr>
                      <w:t>vienetai</w:t>
                    </w:r>
                  </w:p>
                </w:tc>
                <w:tc>
                  <w:tcPr>
                    <w:tcW w:w="1560" w:type="dxa"/>
                  </w:tcPr>
                  <w:p>
                    <w:pPr>
                      <w:spacing w:line="276" w:lineRule="auto"/>
                      <w:jc w:val="center"/>
                      <w:rPr>
                        <w:sz w:val="18"/>
                        <w:szCs w:val="18"/>
                      </w:rPr>
                    </w:pPr>
                    <w:r>
                      <w:rPr>
                        <w:sz w:val="18"/>
                        <w:szCs w:val="18"/>
                      </w:rPr>
                      <w:t>n/a (2021)</w:t>
                    </w:r>
                  </w:p>
                </w:tc>
                <w:tc>
                  <w:tcPr>
                    <w:tcW w:w="992" w:type="dxa"/>
                    <w:shd w:val="clear" w:color="auto" w:fill="FFFFFF" w:themeFill="background1"/>
                  </w:tcPr>
                  <w:p>
                    <w:pPr>
                      <w:spacing w:line="276" w:lineRule="auto"/>
                      <w:jc w:val="center"/>
                      <w:rPr>
                        <w:sz w:val="18"/>
                        <w:szCs w:val="18"/>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1 (2022 II ketv.)</w:t>
                    </w:r>
                  </w:p>
                </w:tc>
                <w:tc>
                  <w:tcPr>
                    <w:tcW w:w="2551" w:type="dxa"/>
                    <w:shd w:val="clear" w:color="auto" w:fill="FFFFFF" w:themeFill="background1"/>
                  </w:tcPr>
                  <w:p>
                    <w:pPr>
                      <w:spacing w:line="276" w:lineRule="auto"/>
                      <w:jc w:val="center"/>
                      <w:rPr>
                        <w:sz w:val="18"/>
                        <w:szCs w:val="18"/>
                      </w:rPr>
                    </w:pPr>
                    <w:r>
                      <w:rPr>
                        <w:sz w:val="18"/>
                        <w:szCs w:val="18"/>
                      </w:rPr>
                      <w:t>EGADP</w:t>
                    </w:r>
                  </w:p>
                </w:tc>
              </w:tr>
              <w:tr>
                <w:trPr>
                  <w:jc w:val="center"/>
                </w:trPr>
                <w:tc>
                  <w:tcPr>
                    <w:tcW w:w="2547" w:type="dxa"/>
                    <w:shd w:val="clear" w:color="auto" w:fill="FFFFFF" w:themeFill="background1"/>
                  </w:tcPr>
                  <w:p>
                    <w:pPr>
                      <w:spacing w:line="276" w:lineRule="auto"/>
                      <w:jc w:val="center"/>
                      <w:rPr>
                        <w:sz w:val="10"/>
                        <w:szCs w:val="10"/>
                      </w:rPr>
                    </w:pPr>
                    <w:r>
                      <w:rPr>
                        <w:sz w:val="18"/>
                      </w:rPr>
                      <w:t>P-12-001-01-02-01-16</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8"/>
                        <w:szCs w:val="18"/>
                      </w:rPr>
                    </w:pPr>
                    <w:r>
                      <w:rPr>
                        <w:sz w:val="18"/>
                        <w:szCs w:val="18"/>
                      </w:rPr>
                      <w:t>Įsteigtos mokslo pareigūnų ir nacionalinių kontaktinių asmenų (NCP) pozicijos</w:t>
                    </w:r>
                  </w:p>
                </w:tc>
                <w:tc>
                  <w:tcPr>
                    <w:tcW w:w="1275" w:type="dxa"/>
                  </w:tcPr>
                  <w:p>
                    <w:pPr>
                      <w:spacing w:line="276" w:lineRule="auto"/>
                      <w:jc w:val="center"/>
                      <w:rPr>
                        <w:sz w:val="18"/>
                        <w:szCs w:val="18"/>
                      </w:rPr>
                    </w:pPr>
                    <w:r>
                      <w:rPr>
                        <w:sz w:val="18"/>
                        <w:szCs w:val="18"/>
                      </w:rPr>
                      <w:t>vienetai</w:t>
                    </w:r>
                  </w:p>
                </w:tc>
                <w:tc>
                  <w:tcPr>
                    <w:tcW w:w="1560" w:type="dxa"/>
                  </w:tcPr>
                  <w:p>
                    <w:pPr>
                      <w:spacing w:line="276" w:lineRule="auto"/>
                      <w:jc w:val="center"/>
                      <w:rPr>
                        <w:sz w:val="18"/>
                        <w:szCs w:val="18"/>
                      </w:rPr>
                    </w:pPr>
                    <w:r>
                      <w:rPr>
                        <w:sz w:val="18"/>
                        <w:szCs w:val="18"/>
                      </w:rPr>
                      <w:t>0 (2021)</w:t>
                    </w:r>
                  </w:p>
                </w:tc>
                <w:tc>
                  <w:tcPr>
                    <w:tcW w:w="992" w:type="dxa"/>
                    <w:shd w:val="clear" w:color="auto" w:fill="FFFFFF" w:themeFill="background1"/>
                  </w:tcPr>
                  <w:p>
                    <w:pPr>
                      <w:spacing w:line="276" w:lineRule="auto"/>
                      <w:jc w:val="center"/>
                      <w:rPr>
                        <w:sz w:val="18"/>
                        <w:szCs w:val="18"/>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30 (2026 II ketv.)</w:t>
                    </w:r>
                  </w:p>
                </w:tc>
                <w:tc>
                  <w:tcPr>
                    <w:tcW w:w="2551" w:type="dxa"/>
                    <w:shd w:val="clear" w:color="auto" w:fill="FFFFFF" w:themeFill="background1"/>
                  </w:tcPr>
                  <w:p>
                    <w:pPr>
                      <w:spacing w:line="276" w:lineRule="auto"/>
                      <w:jc w:val="center"/>
                      <w:rPr>
                        <w:sz w:val="18"/>
                        <w:szCs w:val="18"/>
                      </w:rPr>
                    </w:pPr>
                    <w:r>
                      <w:rPr>
                        <w:sz w:val="18"/>
                        <w:szCs w:val="18"/>
                      </w:rPr>
                      <w:t>EGADP</w:t>
                    </w:r>
                  </w:p>
                </w:tc>
              </w:tr>
              <w:tr>
                <w:trPr>
                  <w:jc w:val="center"/>
                </w:trPr>
                <w:tc>
                  <w:tcPr>
                    <w:tcW w:w="2547" w:type="dxa"/>
                    <w:shd w:val="clear" w:color="auto" w:fill="FFFFFF" w:themeFill="background1"/>
                  </w:tcPr>
                  <w:p>
                    <w:pPr>
                      <w:spacing w:line="276" w:lineRule="auto"/>
                      <w:jc w:val="center"/>
                      <w:rPr>
                        <w:sz w:val="18"/>
                      </w:rPr>
                    </w:pPr>
                    <w:r>
                      <w:rPr>
                        <w:sz w:val="18"/>
                      </w:rPr>
                      <w:t>P-12-001-01-02-01-17</w:t>
                    </w:r>
                  </w:p>
                </w:tc>
                <w:tc>
                  <w:tcPr>
                    <w:tcW w:w="1417" w:type="dxa"/>
                    <w:shd w:val="clear" w:color="auto" w:fill="FFFFFF" w:themeFill="background1"/>
                    <w:vAlign w:val="center"/>
                  </w:tcPr>
                  <w:p>
                    <w:pPr>
                      <w:spacing w:line="276" w:lineRule="auto"/>
                      <w:jc w:val="center"/>
                      <w:rPr>
                        <w:sz w:val="18"/>
                        <w:szCs w:val="18"/>
                      </w:rPr>
                    </w:pPr>
                    <w:r>
                      <w:rPr>
                        <w:sz w:val="18"/>
                        <w:szCs w:val="18"/>
                      </w:rPr>
                      <w:t>rezultato</w:t>
                    </w:r>
                  </w:p>
                </w:tc>
                <w:tc>
                  <w:tcPr>
                    <w:tcW w:w="2978" w:type="dxa"/>
                  </w:tcPr>
                  <w:p>
                    <w:pPr>
                      <w:spacing w:line="276" w:lineRule="auto"/>
                      <w:jc w:val="center"/>
                      <w:rPr>
                        <w:sz w:val="18"/>
                        <w:szCs w:val="18"/>
                      </w:rPr>
                    </w:pPr>
                    <w:r>
                      <w:rPr>
                        <w:sz w:val="18"/>
                        <w:szCs w:val="18"/>
                      </w:rPr>
                      <w:t>Paramą gavusiose mokslinių tyrimų įstaigose dirbantys mokslininkai</w:t>
                    </w:r>
                  </w:p>
                </w:tc>
                <w:tc>
                  <w:tcPr>
                    <w:tcW w:w="1275" w:type="dxa"/>
                  </w:tcPr>
                  <w:p>
                    <w:pPr>
                      <w:spacing w:line="276" w:lineRule="auto"/>
                      <w:jc w:val="center"/>
                      <w:rPr>
                        <w:sz w:val="18"/>
                        <w:szCs w:val="18"/>
                      </w:rPr>
                    </w:pPr>
                    <w:r>
                      <w:rPr>
                        <w:sz w:val="18"/>
                        <w:szCs w:val="18"/>
                      </w:rPr>
                      <w:t>vienetai</w:t>
                    </w:r>
                  </w:p>
                </w:tc>
                <w:tc>
                  <w:tcPr>
                    <w:tcW w:w="1560" w:type="dxa"/>
                    <w:vAlign w:val="center"/>
                  </w:tcPr>
                  <w:p>
                    <w:pPr>
                      <w:spacing w:line="276" w:lineRule="auto"/>
                      <w:jc w:val="center"/>
                      <w:rPr>
                        <w:sz w:val="18"/>
                        <w:szCs w:val="18"/>
                      </w:rPr>
                    </w:pPr>
                    <w:r>
                      <w:rPr>
                        <w:sz w:val="18"/>
                        <w:szCs w:val="18"/>
                      </w:rPr>
                      <w:t>n/a</w:t>
                    </w:r>
                  </w:p>
                </w:tc>
                <w:tc>
                  <w:tcPr>
                    <w:tcW w:w="992" w:type="dxa"/>
                    <w:shd w:val="clear" w:color="auto" w:fill="FFFFFF" w:themeFill="background1"/>
                    <w:vAlign w:val="center"/>
                  </w:tcPr>
                  <w:p>
                    <w:pPr>
                      <w:spacing w:line="276" w:lineRule="auto"/>
                      <w:jc w:val="center"/>
                      <w:rPr>
                        <w:sz w:val="18"/>
                        <w:szCs w:val="18"/>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n/a</w:t>
                    </w:r>
                  </w:p>
                </w:tc>
                <w:tc>
                  <w:tcPr>
                    <w:tcW w:w="2551" w:type="dxa"/>
                    <w:shd w:val="clear" w:color="auto" w:fill="FFFFFF" w:themeFill="background1"/>
                  </w:tcPr>
                  <w:p>
                    <w:pPr>
                      <w:spacing w:line="276" w:lineRule="auto"/>
                      <w:jc w:val="center"/>
                      <w:rPr>
                        <w:sz w:val="18"/>
                        <w:szCs w:val="18"/>
                      </w:rPr>
                    </w:pPr>
                    <w:r>
                      <w:rPr>
                        <w:sz w:val="18"/>
                        <w:szCs w:val="18"/>
                      </w:rPr>
                      <w:t>EGADP</w:t>
                    </w:r>
                  </w:p>
                </w:tc>
              </w:tr>
              <w:tr>
                <w:trPr>
                  <w:jc w:val="center"/>
                </w:trPr>
                <w:tc>
                  <w:tcPr>
                    <w:tcW w:w="2547" w:type="dxa"/>
                    <w:shd w:val="clear" w:color="auto" w:fill="FFFFFF" w:themeFill="background1"/>
                  </w:tcPr>
                  <w:p>
                    <w:pPr>
                      <w:spacing w:line="276" w:lineRule="auto"/>
                      <w:jc w:val="center"/>
                      <w:rPr>
                        <w:sz w:val="18"/>
                      </w:rPr>
                    </w:pPr>
                    <w:r>
                      <w:rPr>
                        <w:sz w:val="18"/>
                      </w:rPr>
                      <w:t>P-12-001-01-02-01-18</w:t>
                    </w:r>
                  </w:p>
                </w:tc>
                <w:tc>
                  <w:tcPr>
                    <w:tcW w:w="1417" w:type="dxa"/>
                    <w:shd w:val="clear" w:color="auto" w:fill="FFFFFF" w:themeFill="background1"/>
                  </w:tcPr>
                  <w:p>
                    <w:pPr>
                      <w:spacing w:line="276" w:lineRule="auto"/>
                      <w:jc w:val="center"/>
                      <w:rPr>
                        <w:sz w:val="18"/>
                        <w:szCs w:val="18"/>
                      </w:rPr>
                    </w:pPr>
                    <w:r>
                      <w:rPr>
                        <w:sz w:val="18"/>
                        <w:szCs w:val="18"/>
                      </w:rPr>
                      <w:t>rezultato</w:t>
                    </w:r>
                  </w:p>
                </w:tc>
                <w:tc>
                  <w:tcPr>
                    <w:tcW w:w="2978" w:type="dxa"/>
                  </w:tcPr>
                  <w:p>
                    <w:pPr>
                      <w:spacing w:line="276" w:lineRule="auto"/>
                      <w:jc w:val="center"/>
                      <w:rPr>
                        <w:sz w:val="18"/>
                        <w:szCs w:val="18"/>
                      </w:rPr>
                    </w:pPr>
                    <w:r>
                      <w:rPr>
                        <w:sz w:val="18"/>
                        <w:szCs w:val="18"/>
                      </w:rPr>
                      <w:t xml:space="preserve">Paramą gavusios įmonės </w:t>
                    </w:r>
                  </w:p>
                </w:tc>
                <w:tc>
                  <w:tcPr>
                    <w:tcW w:w="1275" w:type="dxa"/>
                  </w:tcPr>
                  <w:p>
                    <w:pPr>
                      <w:spacing w:line="276" w:lineRule="auto"/>
                      <w:jc w:val="center"/>
                      <w:rPr>
                        <w:sz w:val="18"/>
                        <w:szCs w:val="18"/>
                      </w:rPr>
                    </w:pPr>
                    <w:r>
                      <w:rPr>
                        <w:sz w:val="18"/>
                        <w:szCs w:val="18"/>
                      </w:rPr>
                      <w:t>vienetai</w:t>
                    </w:r>
                  </w:p>
                </w:tc>
                <w:tc>
                  <w:tcPr>
                    <w:tcW w:w="1560" w:type="dxa"/>
                    <w:vAlign w:val="center"/>
                  </w:tcPr>
                  <w:p>
                    <w:pPr>
                      <w:spacing w:line="276" w:lineRule="auto"/>
                      <w:jc w:val="center"/>
                      <w:rPr>
                        <w:sz w:val="18"/>
                        <w:szCs w:val="18"/>
                      </w:rPr>
                    </w:pPr>
                    <w:r>
                      <w:rPr>
                        <w:sz w:val="18"/>
                        <w:szCs w:val="18"/>
                      </w:rPr>
                      <w:t>n/a</w:t>
                    </w:r>
                  </w:p>
                </w:tc>
                <w:tc>
                  <w:tcPr>
                    <w:tcW w:w="992" w:type="dxa"/>
                    <w:shd w:val="clear" w:color="auto" w:fill="FFFFFF" w:themeFill="background1"/>
                    <w:vAlign w:val="center"/>
                  </w:tcPr>
                  <w:p>
                    <w:pPr>
                      <w:spacing w:line="276" w:lineRule="auto"/>
                      <w:jc w:val="center"/>
                      <w:rPr>
                        <w:sz w:val="18"/>
                        <w:szCs w:val="18"/>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n/a</w:t>
                    </w:r>
                  </w:p>
                </w:tc>
                <w:tc>
                  <w:tcPr>
                    <w:tcW w:w="2551" w:type="dxa"/>
                    <w:shd w:val="clear" w:color="auto" w:fill="FFFFFF" w:themeFill="background1"/>
                  </w:tcPr>
                  <w:p>
                    <w:pPr>
                      <w:spacing w:line="276" w:lineRule="auto"/>
                      <w:jc w:val="center"/>
                      <w:rPr>
                        <w:sz w:val="18"/>
                        <w:szCs w:val="18"/>
                      </w:rPr>
                    </w:pPr>
                    <w:r>
                      <w:rPr>
                        <w:sz w:val="18"/>
                        <w:szCs w:val="18"/>
                      </w:rPr>
                      <w:t>EGADP</w:t>
                    </w:r>
                  </w:p>
                </w:tc>
              </w:tr>
              <w:tr>
                <w:trPr>
                  <w:jc w:val="center"/>
                </w:trPr>
                <w:tc>
                  <w:tcPr>
                    <w:tcW w:w="2547" w:type="dxa"/>
                    <w:shd w:val="clear" w:color="auto" w:fill="FFFFFF" w:themeFill="background1"/>
                  </w:tcPr>
                  <w:p>
                    <w:pPr>
                      <w:spacing w:line="276" w:lineRule="auto"/>
                      <w:jc w:val="center"/>
                      <w:rPr>
                        <w:sz w:val="18"/>
                      </w:rPr>
                    </w:pPr>
                    <w:r>
                      <w:rPr>
                        <w:sz w:val="18"/>
                      </w:rPr>
                      <w:t>P-12-001-01-02-01-19</w:t>
                    </w:r>
                  </w:p>
                </w:tc>
                <w:tc>
                  <w:tcPr>
                    <w:tcW w:w="1417" w:type="dxa"/>
                    <w:shd w:val="clear" w:color="auto" w:fill="FFFFFF" w:themeFill="background1"/>
                  </w:tcPr>
                  <w:p>
                    <w:pPr>
                      <w:spacing w:line="276" w:lineRule="auto"/>
                      <w:jc w:val="center"/>
                      <w:rPr>
                        <w:sz w:val="18"/>
                        <w:szCs w:val="18"/>
                      </w:rPr>
                    </w:pPr>
                    <w:r>
                      <w:rPr>
                        <w:sz w:val="18"/>
                        <w:szCs w:val="18"/>
                      </w:rPr>
                      <w:t>rezultato</w:t>
                    </w:r>
                  </w:p>
                </w:tc>
                <w:tc>
                  <w:tcPr>
                    <w:tcW w:w="2978" w:type="dxa"/>
                  </w:tcPr>
                  <w:p>
                    <w:pPr>
                      <w:spacing w:line="276" w:lineRule="auto"/>
                      <w:jc w:val="center"/>
                      <w:rPr>
                        <w:sz w:val="18"/>
                        <w:szCs w:val="18"/>
                      </w:rPr>
                    </w:pPr>
                    <w:r>
                      <w:rPr>
                        <w:sz w:val="18"/>
                        <w:szCs w:val="18"/>
                      </w:rPr>
                      <w:t>Paramą gavusios įmonės iš jų: Mažos ir labai mažos</w:t>
                    </w:r>
                  </w:p>
                </w:tc>
                <w:tc>
                  <w:tcPr>
                    <w:tcW w:w="1275" w:type="dxa"/>
                  </w:tcPr>
                  <w:p>
                    <w:pPr>
                      <w:spacing w:line="276" w:lineRule="auto"/>
                      <w:jc w:val="center"/>
                      <w:rPr>
                        <w:sz w:val="18"/>
                        <w:szCs w:val="18"/>
                      </w:rPr>
                    </w:pPr>
                    <w:r>
                      <w:rPr>
                        <w:sz w:val="18"/>
                        <w:szCs w:val="18"/>
                      </w:rPr>
                      <w:t>vienetai</w:t>
                    </w:r>
                  </w:p>
                </w:tc>
                <w:tc>
                  <w:tcPr>
                    <w:tcW w:w="1560" w:type="dxa"/>
                    <w:vAlign w:val="center"/>
                  </w:tcPr>
                  <w:p>
                    <w:pPr>
                      <w:spacing w:line="276" w:lineRule="auto"/>
                      <w:jc w:val="center"/>
                      <w:rPr>
                        <w:sz w:val="18"/>
                        <w:szCs w:val="18"/>
                      </w:rPr>
                    </w:pPr>
                    <w:r>
                      <w:rPr>
                        <w:sz w:val="18"/>
                        <w:szCs w:val="18"/>
                      </w:rPr>
                      <w:t>n/a</w:t>
                    </w:r>
                  </w:p>
                </w:tc>
                <w:tc>
                  <w:tcPr>
                    <w:tcW w:w="992" w:type="dxa"/>
                    <w:shd w:val="clear" w:color="auto" w:fill="FFFFFF" w:themeFill="background1"/>
                    <w:vAlign w:val="center"/>
                  </w:tcPr>
                  <w:p>
                    <w:pPr>
                      <w:spacing w:line="276" w:lineRule="auto"/>
                      <w:jc w:val="center"/>
                      <w:rPr>
                        <w:sz w:val="18"/>
                        <w:szCs w:val="18"/>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n/a</w:t>
                    </w:r>
                  </w:p>
                </w:tc>
                <w:tc>
                  <w:tcPr>
                    <w:tcW w:w="2551" w:type="dxa"/>
                    <w:shd w:val="clear" w:color="auto" w:fill="FFFFFF" w:themeFill="background1"/>
                  </w:tcPr>
                  <w:p>
                    <w:pPr>
                      <w:spacing w:line="276" w:lineRule="auto"/>
                      <w:jc w:val="center"/>
                      <w:rPr>
                        <w:sz w:val="18"/>
                        <w:szCs w:val="18"/>
                      </w:rPr>
                    </w:pPr>
                    <w:r>
                      <w:rPr>
                        <w:sz w:val="18"/>
                        <w:szCs w:val="18"/>
                      </w:rPr>
                      <w:t>EGADP</w:t>
                    </w:r>
                  </w:p>
                </w:tc>
              </w:tr>
              <w:tr>
                <w:trPr>
                  <w:jc w:val="center"/>
                </w:trPr>
                <w:tc>
                  <w:tcPr>
                    <w:tcW w:w="2547" w:type="dxa"/>
                    <w:shd w:val="clear" w:color="auto" w:fill="FFFFFF" w:themeFill="background1"/>
                  </w:tcPr>
                  <w:p>
                    <w:pPr>
                      <w:spacing w:line="276" w:lineRule="auto"/>
                      <w:jc w:val="center"/>
                      <w:rPr>
                        <w:sz w:val="18"/>
                      </w:rPr>
                    </w:pPr>
                    <w:r>
                      <w:rPr>
                        <w:sz w:val="18"/>
                      </w:rPr>
                      <w:t>P-12-001-01-02-01-20</w:t>
                    </w:r>
                  </w:p>
                </w:tc>
                <w:tc>
                  <w:tcPr>
                    <w:tcW w:w="1417" w:type="dxa"/>
                    <w:shd w:val="clear" w:color="auto" w:fill="FFFFFF" w:themeFill="background1"/>
                  </w:tcPr>
                  <w:p>
                    <w:pPr>
                      <w:spacing w:line="276" w:lineRule="auto"/>
                      <w:jc w:val="center"/>
                      <w:rPr>
                        <w:sz w:val="18"/>
                        <w:szCs w:val="18"/>
                      </w:rPr>
                    </w:pPr>
                    <w:r>
                      <w:rPr>
                        <w:sz w:val="18"/>
                        <w:szCs w:val="18"/>
                      </w:rPr>
                      <w:t>rezultato</w:t>
                    </w:r>
                  </w:p>
                </w:tc>
                <w:tc>
                  <w:tcPr>
                    <w:tcW w:w="2978" w:type="dxa"/>
                  </w:tcPr>
                  <w:p>
                    <w:pPr>
                      <w:spacing w:line="276" w:lineRule="auto"/>
                      <w:jc w:val="center"/>
                      <w:rPr>
                        <w:sz w:val="18"/>
                        <w:szCs w:val="18"/>
                      </w:rPr>
                    </w:pPr>
                    <w:r>
                      <w:rPr>
                        <w:sz w:val="18"/>
                        <w:szCs w:val="18"/>
                      </w:rPr>
                      <w:t>Paramą gavusios įmonės iš jų: Vidutinės</w:t>
                    </w:r>
                  </w:p>
                </w:tc>
                <w:tc>
                  <w:tcPr>
                    <w:tcW w:w="1275" w:type="dxa"/>
                  </w:tcPr>
                  <w:p>
                    <w:pPr>
                      <w:spacing w:line="276" w:lineRule="auto"/>
                      <w:jc w:val="center"/>
                      <w:rPr>
                        <w:sz w:val="18"/>
                        <w:szCs w:val="18"/>
                      </w:rPr>
                    </w:pPr>
                    <w:r>
                      <w:rPr>
                        <w:sz w:val="18"/>
                        <w:szCs w:val="18"/>
                      </w:rPr>
                      <w:t>vienetai</w:t>
                    </w:r>
                  </w:p>
                </w:tc>
                <w:tc>
                  <w:tcPr>
                    <w:tcW w:w="1560" w:type="dxa"/>
                    <w:vAlign w:val="center"/>
                  </w:tcPr>
                  <w:p>
                    <w:pPr>
                      <w:spacing w:line="276" w:lineRule="auto"/>
                      <w:jc w:val="center"/>
                      <w:rPr>
                        <w:sz w:val="18"/>
                        <w:szCs w:val="18"/>
                      </w:rPr>
                    </w:pPr>
                    <w:r>
                      <w:rPr>
                        <w:sz w:val="18"/>
                        <w:szCs w:val="18"/>
                      </w:rPr>
                      <w:t>n/a</w:t>
                    </w:r>
                  </w:p>
                </w:tc>
                <w:tc>
                  <w:tcPr>
                    <w:tcW w:w="992" w:type="dxa"/>
                    <w:shd w:val="clear" w:color="auto" w:fill="FFFFFF" w:themeFill="background1"/>
                    <w:vAlign w:val="center"/>
                  </w:tcPr>
                  <w:p>
                    <w:pPr>
                      <w:spacing w:line="276" w:lineRule="auto"/>
                      <w:jc w:val="center"/>
                      <w:rPr>
                        <w:sz w:val="18"/>
                        <w:szCs w:val="18"/>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n/a</w:t>
                    </w:r>
                  </w:p>
                </w:tc>
                <w:tc>
                  <w:tcPr>
                    <w:tcW w:w="2551" w:type="dxa"/>
                    <w:shd w:val="clear" w:color="auto" w:fill="FFFFFF" w:themeFill="background1"/>
                  </w:tcPr>
                  <w:p>
                    <w:pPr>
                      <w:spacing w:line="276" w:lineRule="auto"/>
                      <w:jc w:val="center"/>
                      <w:rPr>
                        <w:sz w:val="18"/>
                        <w:szCs w:val="18"/>
                      </w:rPr>
                    </w:pPr>
                    <w:r>
                      <w:rPr>
                        <w:sz w:val="18"/>
                        <w:szCs w:val="18"/>
                      </w:rPr>
                      <w:t>EGADP</w:t>
                    </w:r>
                  </w:p>
                </w:tc>
              </w:tr>
              <w:tr>
                <w:trPr>
                  <w:jc w:val="center"/>
                </w:trPr>
                <w:tc>
                  <w:tcPr>
                    <w:tcW w:w="2547" w:type="dxa"/>
                    <w:shd w:val="clear" w:color="auto" w:fill="FFFFFF" w:themeFill="background1"/>
                  </w:tcPr>
                  <w:p>
                    <w:pPr>
                      <w:spacing w:line="276" w:lineRule="auto"/>
                      <w:jc w:val="center"/>
                      <w:rPr>
                        <w:sz w:val="18"/>
                      </w:rPr>
                    </w:pPr>
                    <w:r>
                      <w:rPr>
                        <w:sz w:val="18"/>
                      </w:rPr>
                      <w:t>P-12-001-01-02-01-21</w:t>
                    </w:r>
                  </w:p>
                </w:tc>
                <w:tc>
                  <w:tcPr>
                    <w:tcW w:w="1417" w:type="dxa"/>
                    <w:shd w:val="clear" w:color="auto" w:fill="FFFFFF" w:themeFill="background1"/>
                  </w:tcPr>
                  <w:p>
                    <w:pPr>
                      <w:spacing w:line="276" w:lineRule="auto"/>
                      <w:jc w:val="center"/>
                      <w:rPr>
                        <w:sz w:val="18"/>
                        <w:szCs w:val="18"/>
                      </w:rPr>
                    </w:pPr>
                    <w:r>
                      <w:rPr>
                        <w:sz w:val="18"/>
                        <w:szCs w:val="18"/>
                      </w:rPr>
                      <w:t>rezultato</w:t>
                    </w:r>
                  </w:p>
                </w:tc>
                <w:tc>
                  <w:tcPr>
                    <w:tcW w:w="2978" w:type="dxa"/>
                  </w:tcPr>
                  <w:p>
                    <w:pPr>
                      <w:spacing w:line="276" w:lineRule="auto"/>
                      <w:jc w:val="center"/>
                      <w:rPr>
                        <w:sz w:val="18"/>
                        <w:szCs w:val="18"/>
                      </w:rPr>
                    </w:pPr>
                    <w:r>
                      <w:rPr>
                        <w:sz w:val="18"/>
                        <w:szCs w:val="18"/>
                      </w:rPr>
                      <w:t>Paramą gavusios įmonės iš jų: Didelės</w:t>
                    </w:r>
                  </w:p>
                </w:tc>
                <w:tc>
                  <w:tcPr>
                    <w:tcW w:w="1275" w:type="dxa"/>
                  </w:tcPr>
                  <w:p>
                    <w:pPr>
                      <w:spacing w:line="276" w:lineRule="auto"/>
                      <w:jc w:val="center"/>
                      <w:rPr>
                        <w:sz w:val="18"/>
                        <w:szCs w:val="18"/>
                      </w:rPr>
                    </w:pPr>
                    <w:r>
                      <w:rPr>
                        <w:sz w:val="18"/>
                        <w:szCs w:val="18"/>
                      </w:rPr>
                      <w:t>vienetai</w:t>
                    </w:r>
                  </w:p>
                </w:tc>
                <w:tc>
                  <w:tcPr>
                    <w:tcW w:w="1560" w:type="dxa"/>
                    <w:vAlign w:val="center"/>
                  </w:tcPr>
                  <w:p>
                    <w:pPr>
                      <w:spacing w:line="276" w:lineRule="auto"/>
                      <w:jc w:val="center"/>
                      <w:rPr>
                        <w:sz w:val="18"/>
                        <w:szCs w:val="18"/>
                      </w:rPr>
                    </w:pPr>
                    <w:r>
                      <w:rPr>
                        <w:sz w:val="18"/>
                        <w:szCs w:val="18"/>
                      </w:rPr>
                      <w:t>n/a</w:t>
                    </w:r>
                  </w:p>
                </w:tc>
                <w:tc>
                  <w:tcPr>
                    <w:tcW w:w="992" w:type="dxa"/>
                    <w:shd w:val="clear" w:color="auto" w:fill="FFFFFF" w:themeFill="background1"/>
                    <w:vAlign w:val="center"/>
                  </w:tcPr>
                  <w:p>
                    <w:pPr>
                      <w:spacing w:line="276" w:lineRule="auto"/>
                      <w:jc w:val="center"/>
                      <w:rPr>
                        <w:sz w:val="18"/>
                        <w:szCs w:val="18"/>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n/a</w:t>
                    </w:r>
                  </w:p>
                </w:tc>
                <w:tc>
                  <w:tcPr>
                    <w:tcW w:w="2551" w:type="dxa"/>
                    <w:shd w:val="clear" w:color="auto" w:fill="FFFFFF" w:themeFill="background1"/>
                  </w:tcPr>
                  <w:p>
                    <w:pPr>
                      <w:spacing w:line="276" w:lineRule="auto"/>
                      <w:jc w:val="center"/>
                      <w:rPr>
                        <w:sz w:val="18"/>
                        <w:szCs w:val="18"/>
                      </w:rPr>
                    </w:pPr>
                    <w:r>
                      <w:rPr>
                        <w:sz w:val="18"/>
                        <w:szCs w:val="18"/>
                      </w:rPr>
                      <w:t>EGADP</w:t>
                    </w:r>
                  </w:p>
                </w:tc>
              </w:tr>
            </w:tbl>
            <w:sdt>
              <w:sdtPr>
                <w:alias w:val="poskyris"/>
                <w:tag w:val="part_29f43474d38b4b2ca2850b5878ee0865"/>
                <w:lock w:val="sdtLocked"/>
                <w:richText/>
              </w:sdtPr>
              <w:sdtContent>
                <w:p>
                  <w:pPr>
                    <w:ind w:firstLine="567"/>
                    <w:jc w:val="both"/>
                    <w:rPr>
                      <w:b/>
                      <w:sz w:val="20"/>
                      <w:szCs w:val="18"/>
                    </w:rPr>
                  </w:pPr>
                  <w:sdt>
                    <w:sdtPr>
                      <w:alias w:val="Pavadinimas"/>
                      <w:tag w:val="title_29f43474d38b4b2ca2850b5878ee0865"/>
                      <w:lock w:val="sdtLocked"/>
                      <w:richText/>
                    </w:sdtPr>
                    <w:sdtContent>
                      <w:r>
                        <w:rPr>
                          <w:b/>
                          <w:sz w:val="20"/>
                          <w:szCs w:val="18"/>
                        </w:rPr>
                        <w:t>Pastaba.</w:t>
                      </w:r>
                    </w:sdtContent>
                  </w:sdt>
                </w:p>
                <w:p>
                  <w:pPr>
                    <w:ind w:firstLine="567"/>
                    <w:jc w:val="both"/>
                    <w:rPr>
                      <w:b/>
                      <w:szCs w:val="22"/>
                    </w:rPr>
                  </w:pPr>
                  <w:r>
                    <w:rPr>
                      <w:sz w:val="20"/>
                      <w:szCs w:val="18"/>
                    </w:rPr>
                    <w:t xml:space="preserve">Rodikliai - Paramą gavusiose mokslinių tyrimų įstaigose dirbantys mokslininkai, Paramą gavusios įmonės iš jų: Mažos ir labai mažos, Vidutinės, Didelės  yra Ekonomikos gaivinimo ir atsparumo didinimo plano „Naujos kartos Lietuva“ bendrieji stebėsenos rodiklis, kurie neturi siektinų reikšmių. Duomenys bus renkami iš susijusių reformų ir investicijų rodiklių. Ataskaitinis laikotarpis iki 2027 m. vasario mėn..</w:t>
                  </w:r>
                </w:p>
                <w:p>
                  <w:pPr>
                    <w:ind w:firstLine="567"/>
                    <w:jc w:val="both"/>
                    <w:rPr>
                      <w:b/>
                      <w:sz w:val="22"/>
                      <w:szCs w:val="22"/>
                    </w:rPr>
                  </w:pPr>
                </w:p>
              </w:sdtContent>
            </w:sdt>
            <w:sdt>
              <w:sdtPr>
                <w:alias w:val="poskyris"/>
                <w:tag w:val="part_035cb37b46f7493398fad660f3be91ad"/>
                <w:lock w:val="sdtLocked"/>
                <w:richText/>
              </w:sdtPr>
              <w:sdtContent>
                <w:p>
                  <w:pPr>
                    <w:ind w:firstLine="567"/>
                    <w:jc w:val="both"/>
                    <w:rPr>
                      <w:b/>
                      <w:sz w:val="18"/>
                      <w:szCs w:val="18"/>
                    </w:rPr>
                  </w:pPr>
                  <w:sdt>
                    <w:sdtPr>
                      <w:alias w:val="Pavadinimas"/>
                      <w:tag w:val="title_035cb37b46f7493398fad660f3be91ad"/>
                      <w:lock w:val="sdtLocked"/>
                      <w:richText/>
                    </w:sdtPr>
                    <w:sdtContent>
                      <w:r>
                        <w:rPr>
                          <w:b/>
                          <w:sz w:val="18"/>
                          <w:szCs w:val="18"/>
                        </w:rPr>
                        <w:t>Paaiškinimai:</w:t>
                      </w:r>
                    </w:sdtContent>
                  </w:sdt>
                </w:p>
                <w:sdt>
                  <w:sdtPr>
                    <w:alias w:val="1 p."/>
                    <w:tag w:val="part_a6d268e38118479f8ecdd02f4e810d42"/>
                    <w:lock w:val="sdtLocked"/>
                    <w:richText/>
                  </w:sdtPr>
                  <w:sdtContent>
                    <w:p>
                      <w:pPr>
                        <w:ind w:firstLine="567"/>
                        <w:jc w:val="both"/>
                        <w:rPr>
                          <w:sz w:val="18"/>
                          <w:szCs w:val="18"/>
                        </w:rPr>
                      </w:pPr>
                      <w:sdt>
                        <w:sdtPr>
                          <w:alias w:val="Numeris"/>
                          <w:tag w:val="nr_a6d268e38118479f8ecdd02f4e810d42"/>
                          <w:lock w:val="sdtLocked"/>
                          <w:richText/>
                        </w:sdtPr>
                        <w:sdtContent>
                          <w:r>
                            <w:rPr>
                              <w:sz w:val="18"/>
                              <w:szCs w:val="18"/>
                            </w:rPr>
                            <w:t>1</w:t>
                          </w:r>
                        </w:sdtContent>
                      </w:sdt>
                      <w:r>
                        <w:rPr>
                          <w:sz w:val="18"/>
                          <w:szCs w:val="18"/>
                        </w:rPr>
                        <w:t>. Kartu su šiuo aprašu tvirtinamas projektų finansavimo sąlygų aprašas (jeigu taikoma) pagal atitinkamo finansavimo šaltinio vadovaujančiosios institucijos (kai finansuojama valstybės biudžeto lėšomis, išskyrus bendrajam finansavimui skirtas lėšas, – portfelio valdytojo) nustatytą formą. Konkrečios veiklos (poveiklės) ar jų grupės projektų finansavimo sąlygų aprašas gali būti pridedamas patvirtinus priemonės aprašą, atsižvelgiant į planuojamą konkrečios (-ių) veiklos (-ų) (poveiklės (-ių)) įvykdymo datą. Jeigu atskiruose veiklos (poveiklės) kvietimuose numatomos skirtingos projektų finansavimo sąlygos, rengiami atskiri projektų finansavimo sąlygų aprašai. Kartu su projektų finansavimo sąlygų aprašais gali būti tvirtinami projektų specialieji ir prioritetiniai atrankos kriterijai, valstybės pagalbos teikimo taisyklės ir kiti projektų atrankai, įgyvendinimui, tęstinumui taikomi reikalavimai.</w:t>
                      </w:r>
                    </w:p>
                  </w:sdtContent>
                </w:sdt>
                <w:sdt>
                  <w:sdtPr>
                    <w:alias w:val="2 p."/>
                    <w:tag w:val="part_ca2c9d8ac43741f48f752778bdc1acd8"/>
                    <w:lock w:val="sdtLocked"/>
                    <w:richText/>
                  </w:sdtPr>
                  <w:sdtContent>
                    <w:p>
                      <w:pPr>
                        <w:ind w:firstLine="567"/>
                        <w:jc w:val="both"/>
                        <w:rPr>
                          <w:sz w:val="18"/>
                          <w:szCs w:val="18"/>
                        </w:rPr>
                      </w:pPr>
                      <w:sdt>
                        <w:sdtPr>
                          <w:alias w:val="Numeris"/>
                          <w:tag w:val="nr_ca2c9d8ac43741f48f752778bdc1acd8"/>
                          <w:lock w:val="sdtLocked"/>
                          <w:richText/>
                        </w:sdtPr>
                        <w:sdtContent>
                          <w:r>
                            <w:rPr>
                              <w:sz w:val="18"/>
                              <w:szCs w:val="18"/>
                            </w:rPr>
                            <w:t>2</w:t>
                          </w:r>
                        </w:sdtContent>
                      </w:sdt>
                      <w:r>
                        <w:rPr>
                          <w:sz w:val="18"/>
                          <w:szCs w:val="18"/>
                        </w:rPr>
                        <w:t>. Aprašo pavadinime pažangos priemonės kodas nurodomas ir lentelės 1 skiltis pildoma vadovaujantis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 w:val="18"/>
                          <w:szCs w:val="18"/>
                          <w:vertAlign w:val="superscript"/>
                        </w:rPr>
                        <w:t>1</w:t>
                      </w:r>
                      <w:r>
                        <w:rPr>
                          <w:sz w:val="18"/>
                          <w:szCs w:val="18"/>
                        </w:rPr>
                        <w:t xml:space="preserve"> straipsnio 3 dalies įgyvendinimo“ (toliau – Strateginio valdymo metodika), 9 priede nustatyta tvarka.</w:t>
                      </w:r>
                    </w:p>
                  </w:sdtContent>
                </w:sdt>
                <w:sdt>
                  <w:sdtPr>
                    <w:alias w:val="3 p."/>
                    <w:tag w:val="part_b93ec03fb5c848419c5350b7d3cd45d1"/>
                    <w:lock w:val="sdtLocked"/>
                    <w:richText/>
                  </w:sdtPr>
                  <w:sdtContent>
                    <w:p>
                      <w:pPr>
                        <w:ind w:firstLine="567"/>
                        <w:jc w:val="both"/>
                        <w:rPr>
                          <w:sz w:val="18"/>
                          <w:szCs w:val="18"/>
                        </w:rPr>
                      </w:pPr>
                      <w:sdt>
                        <w:sdtPr>
                          <w:alias w:val="Numeris"/>
                          <w:tag w:val="nr_b93ec03fb5c848419c5350b7d3cd45d1"/>
                          <w:lock w:val="sdtLocked"/>
                          <w:richText/>
                        </w:sdtPr>
                        <w:sdtContent>
                          <w:r>
                            <w:rPr>
                              <w:sz w:val="18"/>
                              <w:szCs w:val="18"/>
                            </w:rPr>
                            <w:t>3</w:t>
                          </w:r>
                        </w:sdtContent>
                      </w:sdt>
                      <w:r>
                        <w:rPr>
                          <w:sz w:val="18"/>
                          <w:szCs w:val="18"/>
                        </w:rPr>
                        <w:t xml:space="preserve">. 3 skiltyje rezultato rodikliai nurodomi tokie patys, kokie nurodyti plėtros programoje. </w:t>
                      </w:r>
                      <w:r>
                        <w:rPr>
                          <w:bCs/>
                          <w:sz w:val="18"/>
                          <w:szCs w:val="18"/>
                        </w:rPr>
                        <w:t xml:space="preserve">Išimtis taikoma </w:t>
                      </w:r>
                      <w:r>
                        <w:rPr>
                          <w:sz w:val="18"/>
                          <w:szCs w:val="18"/>
                        </w:rPr>
                        <w:t>Ekonomikos gaivinimo ir atsparumo didinimo priemonės plano „Naujos kartos Lietuva“</w:t>
                      </w:r>
                      <w:r>
                        <w:rPr>
                          <w:bCs/>
                          <w:sz w:val="18"/>
                          <w:szCs w:val="18"/>
                        </w:rPr>
                        <w:t xml:space="preserve"> bendriesiems rezultato rodikliams. Šie rodikliai nėra traukiami į plėtros programas, tačiau turi būti nurodyti prie pažangos priemonių ir jų veiklų (poveiklių). </w:t>
                      </w:r>
                      <w:r>
                        <w:rPr>
                          <w:sz w:val="18"/>
                          <w:szCs w:val="18"/>
                        </w:rPr>
                        <w:t>Ekonomikos gaivinimo ir atsparumo didinimo priemonės plano „Naujos kartos Lietuva“</w:t>
                      </w:r>
                      <w:r>
                        <w:rPr>
                          <w:bCs/>
                          <w:sz w:val="18"/>
                          <w:szCs w:val="18"/>
                        </w:rPr>
                        <w:t xml:space="preserve"> bendrieji rezultato rodikliai neturi pradinės bei siektinos reikšmių. </w:t>
                      </w:r>
                      <w:r>
                        <w:rPr>
                          <w:sz w:val="18"/>
                          <w:szCs w:val="18"/>
                        </w:rPr>
                        <w:t xml:space="preserve">Produkto rodikliai nurodomi, jei taikomi priemonei pagal finansavimo šaltinio (pvz., Lietuvos Respublikos valstybės biudžetas) reikalavimus, ir privalomai nurodomi, į plėtros programos pažangos priemonės aprašą įtraukiant tuos rodiklius, dėl kurių prisiimti įsipareigojimai pagal atitinkamą fondą ar programą reglamentuojantį teisės aktą, jei įgyvendinamos Europos Sąjungos fondų (pvz., 2021–2027 metų Europos Sąjungos fondų investicijų programa, Ekonomikos gaivinimo ir atsparumo didinimo priemonės planas „Naujos kartos Lietuva“) ir kitos tarptautinės programos. </w:t>
                      </w:r>
                    </w:p>
                  </w:sdtContent>
                </w:sdt>
                <w:sdt>
                  <w:sdtPr>
                    <w:alias w:val="4 p."/>
                    <w:tag w:val="part_81507d032b58456db325b27ec01b3546"/>
                    <w:lock w:val="sdtLocked"/>
                    <w:richText/>
                  </w:sdtPr>
                  <w:sdtContent>
                    <w:p>
                      <w:pPr>
                        <w:ind w:firstLine="567"/>
                        <w:jc w:val="both"/>
                        <w:rPr>
                          <w:sz w:val="18"/>
                          <w:szCs w:val="18"/>
                        </w:rPr>
                      </w:pPr>
                      <w:sdt>
                        <w:sdtPr>
                          <w:alias w:val="Numeris"/>
                          <w:tag w:val="nr_81507d032b58456db325b27ec01b3546"/>
                          <w:lock w:val="sdtLocked"/>
                          <w:richText/>
                        </w:sdtPr>
                        <w:sdtContent>
                          <w:r>
                            <w:rPr>
                              <w:sz w:val="18"/>
                              <w:szCs w:val="18"/>
                            </w:rPr>
                            <w:t>4</w:t>
                          </w:r>
                        </w:sdtContent>
                      </w:sdt>
                      <w:r>
                        <w:rPr>
                          <w:sz w:val="18"/>
                          <w:szCs w:val="18"/>
                        </w:rPr>
                        <w:t xml:space="preserve">. Jei tarpinės ir (ar) galutinės siektinos rodiklio reikšmės pasiekimo metai nesutampa su nurodytais metais, 6 ir 7 skiltyse po tarpine ir (ar) galutine siektina rodiklio reikšme skliaustuose nurodomi kiti teisingi tarpinės ir (ar) galutinės siektinos rodiklio reikšmės pasiekimo metai.  </w:t>
                      </w:r>
                    </w:p>
                  </w:sdtContent>
                </w:sdt>
                <w:sdt>
                  <w:sdtPr>
                    <w:alias w:val="5 p."/>
                    <w:tag w:val="part_e7f9a915605c442d89dcec2cca77681c"/>
                    <w:lock w:val="sdtLocked"/>
                    <w:richText/>
                  </w:sdtPr>
                  <w:sdtContent>
                    <w:p>
                      <w:pPr>
                        <w:ind w:firstLine="567"/>
                        <w:jc w:val="both"/>
                        <w:rPr>
                          <w:sz w:val="18"/>
                          <w:szCs w:val="18"/>
                        </w:rPr>
                      </w:pPr>
                      <w:sdt>
                        <w:sdtPr>
                          <w:alias w:val="Numeris"/>
                          <w:tag w:val="nr_e7f9a915605c442d89dcec2cca77681c"/>
                          <w:lock w:val="sdtLocked"/>
                          <w:richText/>
                        </w:sdtPr>
                        <w:sdtContent>
                          <w:r>
                            <w:rPr>
                              <w:sz w:val="18"/>
                              <w:szCs w:val="18"/>
                            </w:rPr>
                            <w:t>5</w:t>
                          </w:r>
                        </w:sdtContent>
                      </w:sdt>
                      <w:r>
                        <w:rPr>
                          <w:sz w:val="18"/>
                          <w:szCs w:val="18"/>
                        </w:rPr>
                        <w:t>. 8 skiltyje nurodomas finansavimo šaltinis. Jei tas pats rodiklis priskirtas keliems finansavimo šaltiniams, jis nurodomas tiek kartų, kiek yra skirtingų finansavimo šaltinių (bendrasis finansavimas ir pridėtinės vertės mokestis atskirai neišskiriami).</w:t>
                      </w:r>
                    </w:p>
                    <w:p>
                      <w:pPr>
                        <w:ind w:left="-426" w:firstLine="426"/>
                        <w:rPr>
                          <w:b/>
                          <w:sz w:val="22"/>
                          <w:szCs w:val="22"/>
                        </w:rPr>
                      </w:pPr>
                    </w:p>
                  </w:sdtContent>
                </w:sdt>
              </w:sdtContent>
            </w:sdt>
          </w:sdtContent>
        </w:sdt>
        <w:sdt>
          <w:sdtPr>
            <w:alias w:val="skyrius"/>
            <w:tag w:val="part_ca46f63dc94b463f8ddc85444a93ae92"/>
            <w:lock w:val="sdtLocked"/>
            <w:richText/>
          </w:sdtPr>
          <w:sdtContent>
            <w:p>
              <w:pPr>
                <w:jc w:val="center"/>
                <w:rPr>
                  <w:b/>
                  <w:szCs w:val="24"/>
                </w:rPr>
              </w:pPr>
              <w:sdt>
                <w:sdtPr>
                  <w:alias w:val="Numeris"/>
                  <w:tag w:val="nr_ca46f63dc94b463f8ddc85444a93ae92"/>
                  <w:lock w:val="sdtLocked"/>
                  <w:richText/>
                </w:sdtPr>
                <w:sdtContent>
                  <w:r>
                    <w:rPr>
                      <w:b/>
                      <w:szCs w:val="24"/>
                    </w:rPr>
                    <w:t>II</w:t>
                  </w:r>
                </w:sdtContent>
              </w:sdt>
              <w:r>
                <w:rPr>
                  <w:b/>
                  <w:szCs w:val="24"/>
                </w:rPr>
                <w:t xml:space="preserve"> SKYRIUS</w:t>
              </w:r>
            </w:p>
            <w:p>
              <w:pPr>
                <w:jc w:val="center"/>
                <w:rPr>
                  <w:b/>
                  <w:szCs w:val="24"/>
                </w:rPr>
              </w:pPr>
              <w:sdt>
                <w:sdtPr>
                  <w:alias w:val="Pavadinimas"/>
                  <w:tag w:val="title_ca46f63dc94b463f8ddc85444a93ae92"/>
                  <w:lock w:val="sdtLocked"/>
                  <w:richText/>
                </w:sdtPr>
                <w:sdtContent>
                  <w:r>
                    <w:rPr>
                      <w:b/>
                      <w:szCs w:val="24"/>
                    </w:rPr>
                    <w:t>PLĖTROS PROGRAMOS PAŽANGOS PRIEMONĖS FINANSAVIMO ŠALTINIAI</w:t>
                  </w:r>
                </w:sdtContent>
              </w:sdt>
            </w:p>
            <w:p>
              <w:pPr>
                <w:jc w:val="center"/>
                <w:rPr>
                  <w:b/>
                  <w:szCs w:val="24"/>
                </w:rPr>
              </w:pPr>
            </w:p>
            <w:tbl>
              <w:tblPr>
                <w:tblW w:w="0" w:type="auto"/>
                <w:jc w:val="center"/>
                <w:tblLayout w:type="fixed"/>
                <w:tblCellMar>
                  <w:left w:w="30" w:type="dxa"/>
                  <w:right w:w="30" w:type="dxa"/>
                </w:tblCellMar>
                <w:tblLook w:val="04A0" w:firstRow="1" w:lastRow="0" w:firstColumn="1" w:lastColumn="0" w:noHBand="0" w:noVBand="1"/>
              </w:tblPr>
              <w:tblGrid>
                <w:gridCol w:w="6799"/>
                <w:gridCol w:w="7376"/>
              </w:tblGrid>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rPr>
                        <w:sz w:val="20"/>
                      </w:rPr>
                    </w:pPr>
                  </w:p>
                  <w:p>
                    <w:pPr>
                      <w:jc w:val="center"/>
                      <w:rPr>
                        <w:b/>
                        <w:sz w:val="22"/>
                        <w:szCs w:val="22"/>
                      </w:rPr>
                    </w:pPr>
                    <w:r>
                      <w:rPr>
                        <w:b/>
                        <w:sz w:val="22"/>
                        <w:szCs w:val="22"/>
                      </w:rPr>
                      <w:t>Finansavimo apimtis ir šaltiniai</w:t>
                    </w:r>
                  </w:p>
                </w:tc>
                <w:tc>
                  <w:tcPr>
                    <w:tcW w:w="7376" w:type="dxa"/>
                    <w:tcBorders>
                      <w:top w:val="single" w:sz="4" w:space="0" w:color="auto"/>
                      <w:left w:val="single" w:sz="4" w:space="0" w:color="auto"/>
                      <w:right w:val="single" w:sz="4" w:space="0" w:color="auto"/>
                    </w:tcBorders>
                    <w:shd w:val="clear" w:color="auto" w:fill="DEEAF6" w:themeFill="accent1" w:themeFillTint="33"/>
                  </w:tcPr>
                  <w:p>
                    <w:pPr>
                      <w:rPr>
                        <w:sz w:val="20"/>
                      </w:rPr>
                    </w:pPr>
                  </w:p>
                  <w:p>
                    <w:pPr>
                      <w:ind w:left="15" w:hanging="15"/>
                      <w:jc w:val="center"/>
                      <w:rPr>
                        <w:b/>
                        <w:sz w:val="22"/>
                        <w:szCs w:val="22"/>
                      </w:rPr>
                    </w:pPr>
                    <w:r>
                      <w:rPr>
                        <w:b/>
                        <w:sz w:val="22"/>
                        <w:szCs w:val="22"/>
                      </w:rPr>
                      <w:t>Lėšų poreikis (tūkst. eurų)</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sz w:val="20"/>
                      </w:rPr>
                    </w:pPr>
                    <w:r>
                      <w:rPr>
                        <w:b/>
                        <w:sz w:val="16"/>
                        <w:szCs w:val="16"/>
                      </w:rPr>
                      <w:t>1</w:t>
                    </w:r>
                  </w:p>
                </w:tc>
                <w:tc>
                  <w:tcPr>
                    <w:tcW w:w="7376" w:type="dxa"/>
                    <w:tcBorders>
                      <w:top w:val="single" w:sz="4" w:space="0" w:color="auto"/>
                      <w:left w:val="single" w:sz="4" w:space="0" w:color="auto"/>
                      <w:right w:val="single" w:sz="4" w:space="0" w:color="auto"/>
                    </w:tcBorders>
                    <w:shd w:val="clear" w:color="auto" w:fill="DEEAF6" w:themeFill="accent1" w:themeFillTint="33"/>
                  </w:tcPr>
                  <w:p>
                    <w:pPr>
                      <w:jc w:val="center"/>
                      <w:rPr>
                        <w:sz w:val="20"/>
                      </w:rPr>
                    </w:pPr>
                    <w:r>
                      <w:rPr>
                        <w:b/>
                        <w:sz w:val="16"/>
                        <w:szCs w:val="16"/>
                      </w:rPr>
                      <w:t>2</w:t>
                    </w:r>
                  </w:p>
                </w:tc>
              </w:tr>
              <w:tr>
                <w:trPr>
                  <w:cantSplit/>
                  <w:trHeight w:val="37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bCs/>
                        <w:sz w:val="18"/>
                        <w:szCs w:val="18"/>
                      </w:rPr>
                    </w:pPr>
                    <w:r>
                      <w:rPr>
                        <w:b/>
                        <w:bCs/>
                        <w:sz w:val="18"/>
                        <w:szCs w:val="18"/>
                      </w:rPr>
                      <w:t>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highlight w:val="yellow"/>
                      </w:rPr>
                    </w:pPr>
                    <w:r>
                      <w:rPr>
                        <w:b/>
                        <w:sz w:val="20"/>
                        <w:szCs w:val="17"/>
                      </w:rPr>
                      <w:t>73 151</w:t>
                    </w:r>
                  </w:p>
                </w:tc>
              </w:tr>
              <w:tr>
                <w:trPr>
                  <w:cantSplit/>
                  <w:trHeight w:val="276"/>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highlight w:val="yellow"/>
                      </w:rPr>
                    </w:pPr>
                    <w:r>
                      <w:rPr>
                        <w:sz w:val="20"/>
                        <w:szCs w:val="17"/>
                      </w:rPr>
                      <w:t>15 348</w:t>
                    </w:r>
                    <w:r>
                      <w:rPr>
                        <w:b/>
                        <w:sz w:val="20"/>
                        <w:szCs w:val="17"/>
                      </w:rPr>
                      <w:t>*</w:t>
                    </w:r>
                  </w:p>
                </w:tc>
              </w:tr>
              <w:tr>
                <w:trPr>
                  <w:cantSplit/>
                  <w:trHeight w:val="564"/>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1.1.1.1.2. Valstybės biudžeto lėšos, skirtos apmokėti bendrai finansuojamiems iš ES fondų lėšų projektams, netinkamiems finansuoti iš ES fondų lėšų pirkimo ir (arba) importo PVM</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57 803</w:t>
                    </w:r>
                  </w:p>
                </w:tc>
              </w:tr>
              <w:tr>
                <w:trPr>
                  <w:cantSplit/>
                  <w:trHeight w:val="558"/>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1.2. Europos Sąjungos ir kitos tarptautinės finansinės paramos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sz w:val="20"/>
                        <w:szCs w:val="17"/>
                      </w:rPr>
                      <w:t>83 792</w:t>
                    </w:r>
                  </w:p>
                </w:tc>
              </w:tr>
              <w:tr>
                <w:trPr>
                  <w:cantSplit/>
                  <w:trHeight w:val="41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rFonts w:eastAsia="Calibri"/>
                        <w:sz w:val="18"/>
                        <w:szCs w:val="18"/>
                      </w:rPr>
                      <w:t>1.2.2.8.1. 2021–2027 m. ES struktūrinių fondų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p>
                </w:tc>
              </w:tr>
              <w:tr>
                <w:trPr>
                  <w:cantSplit/>
                  <w:trHeight w:val="417"/>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83 792</w:t>
                    </w:r>
                  </w:p>
                </w:tc>
              </w:tr>
              <w:tr>
                <w:trPr>
                  <w:cantSplit/>
                  <w:trHeight w:val="27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Vidurio ir vakarų Lietuvos (toliau – VVL)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w:t>
                    </w:r>
                  </w:p>
                </w:tc>
              </w:tr>
              <w:tr>
                <w:trPr>
                  <w:cantSplit/>
                  <w:trHeight w:val="41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1.3. Europos Sąjungos ir kitos tarptautinės finansinės paramos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bCs/>
                        <w:sz w:val="20"/>
                        <w:szCs w:val="17"/>
                      </w:rPr>
                      <w:t>191 460</w:t>
                    </w:r>
                  </w:p>
                </w:tc>
              </w:tr>
              <w:tr>
                <w:trPr>
                  <w:cantSplit/>
                  <w:trHeight w:val="419"/>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sz w:val="18"/>
                        <w:szCs w:val="18"/>
                      </w:rPr>
                      <w:t xml:space="preserve">1.3.2.8.1. </w:t>
                    </w:r>
                    <w:r>
                      <w:rPr>
                        <w:rFonts w:eastAsia="Calibri"/>
                        <w:sz w:val="18"/>
                        <w:szCs w:val="18"/>
                      </w:rPr>
                      <w:t>2021–2027 m. ES struktūrinių fondų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151 460</w:t>
                    </w:r>
                  </w:p>
                </w:tc>
              </w:tr>
              <w:tr>
                <w:trPr>
                  <w:cantSplit/>
                  <w:trHeight w:val="41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sz w:val="20"/>
                        <w:szCs w:val="17"/>
                      </w:rPr>
                      <w:t>83 792</w:t>
                    </w:r>
                  </w:p>
                </w:tc>
              </w:tr>
              <w:tr>
                <w:trPr>
                  <w:cantSplit/>
                  <w:trHeight w:val="27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VVL regionas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67 668</w:t>
                    </w:r>
                  </w:p>
                </w:tc>
              </w:tr>
              <w:tr>
                <w:trPr>
                  <w:cantSplit/>
                  <w:trHeight w:val="42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1.3.3.1.57. Ekonomikos gaivinimo ir atsparumo didinimo priemonės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40 000</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rPr>
                        <w:b/>
                        <w:sz w:val="22"/>
                        <w:szCs w:val="22"/>
                      </w:rPr>
                    </w:pPr>
                    <w:r>
                      <w:rPr>
                        <w:b/>
                        <w:sz w:val="22"/>
                        <w:szCs w:val="22"/>
                      </w:rPr>
                      <w:t>IŠ VISO</w:t>
                    </w:r>
                  </w:p>
                </w:tc>
                <w:tc>
                  <w:tcPr>
                    <w:tcW w:w="737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20"/>
                        <w:szCs w:val="17"/>
                      </w:rPr>
                    </w:pPr>
                    <w:r>
                      <w:rPr>
                        <w:b/>
                        <w:bCs/>
                        <w:color w:val="000000"/>
                        <w:sz w:val="20"/>
                        <w:szCs w:val="17"/>
                      </w:rPr>
                      <w:t>348 403</w:t>
                    </w:r>
                  </w:p>
                </w:tc>
              </w:tr>
            </w:tbl>
            <w:p>
              <w:pPr>
                <w:tabs>
                  <w:tab w:val="left" w:pos="2552"/>
                </w:tabs>
                <w:ind w:left="142" w:right="253"/>
                <w:jc w:val="both"/>
                <w:rPr>
                  <w:bCs/>
                  <w:sz w:val="20"/>
                </w:rPr>
              </w:pPr>
            </w:p>
            <w:sdt>
              <w:sdtPr>
                <w:alias w:val="poskyris"/>
                <w:tag w:val="part_0ce73739512e4ce591cabb6d8cd20a92"/>
                <w:lock w:val="sdtLocked"/>
                <w:richText/>
              </w:sdtPr>
              <w:sdtContent>
                <w:p>
                  <w:pPr>
                    <w:tabs>
                      <w:tab w:val="left" w:pos="2552"/>
                    </w:tabs>
                    <w:ind w:firstLine="567"/>
                    <w:jc w:val="both"/>
                    <w:rPr>
                      <w:b/>
                      <w:bCs/>
                      <w:sz w:val="20"/>
                    </w:rPr>
                  </w:pPr>
                  <w:sdt>
                    <w:sdtPr>
                      <w:alias w:val="Pavadinimas"/>
                      <w:tag w:val="title_0ce73739512e4ce591cabb6d8cd20a92"/>
                      <w:lock w:val="sdtLocked"/>
                      <w:richText/>
                    </w:sdtPr>
                    <w:sdtContent>
                      <w:r>
                        <w:rPr>
                          <w:b/>
                          <w:bCs/>
                          <w:sz w:val="20"/>
                        </w:rPr>
                        <w:t>*Pastaba.</w:t>
                      </w:r>
                    </w:sdtContent>
                  </w:sdt>
                </w:p>
                <w:p>
                  <w:pPr>
                    <w:tabs>
                      <w:tab w:val="left" w:pos="2552"/>
                    </w:tabs>
                    <w:ind w:firstLine="567"/>
                    <w:jc w:val="both"/>
                    <w:rPr>
                      <w:bCs/>
                      <w:sz w:val="20"/>
                    </w:rPr>
                  </w:pPr>
                  <w:r>
                    <w:rPr>
                      <w:bCs/>
                      <w:sz w:val="20"/>
                    </w:rPr>
                    <w:t>15 348 tūkst. Eur suma bus mažinamos tęstinėms ŠMSM ir LMT priemonėms 2022–2024 metams suplanuotos valstybės biudžeto lėšos:</w:t>
                  </w:r>
                </w:p>
                <w:p>
                  <w:pPr>
                    <w:tabs>
                      <w:tab w:val="left" w:pos="2552"/>
                    </w:tabs>
                    <w:ind w:firstLine="567"/>
                    <w:jc w:val="both"/>
                    <w:rPr>
                      <w:bCs/>
                      <w:sz w:val="20"/>
                    </w:rPr>
                  </w:pPr>
                  <w:r>
                    <w:rPr>
                      <w:bCs/>
                      <w:sz w:val="20"/>
                    </w:rPr>
                    <w:t>Veiklos 1.1. Mokslo ir inovacijų misijų programos“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4 000 tūkst. Eur, 2024 m. – 4 000 tūkst. Eur.</w:t>
                  </w:r>
                </w:p>
                <w:p>
                  <w:pPr>
                    <w:tabs>
                      <w:tab w:val="left" w:pos="2552"/>
                    </w:tabs>
                    <w:ind w:firstLine="567"/>
                    <w:jc w:val="both"/>
                    <w:rPr>
                      <w:bCs/>
                      <w:sz w:val="20"/>
                    </w:rPr>
                  </w:pPr>
                  <w:r>
                    <w:rPr>
                      <w:bCs/>
                      <w:sz w:val="20"/>
                    </w:rPr>
                    <w:t>Veiklos „1.2. Valstybės MTEP užsakymai“ naujiems kvietimams iš patvirtintų valstybės biudžeto lėšų asignavimų tęstinei priemonei LMT 12-001-11-02-03 „Įgyvendinti programinį konkursinį MTEP finansavimą“ bus skirta 2023 m. – 2 000 tūkst. Eur, 2024 m. – 2 000 tūkst. Eur.</w:t>
                  </w:r>
                </w:p>
                <w:p>
                  <w:pPr>
                    <w:tabs>
                      <w:tab w:val="left" w:pos="2552"/>
                    </w:tabs>
                    <w:ind w:firstLine="567"/>
                    <w:jc w:val="both"/>
                    <w:rPr>
                      <w:bCs/>
                      <w:sz w:val="20"/>
                    </w:rPr>
                  </w:pPr>
                  <w:r>
                    <w:rPr>
                      <w:bCs/>
                      <w:sz w:val="20"/>
                    </w:rPr>
                    <w:t>Veiklos „1.3. Mokslininkų inicijuoti projektai“ naujiems kvietimams iš patvirtintų valstybės biudžeto lėšų asignavimų tęstinei priemonei LMT 12-001-11-02-03 „Įgyvendinti programinį konkursinį MTEP finansavimą“ bus skirta 2023 m. – 303 tūkst. Eur, 2024 m. – 655 tūkst. Eur.</w:t>
                  </w:r>
                </w:p>
                <w:p>
                  <w:pPr>
                    <w:tabs>
                      <w:tab w:val="left" w:pos="2552"/>
                    </w:tabs>
                    <w:ind w:firstLine="567"/>
                    <w:jc w:val="both"/>
                    <w:rPr>
                      <w:bCs/>
                      <w:sz w:val="20"/>
                    </w:rPr>
                  </w:pPr>
                  <w:r>
                    <w:rPr>
                      <w:bCs/>
                      <w:sz w:val="20"/>
                    </w:rPr>
                    <w:t>Veiklos „1.4.3. Technologinės plėtros projektai“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675 tūkst. Eur, 2024 m. – 675 tūkst. Eur.</w:t>
                  </w:r>
                </w:p>
                <w:p>
                  <w:pPr>
                    <w:tabs>
                      <w:tab w:val="left" w:pos="2552"/>
                    </w:tabs>
                    <w:ind w:firstLine="567"/>
                    <w:jc w:val="both"/>
                    <w:rPr>
                      <w:bCs/>
                      <w:sz w:val="20"/>
                    </w:rPr>
                  </w:pPr>
                  <w:r>
                    <w:rPr>
                      <w:sz w:val="20"/>
                    </w:rPr>
                    <w:t>Veiklos „2.2.3. Tarptautiniai MTEP projektai“</w:t>
                  </w:r>
                  <w:r>
                    <w:rPr>
                      <w:bCs/>
                      <w:sz w:val="20"/>
                    </w:rPr>
                    <w:t xml:space="preserve"> naujiems </w:t>
                  </w:r>
                  <w:r>
                    <w:rPr>
                      <w:iCs/>
                      <w:sz w:val="20"/>
                      <w:szCs w:val="24"/>
                    </w:rPr>
                    <w:t>dvišalių ir trišalių tarptautinių sutarčių ir tarptautinių projektų</w:t>
                  </w:r>
                  <w:r>
                    <w:rPr>
                      <w:bCs/>
                      <w:sz w:val="20"/>
                    </w:rPr>
                    <w:t xml:space="preserve"> kvietimams iš patvirtintų valstybės biudžeto lėšų asignavimų tęstinei priemonei LMT 12-001-11-02-03 „Įgyvendinti programinį konkursinį MTEP finansavimą“ bus skirta 2023 m. – 0 tūkst. Eur, 2024 m. – 200 tūkst. Eur.</w:t>
                  </w:r>
                </w:p>
                <w:p>
                  <w:pPr>
                    <w:tabs>
                      <w:tab w:val="left" w:pos="2552"/>
                    </w:tabs>
                    <w:ind w:firstLine="567"/>
                    <w:jc w:val="both"/>
                    <w:rPr>
                      <w:bCs/>
                      <w:sz w:val="20"/>
                    </w:rPr>
                  </w:pPr>
                  <w:r>
                    <w:rPr>
                      <w:sz w:val="20"/>
                    </w:rPr>
                    <w:t>Veiklos „2.2.3. Tarptautiniai MTEP projektai“</w:t>
                  </w:r>
                  <w:r>
                    <w:rPr>
                      <w:bCs/>
                      <w:sz w:val="20"/>
                    </w:rPr>
                    <w:t xml:space="preserve"> naujiems </w:t>
                  </w:r>
                  <w:r>
                    <w:rPr>
                      <w:sz w:val="20"/>
                    </w:rPr>
                    <w:t>Europos partnerysčių ir iniciatyvų projektų</w:t>
                  </w:r>
                  <w:r>
                    <w:rPr>
                      <w:iCs/>
                      <w:sz w:val="20"/>
                      <w:szCs w:val="24"/>
                    </w:rPr>
                    <w:t xml:space="preserve"> </w:t>
                  </w:r>
                  <w:r>
                    <w:rPr>
                      <w:bCs/>
                      <w:sz w:val="20"/>
                    </w:rPr>
                    <w:t>kvietimams iš patvirtintų valstybės biudžeto lėšų asignavimų tęstinei priemonei ŠMSM 12-001-01-03-03 „Užtikrinti tarptautinių Lietuvos susitarimų ir įsipareigojimų MTEP srityje vykdymą bei dalyvavimą tarptautinėse MTEP programose (įskaitant "Eurostars 2", "Eureka", "Europos horizontas", „Plastikos piratai“ ir kt.)“ bus skirta 2023 m. – 90 tūkst. Eur, 2024 m. – 750 tūkst. Eur.</w:t>
                  </w:r>
                </w:p>
                <w:p>
                  <w:pPr>
                    <w:tabs>
                      <w:tab w:val="left" w:pos="2552"/>
                    </w:tabs>
                    <w:ind w:firstLine="567"/>
                    <w:jc w:val="both"/>
                    <w:rPr>
                      <w:bCs/>
                      <w:sz w:val="20"/>
                    </w:rPr>
                  </w:pPr>
                </w:p>
                <w:p>
                  <w:pPr>
                    <w:tabs>
                      <w:tab w:val="left" w:pos="2552"/>
                    </w:tabs>
                    <w:ind w:firstLine="567"/>
                    <w:jc w:val="both"/>
                    <w:rPr>
                      <w:bCs/>
                      <w:sz w:val="20"/>
                    </w:rPr>
                  </w:pPr>
                </w:p>
              </w:sdtContent>
            </w:sdt>
            <w:sdt>
              <w:sdtPr>
                <w:alias w:val="poskyris"/>
                <w:tag w:val="part_4f340fe3328e4bf2aa5b880edbcb695a"/>
                <w:lock w:val="sdtLocked"/>
                <w:richText/>
              </w:sdtPr>
              <w:sdtContent>
                <w:p>
                  <w:pPr>
                    <w:ind w:firstLine="567"/>
                    <w:jc w:val="both"/>
                    <w:rPr>
                      <w:b/>
                      <w:sz w:val="18"/>
                      <w:szCs w:val="18"/>
                    </w:rPr>
                  </w:pPr>
                  <w:sdt>
                    <w:sdtPr>
                      <w:alias w:val="Pavadinimas"/>
                      <w:tag w:val="title_4f340fe3328e4bf2aa5b880edbcb695a"/>
                      <w:lock w:val="sdtLocked"/>
                      <w:richText/>
                    </w:sdtPr>
                    <w:sdtContent>
                      <w:r>
                        <w:rPr>
                          <w:b/>
                          <w:sz w:val="18"/>
                          <w:szCs w:val="18"/>
                        </w:rPr>
                        <w:t>Paaiškinimai:</w:t>
                      </w:r>
                    </w:sdtContent>
                  </w:sdt>
                </w:p>
                <w:sdt>
                  <w:sdtPr>
                    <w:alias w:val="1 p."/>
                    <w:tag w:val="part_e4f754b5f6234b3686358c14ba751861"/>
                    <w:lock w:val="sdtLocked"/>
                    <w:richText/>
                  </w:sdtPr>
                  <w:sdtContent>
                    <w:p>
                      <w:pPr>
                        <w:ind w:firstLine="567"/>
                        <w:jc w:val="both"/>
                        <w:rPr>
                          <w:sz w:val="18"/>
                          <w:szCs w:val="18"/>
                        </w:rPr>
                      </w:pPr>
                      <w:sdt>
                        <w:sdtPr>
                          <w:alias w:val="Numeris"/>
                          <w:tag w:val="nr_e4f754b5f6234b3686358c14ba751861"/>
                          <w:lock w:val="sdtLocked"/>
                          <w:richText/>
                        </w:sdtPr>
                        <w:sdtContent>
                          <w:r>
                            <w:rPr>
                              <w:sz w:val="18"/>
                              <w:szCs w:val="18"/>
                            </w:rPr>
                            <w:t>1</w:t>
                          </w:r>
                        </w:sdtContent>
                      </w:sdt>
                      <w:r>
                        <w:rPr>
                          <w:sz w:val="18"/>
                          <w:szCs w:val="18"/>
                        </w:rPr>
                        <w:t>. 1 skilties 1.1–1.4 papunkčiuose nurodomi finansavimo šaltiniai ir jų pavadinimai pagal Lietuvos Respublikos finansų ministro 2011 m. rugpjūčio 8 d. įsakymą Nr. 1K-265 „Dėl Asignavimų valdytojų programų, finansuojamų iš Lietuvos Respublikos valstybės biudžeto, finansavimo šaltinių klasifikacijos patvirtinimo“. Jei finansavimo šaltinis yra Europos Sąjungos fondų lėšos, nurodomas konkretus Europos Sąjungos fondas.</w:t>
                      </w:r>
                    </w:p>
                  </w:sdtContent>
                </w:sdt>
                <w:sdt>
                  <w:sdtPr>
                    <w:alias w:val="2 p."/>
                    <w:tag w:val="part_4f4e8ac16818468db0ceb3ac6c9bdfbb"/>
                    <w:lock w:val="sdtLocked"/>
                    <w:richText/>
                  </w:sdtPr>
                  <w:sdtContent>
                    <w:p>
                      <w:pPr>
                        <w:ind w:firstLine="567"/>
                        <w:jc w:val="both"/>
                        <w:rPr>
                          <w:sz w:val="18"/>
                          <w:szCs w:val="18"/>
                        </w:rPr>
                      </w:pPr>
                      <w:sdt>
                        <w:sdtPr>
                          <w:alias w:val="Numeris"/>
                          <w:tag w:val="nr_4f4e8ac16818468db0ceb3ac6c9bdfbb"/>
                          <w:lock w:val="sdtLocked"/>
                          <w:richText/>
                        </w:sdtPr>
                        <w:sdtContent>
                          <w:r>
                            <w:rPr>
                              <w:sz w:val="18"/>
                              <w:szCs w:val="18"/>
                            </w:rPr>
                            <w:t>2</w:t>
                          </w:r>
                        </w:sdtContent>
                      </w:sdt>
                      <w:r>
                        <w:rPr>
                          <w:sz w:val="18"/>
                          <w:szCs w:val="18"/>
                        </w:rPr>
                        <w:t>. 2 skiltyje nurodomas lėšų poreikis turi neviršyti Nacionaliniame pažangos plane nustatytų finansinių projekcijų arba turi būti pateikiamas pagrindimas, iš kokių finansavimo šaltinių, programų ketinama skirti finansines projekcijas viršijančią lėšų dalį.</w:t>
                      </w:r>
                    </w:p>
                  </w:sdtContent>
                </w:sdt>
                <w:sdt>
                  <w:sdtPr>
                    <w:alias w:val="3 p."/>
                    <w:tag w:val="part_a16d880ae9654639a72bf7e99bccad5a"/>
                    <w:lock w:val="sdtLocked"/>
                    <w:richText/>
                  </w:sdtPr>
                  <w:sdtContent>
                    <w:p>
                      <w:pPr>
                        <w:ind w:firstLine="567"/>
                        <w:jc w:val="both"/>
                        <w:rPr>
                          <w:sz w:val="18"/>
                          <w:szCs w:val="18"/>
                        </w:rPr>
                      </w:pPr>
                      <w:sdt>
                        <w:sdtPr>
                          <w:alias w:val="Numeris"/>
                          <w:tag w:val="nr_a16d880ae9654639a72bf7e99bccad5a"/>
                          <w:lock w:val="sdtLocked"/>
                          <w:richText/>
                        </w:sdtPr>
                        <w:sdtContent>
                          <w:r>
                            <w:rPr>
                              <w:sz w:val="18"/>
                              <w:szCs w:val="18"/>
                            </w:rPr>
                            <w:t>3</w:t>
                          </w:r>
                        </w:sdtContent>
                      </w:sdt>
                      <w:r>
                        <w:rPr>
                          <w:sz w:val="18"/>
                          <w:szCs w:val="18"/>
                        </w:rPr>
                        <w:t>. 2.3 papunktyje</w:t>
                      </w:r>
                      <w:r>
                        <w:rPr>
                          <w:sz w:val="22"/>
                          <w:szCs w:val="22"/>
                        </w:rPr>
                        <w:t xml:space="preserve"> </w:t>
                      </w:r>
                      <w:r>
                        <w:rPr>
                          <w:sz w:val="18"/>
                          <w:szCs w:val="18"/>
                        </w:rPr>
                        <w:t xml:space="preserve">nurodomi kiti piniginiai ištekliai, kuriais disponuoja valstybė ir (arba) savivaldybės, ir kitų juridinių asmenų, kurie yra perkančiosios organizacijos, nurodytos Lietuvos Respublikos viešųjų pirkimų įstatyme, išskyrus perkančiąsias įmones, veikiančias vandentvarkos, energetikos, transporto ar pašto paslaugų srityje, lėšos. </w:t>
                      </w:r>
                    </w:p>
                    <w:p>
                      <w:pPr>
                        <w:tabs>
                          <w:tab w:val="left" w:pos="2552"/>
                        </w:tabs>
                        <w:ind w:left="142" w:right="253"/>
                        <w:jc w:val="both"/>
                        <w:rPr>
                          <w:bCs/>
                          <w:sz w:val="20"/>
                        </w:rPr>
                      </w:pPr>
                    </w:p>
                    <w:p>
                      <w:pPr>
                        <w:tabs>
                          <w:tab w:val="center" w:pos="4680"/>
                          <w:tab w:val="right" w:pos="9360"/>
                        </w:tabs>
                        <w:rPr>
                          <w:sz w:val="22"/>
                          <w:szCs w:val="22"/>
                          <w:lang w:eastAsia="lt-LT"/>
                        </w:rPr>
                      </w:pPr>
                    </w:p>
                  </w:sdtContent>
                </w:sdt>
              </w:sdtContent>
            </w:sdt>
          </w:sdtContent>
        </w:sdt>
        <w:sdt>
          <w:sdtPr>
            <w:alias w:val="skyrius"/>
            <w:tag w:val="part_ba88408f54d546fcafde160488c0d7fa"/>
            <w:lock w:val="sdtLocked"/>
            <w:richText/>
          </w:sdtPr>
          <w:sdtContent>
            <w:p>
              <w:pPr>
                <w:ind w:firstLine="851"/>
                <w:jc w:val="center"/>
                <w:rPr>
                  <w:b/>
                  <w:bCs/>
                </w:rPr>
              </w:pPr>
              <w:sdt>
                <w:sdtPr>
                  <w:alias w:val="Numeris"/>
                  <w:tag w:val="nr_ba88408f54d546fcafde160488c0d7fa"/>
                  <w:lock w:val="sdtLocked"/>
                  <w:richText/>
                </w:sdtPr>
                <w:sdtContent>
                  <w:r>
                    <w:rPr>
                      <w:b/>
                      <w:bCs/>
                    </w:rPr>
                    <w:t>III</w:t>
                  </w:r>
                </w:sdtContent>
              </w:sdt>
              <w:r>
                <w:rPr>
                  <w:b/>
                  <w:bCs/>
                </w:rPr>
                <w:t xml:space="preserve"> SKYRIUS</w:t>
              </w:r>
            </w:p>
            <w:p>
              <w:pPr>
                <w:rPr>
                  <w:sz w:val="2"/>
                  <w:szCs w:val="2"/>
                </w:rPr>
              </w:pPr>
            </w:p>
            <w:p>
              <w:pPr>
                <w:ind w:firstLine="851"/>
                <w:jc w:val="center"/>
                <w:rPr>
                  <w:b/>
                  <w:bCs/>
                </w:rPr>
              </w:pPr>
              <w:sdt>
                <w:sdtPr>
                  <w:alias w:val="Pavadinimas"/>
                  <w:tag w:val="title_ba88408f54d546fcafde160488c0d7fa"/>
                  <w:lock w:val="sdtLocked"/>
                  <w:richText/>
                </w:sdtPr>
                <w:sdtContent>
                  <w:r>
                    <w:rPr>
                      <w:b/>
                      <w:bCs/>
                    </w:rPr>
                    <w:t>PLĖTROS PROGRAMOS PAŽANGOS PRIEMONĖS VEIKLŲ SUVESTINĖ</w:t>
                  </w:r>
                </w:sdtContent>
              </w:sdt>
            </w:p>
            <w:p>
              <w:pPr>
                <w:rPr>
                  <w:sz w:val="2"/>
                  <w:szCs w:val="2"/>
                </w:rPr>
              </w:pPr>
            </w:p>
            <w:p>
              <w:pPr>
                <w:ind w:firstLine="851"/>
                <w:jc w:val="both"/>
              </w:pPr>
            </w:p>
            <w:p>
              <w:pPr>
                <w:rPr>
                  <w:sz w:val="2"/>
                  <w:szCs w:val="2"/>
                </w:rPr>
              </w:pPr>
            </w:p>
            <w:tbl>
              <w:tblPr>
                <w:tblW w:w="109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5"/>
                <w:gridCol w:w="709"/>
                <w:gridCol w:w="1275"/>
                <w:gridCol w:w="851"/>
                <w:gridCol w:w="850"/>
                <w:gridCol w:w="709"/>
                <w:gridCol w:w="851"/>
                <w:gridCol w:w="850"/>
                <w:gridCol w:w="1276"/>
                <w:gridCol w:w="1134"/>
                <w:gridCol w:w="708"/>
                <w:gridCol w:w="568"/>
              </w:tblGrid>
              <w:tr>
                <w:trPr>
                  <w:trHeight w:val="700"/>
                </w:trPr>
                <w:tc>
                  <w:tcPr>
                    <w:tcW w:w="1135"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Veikla</w:t>
                    </w:r>
                  </w:p>
                </w:tc>
                <w:tc>
                  <w:tcPr>
                    <w:tcW w:w="709" w:type="dxa"/>
                    <w:shd w:val="clear" w:color="auto" w:fill="DEEAF6" w:themeFill="accent1" w:themeFillTint="33"/>
                  </w:tcPr>
                  <w:p>
                    <w:pPr>
                      <w:ind w:left="-57" w:right="-57"/>
                      <w:jc w:val="center"/>
                      <w:rPr>
                        <w:b/>
                        <w:sz w:val="20"/>
                      </w:rPr>
                    </w:pPr>
                  </w:p>
                  <w:p>
                    <w:pPr>
                      <w:ind w:left="-57" w:right="-57"/>
                      <w:jc w:val="center"/>
                      <w:rPr>
                        <w:b/>
                        <w:sz w:val="20"/>
                      </w:rPr>
                    </w:pPr>
                  </w:p>
                  <w:p>
                    <w:pPr>
                      <w:ind w:left="-57" w:right="-60"/>
                      <w:jc w:val="center"/>
                      <w:rPr>
                        <w:b/>
                        <w:sz w:val="20"/>
                      </w:rPr>
                    </w:pPr>
                    <w:r>
                      <w:rPr>
                        <w:b/>
                        <w:sz w:val="20"/>
                      </w:rPr>
                      <w:t>Veiklos (poveiklės, projekto) tipas</w:t>
                    </w:r>
                  </w:p>
                </w:tc>
                <w:tc>
                  <w:tcPr>
                    <w:tcW w:w="1275"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Galimi pareiškėjai</w:t>
                    </w:r>
                  </w:p>
                </w:tc>
                <w:tc>
                  <w:tcPr>
                    <w:tcW w:w="851"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Projektų atrankos būdas</w:t>
                    </w:r>
                  </w:p>
                </w:tc>
                <w:tc>
                  <w:tcPr>
                    <w:tcW w:w="850"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Tiesiogiai prisidedama prie HP</w:t>
                    </w:r>
                  </w:p>
                  <w:p>
                    <w:pPr>
                      <w:ind w:left="-57" w:right="-57"/>
                      <w:jc w:val="center"/>
                      <w:rPr>
                        <w:b/>
                        <w:sz w:val="20"/>
                      </w:rPr>
                    </w:pPr>
                    <w:r>
                      <w:rPr>
                        <w:b/>
                        <w:sz w:val="20"/>
                      </w:rPr>
                      <w:t>(Taip / Ne)</w:t>
                    </w:r>
                  </w:p>
                </w:tc>
                <w:tc>
                  <w:tcPr>
                    <w:tcW w:w="709"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Finansavimo forma</w:t>
                    </w:r>
                  </w:p>
                </w:tc>
                <w:tc>
                  <w:tcPr>
                    <w:tcW w:w="851"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Finansavimo suma (tūkst. eurų)</w:t>
                    </w:r>
                  </w:p>
                </w:tc>
                <w:tc>
                  <w:tcPr>
                    <w:tcW w:w="850"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Finansavimo šaltinis (-iai)</w:t>
                    </w:r>
                  </w:p>
                </w:tc>
                <w:tc>
                  <w:tcPr>
                    <w:tcW w:w="1276"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Rodiklio pavadinimas ir tipas</w:t>
                    </w:r>
                  </w:p>
                </w:tc>
                <w:tc>
                  <w:tcPr>
                    <w:tcW w:w="1134"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Siektina galutinė rodiklio reikšmė (ir metai)</w:t>
                    </w:r>
                  </w:p>
                </w:tc>
                <w:tc>
                  <w:tcPr>
                    <w:tcW w:w="708"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trike/>
                        <w:sz w:val="20"/>
                      </w:rPr>
                    </w:pPr>
                    <w:r>
                      <w:rPr>
                        <w:b/>
                        <w:sz w:val="20"/>
                      </w:rPr>
                      <w:t>Administruojančioji institucija</w:t>
                    </w:r>
                  </w:p>
                </w:tc>
                <w:tc>
                  <w:tcPr>
                    <w:tcW w:w="568"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Dalyvaujanti institucija</w:t>
                    </w:r>
                  </w:p>
                </w:tc>
              </w:tr>
              <w:tr>
                <w:trPr>
                  <w:trHeight w:val="288"/>
                </w:trPr>
                <w:tc>
                  <w:tcPr>
                    <w:tcW w:w="1135" w:type="dxa"/>
                    <w:shd w:val="clear" w:color="auto" w:fill="DEEAF6" w:themeFill="accent1" w:themeFillTint="33"/>
                  </w:tcPr>
                  <w:p>
                    <w:pPr>
                      <w:ind w:left="-57" w:right="-57"/>
                      <w:jc w:val="center"/>
                      <w:rPr>
                        <w:b/>
                        <w:sz w:val="20"/>
                      </w:rPr>
                    </w:pPr>
                    <w:r>
                      <w:rPr>
                        <w:b/>
                        <w:sz w:val="16"/>
                        <w:szCs w:val="16"/>
                      </w:rPr>
                      <w:t>1</w:t>
                    </w:r>
                  </w:p>
                </w:tc>
                <w:tc>
                  <w:tcPr>
                    <w:tcW w:w="709" w:type="dxa"/>
                    <w:shd w:val="clear" w:color="auto" w:fill="DEEAF6" w:themeFill="accent1" w:themeFillTint="33"/>
                  </w:tcPr>
                  <w:p>
                    <w:pPr>
                      <w:ind w:left="-57" w:right="-57"/>
                      <w:jc w:val="center"/>
                      <w:rPr>
                        <w:b/>
                        <w:sz w:val="20"/>
                      </w:rPr>
                    </w:pPr>
                    <w:r>
                      <w:rPr>
                        <w:b/>
                        <w:sz w:val="16"/>
                        <w:szCs w:val="16"/>
                      </w:rPr>
                      <w:t>2</w:t>
                    </w:r>
                  </w:p>
                </w:tc>
                <w:tc>
                  <w:tcPr>
                    <w:tcW w:w="1275" w:type="dxa"/>
                    <w:shd w:val="clear" w:color="auto" w:fill="DEEAF6" w:themeFill="accent1" w:themeFillTint="33"/>
                  </w:tcPr>
                  <w:p>
                    <w:pPr>
                      <w:ind w:left="-57" w:right="-57"/>
                      <w:jc w:val="center"/>
                      <w:rPr>
                        <w:b/>
                        <w:sz w:val="20"/>
                      </w:rPr>
                    </w:pPr>
                    <w:r>
                      <w:rPr>
                        <w:b/>
                        <w:sz w:val="16"/>
                        <w:szCs w:val="16"/>
                      </w:rPr>
                      <w:t>3</w:t>
                    </w:r>
                  </w:p>
                </w:tc>
                <w:tc>
                  <w:tcPr>
                    <w:tcW w:w="851" w:type="dxa"/>
                    <w:shd w:val="clear" w:color="auto" w:fill="DEEAF6" w:themeFill="accent1" w:themeFillTint="33"/>
                  </w:tcPr>
                  <w:p>
                    <w:pPr>
                      <w:ind w:left="-57" w:right="-57"/>
                      <w:jc w:val="center"/>
                      <w:rPr>
                        <w:b/>
                        <w:sz w:val="20"/>
                      </w:rPr>
                    </w:pPr>
                    <w:r>
                      <w:rPr>
                        <w:b/>
                        <w:sz w:val="16"/>
                        <w:szCs w:val="16"/>
                      </w:rPr>
                      <w:t>4</w:t>
                    </w:r>
                  </w:p>
                </w:tc>
                <w:tc>
                  <w:tcPr>
                    <w:tcW w:w="850" w:type="dxa"/>
                    <w:shd w:val="clear" w:color="auto" w:fill="DEEAF6" w:themeFill="accent1" w:themeFillTint="33"/>
                  </w:tcPr>
                  <w:p>
                    <w:pPr>
                      <w:ind w:left="-57" w:right="-57"/>
                      <w:jc w:val="center"/>
                      <w:rPr>
                        <w:b/>
                        <w:sz w:val="20"/>
                      </w:rPr>
                    </w:pPr>
                    <w:r>
                      <w:rPr>
                        <w:b/>
                        <w:sz w:val="16"/>
                        <w:szCs w:val="16"/>
                      </w:rPr>
                      <w:t>5</w:t>
                    </w:r>
                  </w:p>
                </w:tc>
                <w:tc>
                  <w:tcPr>
                    <w:tcW w:w="709" w:type="dxa"/>
                    <w:shd w:val="clear" w:color="auto" w:fill="DEEAF6" w:themeFill="accent1" w:themeFillTint="33"/>
                  </w:tcPr>
                  <w:p>
                    <w:pPr>
                      <w:ind w:left="-57" w:right="-57"/>
                      <w:jc w:val="center"/>
                      <w:rPr>
                        <w:b/>
                        <w:sz w:val="20"/>
                      </w:rPr>
                    </w:pPr>
                    <w:r>
                      <w:rPr>
                        <w:b/>
                        <w:sz w:val="16"/>
                        <w:szCs w:val="16"/>
                      </w:rPr>
                      <w:t>6</w:t>
                    </w:r>
                  </w:p>
                </w:tc>
                <w:tc>
                  <w:tcPr>
                    <w:tcW w:w="851" w:type="dxa"/>
                    <w:shd w:val="clear" w:color="auto" w:fill="DEEAF6" w:themeFill="accent1" w:themeFillTint="33"/>
                  </w:tcPr>
                  <w:p>
                    <w:pPr>
                      <w:ind w:left="-57" w:right="-57"/>
                      <w:jc w:val="center"/>
                      <w:rPr>
                        <w:b/>
                        <w:sz w:val="20"/>
                      </w:rPr>
                    </w:pPr>
                    <w:r>
                      <w:rPr>
                        <w:b/>
                        <w:sz w:val="16"/>
                        <w:szCs w:val="16"/>
                      </w:rPr>
                      <w:t>7</w:t>
                    </w:r>
                  </w:p>
                </w:tc>
                <w:tc>
                  <w:tcPr>
                    <w:tcW w:w="850" w:type="dxa"/>
                    <w:shd w:val="clear" w:color="auto" w:fill="DEEAF6" w:themeFill="accent1" w:themeFillTint="33"/>
                  </w:tcPr>
                  <w:p>
                    <w:pPr>
                      <w:ind w:left="-57" w:right="-57"/>
                      <w:jc w:val="center"/>
                      <w:rPr>
                        <w:b/>
                        <w:sz w:val="20"/>
                      </w:rPr>
                    </w:pPr>
                    <w:r>
                      <w:rPr>
                        <w:b/>
                        <w:sz w:val="16"/>
                        <w:szCs w:val="16"/>
                      </w:rPr>
                      <w:t>8</w:t>
                    </w:r>
                  </w:p>
                </w:tc>
                <w:tc>
                  <w:tcPr>
                    <w:tcW w:w="1276" w:type="dxa"/>
                    <w:shd w:val="clear" w:color="auto" w:fill="DEEAF6" w:themeFill="accent1" w:themeFillTint="33"/>
                  </w:tcPr>
                  <w:p>
                    <w:pPr>
                      <w:ind w:left="-57" w:right="-57"/>
                      <w:jc w:val="center"/>
                      <w:rPr>
                        <w:b/>
                        <w:sz w:val="20"/>
                      </w:rPr>
                    </w:pPr>
                    <w:r>
                      <w:rPr>
                        <w:b/>
                        <w:sz w:val="16"/>
                        <w:szCs w:val="16"/>
                      </w:rPr>
                      <w:t>9</w:t>
                    </w:r>
                  </w:p>
                </w:tc>
                <w:tc>
                  <w:tcPr>
                    <w:tcW w:w="1134" w:type="dxa"/>
                    <w:shd w:val="clear" w:color="auto" w:fill="DEEAF6" w:themeFill="accent1" w:themeFillTint="33"/>
                  </w:tcPr>
                  <w:p>
                    <w:pPr>
                      <w:ind w:left="-57" w:right="-57"/>
                      <w:jc w:val="center"/>
                      <w:rPr>
                        <w:b/>
                        <w:sz w:val="20"/>
                      </w:rPr>
                    </w:pPr>
                    <w:r>
                      <w:rPr>
                        <w:b/>
                        <w:sz w:val="16"/>
                        <w:szCs w:val="16"/>
                      </w:rPr>
                      <w:t>10</w:t>
                    </w:r>
                  </w:p>
                </w:tc>
                <w:tc>
                  <w:tcPr>
                    <w:tcW w:w="708" w:type="dxa"/>
                    <w:shd w:val="clear" w:color="auto" w:fill="DEEAF6" w:themeFill="accent1" w:themeFillTint="33"/>
                  </w:tcPr>
                  <w:p>
                    <w:pPr>
                      <w:ind w:left="-57" w:right="-57"/>
                      <w:jc w:val="center"/>
                      <w:rPr>
                        <w:b/>
                        <w:sz w:val="20"/>
                      </w:rPr>
                    </w:pPr>
                    <w:r>
                      <w:rPr>
                        <w:b/>
                        <w:sz w:val="16"/>
                        <w:szCs w:val="16"/>
                      </w:rPr>
                      <w:t>11</w:t>
                    </w:r>
                  </w:p>
                </w:tc>
                <w:tc>
                  <w:tcPr>
                    <w:tcW w:w="568" w:type="dxa"/>
                    <w:shd w:val="clear" w:color="auto" w:fill="DEEAF6" w:themeFill="accent1" w:themeFillTint="33"/>
                  </w:tcPr>
                  <w:p>
                    <w:pPr>
                      <w:ind w:left="-57" w:right="-57"/>
                      <w:jc w:val="center"/>
                      <w:rPr>
                        <w:b/>
                        <w:sz w:val="20"/>
                      </w:rPr>
                    </w:pPr>
                    <w:r>
                      <w:rPr>
                        <w:b/>
                        <w:sz w:val="16"/>
                        <w:szCs w:val="16"/>
                      </w:rPr>
                      <w:t>12</w:t>
                    </w:r>
                  </w:p>
                </w:tc>
              </w:tr>
              <w:tr>
                <w:trPr>
                  <w:trHeight w:val="2707"/>
                </w:trPr>
                <w:tc>
                  <w:tcPr>
                    <w:tcW w:w="1135" w:type="dxa"/>
                  </w:tcPr>
                  <w:p>
                    <w:pPr>
                      <w:ind w:left="-57" w:right="-57"/>
                      <w:rPr>
                        <w:i/>
                        <w:sz w:val="20"/>
                      </w:rPr>
                    </w:pPr>
                    <w:r>
                      <w:rPr>
                        <w:sz w:val="18"/>
                        <w:szCs w:val="18"/>
                      </w:rPr>
                      <w:t>1. MTEP vystymo paketas</w:t>
                    </w:r>
                  </w:p>
                </w:tc>
                <w:tc>
                  <w:tcPr>
                    <w:tcW w:w="709" w:type="dxa"/>
                  </w:tcPr>
                  <w:p>
                    <w:pPr>
                      <w:ind w:left="-57" w:right="-57"/>
                      <w:rPr>
                        <w:sz w:val="20"/>
                      </w:rPr>
                    </w:pPr>
                  </w:p>
                </w:tc>
                <w:tc>
                  <w:tcPr>
                    <w:tcW w:w="1275" w:type="dxa"/>
                  </w:tcPr>
                  <w:p>
                    <w:pPr>
                      <w:ind w:left="-57" w:right="-57"/>
                      <w:rPr>
                        <w:sz w:val="20"/>
                      </w:rPr>
                    </w:pPr>
                    <w:r>
                      <w:rPr>
                        <w:sz w:val="18"/>
                        <w:szCs w:val="18"/>
                      </w:rPr>
                      <w:t>MSI</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1.1, 1.2, 1.3, 1.4, 1.5 ir 1.6)</w:t>
                    </w: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165 565</w:t>
                    </w:r>
                  </w:p>
                  <w:p>
                    <w:pPr>
                      <w:ind w:left="-62" w:right="-62"/>
                      <w:textAlignment w:val="baseline"/>
                      <w:rPr>
                        <w:sz w:val="18"/>
                        <w:szCs w:val="18"/>
                        <w:highlight w:val="yellow"/>
                        <w:lang w:eastAsia="lt-LT"/>
                      </w:rPr>
                    </w:pPr>
                  </w:p>
                  <w:p>
                    <w:pPr>
                      <w:ind w:left="-62" w:right="-62"/>
                      <w:textAlignment w:val="baseline"/>
                      <w:rPr>
                        <w:sz w:val="18"/>
                        <w:szCs w:val="18"/>
                        <w:lang w:eastAsia="lt-LT"/>
                      </w:rPr>
                    </w:pPr>
                    <w:r>
                      <w:rPr>
                        <w:sz w:val="18"/>
                        <w:szCs w:val="18"/>
                        <w:lang w:eastAsia="lt-LT"/>
                      </w:rPr>
                      <w:t>34 768</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Visi rodikliai iš 1.1, 1.2, 1.3, 1.4, 1.5 ir 1.6.</w:t>
                    </w:r>
                  </w:p>
                  <w:p>
                    <w:pPr>
                      <w:ind w:left="-57" w:right="-57"/>
                      <w:rPr>
                        <w:sz w:val="18"/>
                        <w:szCs w:val="18"/>
                      </w:rPr>
                    </w:pPr>
                  </w:p>
                  <w:p>
                    <w:pPr>
                      <w:ind w:left="-57" w:right="-57"/>
                      <w:rPr>
                        <w:sz w:val="18"/>
                        <w:szCs w:val="18"/>
                      </w:rPr>
                    </w:pPr>
                  </w:p>
                  <w:p>
                    <w:pPr>
                      <w:ind w:left="-57" w:right="-57"/>
                      <w:rPr>
                        <w:sz w:val="18"/>
                        <w:szCs w:val="18"/>
                      </w:rPr>
                    </w:pPr>
                    <w:r>
                      <w:rPr>
                        <w:sz w:val="18"/>
                        <w:szCs w:val="18"/>
                      </w:rPr>
                      <w:t>R – Mokslo ir studijų institucijų pajamų už ūkio subjektų (įskaitant viešąjį sektorių) mokslinių tyrimų ir eksperimentinės plėtros užsakymus suma, tūkst. Eur</w:t>
                    </w:r>
                  </w:p>
                  <w:p>
                    <w:pPr>
                      <w:ind w:left="-57" w:right="-57"/>
                      <w:rPr>
                        <w:sz w:val="18"/>
                        <w:szCs w:val="18"/>
                      </w:rPr>
                    </w:pPr>
                  </w:p>
                  <w:p>
                    <w:pPr>
                      <w:rPr>
                        <w:rFonts w:ascii="TimesNewRomanPSMT" w:hAnsi="TimesNewRomanPSMT" w:cs="TimesNewRomanPSMT"/>
                        <w:color w:val="000000"/>
                        <w:sz w:val="20"/>
                      </w:rPr>
                    </w:pPr>
                    <w:r>
                      <w:rPr>
                        <w:sz w:val="18"/>
                        <w:szCs w:val="18"/>
                      </w:rPr>
                      <w:t xml:space="preserve">R – Publikacijų pagal </w:t>
                    </w:r>
                    <w:r>
                      <w:rPr>
                        <w:i/>
                        <w:iCs/>
                        <w:sz w:val="18"/>
                        <w:szCs w:val="18"/>
                      </w:rPr>
                      <w:t>CA WoS</w:t>
                    </w:r>
                    <w:r>
                      <w:rPr>
                        <w:sz w:val="18"/>
                        <w:szCs w:val="18"/>
                      </w:rPr>
                      <w:t xml:space="preserve"> duomenų bazę skaičius, vienetai (kaupiamuoju būdu)</w:t>
                    </w:r>
                  </w:p>
                </w:tc>
                <w:tc>
                  <w:tcPr>
                    <w:tcW w:w="1134" w:type="dxa"/>
                  </w:tcPr>
                  <w:p>
                    <w:pPr>
                      <w:ind w:left="-57" w:right="-57"/>
                      <w:rPr>
                        <w:sz w:val="18"/>
                        <w:szCs w:val="18"/>
                      </w:rPr>
                    </w:pPr>
                    <w:r>
                      <w:rPr>
                        <w:sz w:val="18"/>
                        <w:szCs w:val="18"/>
                      </w:rPr>
                      <w:t>Visos reikšmės iš 1.1–1.6,</w:t>
                    </w:r>
                  </w:p>
                  <w:p>
                    <w:pPr>
                      <w:ind w:left="-57" w:right="-57"/>
                      <w:rPr>
                        <w:sz w:val="18"/>
                        <w:szCs w:val="18"/>
                      </w:rPr>
                    </w:pPr>
                  </w:p>
                  <w:p>
                    <w:pPr>
                      <w:ind w:left="-57" w:right="-57"/>
                      <w:rPr>
                        <w:sz w:val="18"/>
                        <w:szCs w:val="18"/>
                      </w:rPr>
                    </w:pPr>
                  </w:p>
                  <w:p>
                    <w:pPr>
                      <w:ind w:left="-57" w:right="-57"/>
                      <w:rPr>
                        <w:sz w:val="18"/>
                        <w:szCs w:val="18"/>
                      </w:rPr>
                    </w:pPr>
                    <w:r>
                      <w:rPr>
                        <w:sz w:val="18"/>
                        <w:szCs w:val="18"/>
                      </w:rPr>
                      <w:t>21 000 (2030)</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20"/>
                      </w:rPr>
                    </w:pPr>
                    <w:r>
                      <w:rPr>
                        <w:sz w:val="18"/>
                        <w:szCs w:val="18"/>
                      </w:rPr>
                      <w:t>31 660 (2030)</w:t>
                    </w:r>
                  </w:p>
                </w:tc>
                <w:tc>
                  <w:tcPr>
                    <w:tcW w:w="708" w:type="dxa"/>
                  </w:tcPr>
                  <w:p>
                    <w:pPr>
                      <w:ind w:left="-57" w:right="-57"/>
                      <w:rPr>
                        <w:sz w:val="20"/>
                      </w:rPr>
                    </w:pPr>
                  </w:p>
                </w:tc>
                <w:tc>
                  <w:tcPr>
                    <w:tcW w:w="568" w:type="dxa"/>
                  </w:tcPr>
                  <w:p>
                    <w:pPr>
                      <w:ind w:left="-57" w:right="-57"/>
                      <w:rPr>
                        <w:sz w:val="20"/>
                      </w:rPr>
                    </w:pPr>
                  </w:p>
                </w:tc>
              </w:tr>
              <w:tr>
                <w:trPr>
                  <w:trHeight w:val="233"/>
                </w:trPr>
                <w:tc>
                  <w:tcPr>
                    <w:tcW w:w="1135" w:type="dxa"/>
                  </w:tcPr>
                  <w:p>
                    <w:pPr>
                      <w:ind w:left="-57" w:right="-57"/>
                      <w:rPr>
                        <w:sz w:val="20"/>
                      </w:rPr>
                    </w:pPr>
                    <w:r>
                      <w:rPr>
                        <w:sz w:val="18"/>
                        <w:szCs w:val="18"/>
                      </w:rPr>
                      <w:t>1.1. Mokslo ir inovacijų misijų programos</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 xml:space="preserve">MSI </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firstLine="159"/>
                      <w:rPr>
                        <w:sz w:val="18"/>
                        <w:szCs w:val="18"/>
                      </w:rPr>
                    </w:pPr>
                    <w:r>
                      <w:rPr>
                        <w:sz w:val="18"/>
                        <w:szCs w:val="18"/>
                      </w:rPr>
                      <w:t>-</w:t>
                    </w:r>
                  </w:p>
                </w:tc>
                <w:tc>
                  <w:tcPr>
                    <w:tcW w:w="850" w:type="dxa"/>
                  </w:tcPr>
                  <w:p>
                    <w:pPr>
                      <w:ind w:right="-57"/>
                      <w:rPr>
                        <w:sz w:val="18"/>
                        <w:szCs w:val="18"/>
                      </w:rPr>
                    </w:pPr>
                    <w:r>
                      <w:rPr>
                        <w:sz w:val="18"/>
                        <w:szCs w:val="18"/>
                      </w:rPr>
                      <w:t>-</w:t>
                    </w:r>
                  </w:p>
                </w:tc>
                <w:tc>
                  <w:tcPr>
                    <w:tcW w:w="1276" w:type="dxa"/>
                  </w:tcPr>
                  <w:p>
                    <w:pPr>
                      <w:ind w:right="-57"/>
                      <w:rPr>
                        <w:sz w:val="20"/>
                      </w:rPr>
                    </w:pPr>
                    <w:r>
                      <w:rPr>
                        <w:sz w:val="20"/>
                      </w:rPr>
                      <w:t>-</w:t>
                    </w:r>
                  </w:p>
                </w:tc>
                <w:tc>
                  <w:tcPr>
                    <w:tcW w:w="1134" w:type="dxa"/>
                  </w:tcPr>
                  <w:p>
                    <w:pPr>
                      <w:ind w:right="-57"/>
                      <w:rPr>
                        <w:sz w:val="20"/>
                      </w:rPr>
                    </w:pPr>
                    <w:r>
                      <w:rPr>
                        <w:sz w:val="20"/>
                      </w:rPr>
                      <w:t>-</w:t>
                    </w:r>
                  </w:p>
                </w:tc>
                <w:tc>
                  <w:tcPr>
                    <w:tcW w:w="708" w:type="dxa"/>
                  </w:tcPr>
                  <w:p>
                    <w:pPr>
                      <w:ind w:left="-57" w:right="-57"/>
                      <w:rPr>
                        <w:sz w:val="20"/>
                      </w:rPr>
                    </w:pPr>
                    <w:r>
                      <w:rPr>
                        <w:sz w:val="18"/>
                        <w:szCs w:val="18"/>
                      </w:rPr>
                      <w:t>LMT</w:t>
                    </w:r>
                  </w:p>
                </w:tc>
                <w:tc>
                  <w:tcPr>
                    <w:tcW w:w="568" w:type="dxa"/>
                  </w:tcPr>
                  <w:p>
                    <w:pPr>
                      <w:ind w:left="-57" w:right="-57"/>
                      <w:rPr>
                        <w:sz w:val="20"/>
                      </w:rPr>
                    </w:pPr>
                    <w:r>
                      <w:rPr>
                        <w:sz w:val="18"/>
                        <w:szCs w:val="18"/>
                      </w:rPr>
                      <w:t>EIM</w:t>
                    </w:r>
                  </w:p>
                </w:tc>
              </w:tr>
              <w:tr>
                <w:trPr>
                  <w:trHeight w:val="233"/>
                </w:trPr>
                <w:tc>
                  <w:tcPr>
                    <w:tcW w:w="1135" w:type="dxa"/>
                  </w:tcPr>
                  <w:p>
                    <w:pPr>
                      <w:ind w:left="-57" w:right="-57"/>
                      <w:rPr>
                        <w:sz w:val="20"/>
                      </w:rPr>
                    </w:pPr>
                    <w:r>
                      <w:rPr>
                        <w:sz w:val="18"/>
                        <w:szCs w:val="18"/>
                      </w:rPr>
                      <w:t>1.2. Valstybės MTEP užsakymai</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MSI</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rPr>
                        <w:sz w:val="18"/>
                        <w:szCs w:val="18"/>
                      </w:rPr>
                    </w:pPr>
                    <w:r>
                      <w:rPr>
                        <w:sz w:val="18"/>
                        <w:szCs w:val="18"/>
                      </w:rPr>
                      <w:t>-</w:t>
                    </w:r>
                  </w:p>
                </w:tc>
                <w:tc>
                  <w:tcPr>
                    <w:tcW w:w="850" w:type="dxa"/>
                  </w:tcPr>
                  <w:p>
                    <w:pPr>
                      <w:ind w:left="-57" w:right="-57"/>
                      <w:rPr>
                        <w:sz w:val="18"/>
                        <w:szCs w:val="18"/>
                      </w:rPr>
                    </w:pPr>
                    <w:r>
                      <w:rPr>
                        <w:sz w:val="18"/>
                        <w:szCs w:val="18"/>
                      </w:rPr>
                      <w:t>-</w:t>
                    </w:r>
                  </w:p>
                </w:tc>
                <w:tc>
                  <w:tcPr>
                    <w:tcW w:w="1276" w:type="dxa"/>
                  </w:tcPr>
                  <w:p>
                    <w:pPr>
                      <w:ind w:left="-57" w:right="-57"/>
                      <w:rPr>
                        <w:sz w:val="20"/>
                      </w:rPr>
                    </w:pPr>
                    <w:r>
                      <w:rPr>
                        <w:sz w:val="20"/>
                      </w:rPr>
                      <w:t>-</w:t>
                    </w:r>
                  </w:p>
                </w:tc>
                <w:tc>
                  <w:tcPr>
                    <w:tcW w:w="1134" w:type="dxa"/>
                  </w:tcPr>
                  <w:p>
                    <w:pPr>
                      <w:ind w:left="-57" w:right="-57"/>
                      <w:rPr>
                        <w:sz w:val="20"/>
                      </w:rPr>
                    </w:pPr>
                    <w:r>
                      <w:rPr>
                        <w:sz w:val="20"/>
                      </w:rPr>
                      <w:t>-</w:t>
                    </w:r>
                  </w:p>
                </w:tc>
                <w:tc>
                  <w:tcPr>
                    <w:tcW w:w="708" w:type="dxa"/>
                  </w:tcPr>
                  <w:p>
                    <w:pPr>
                      <w:ind w:left="-57" w:right="-57"/>
                      <w:rPr>
                        <w:sz w:val="20"/>
                      </w:rPr>
                    </w:pPr>
                    <w:r>
                      <w:rPr>
                        <w:sz w:val="18"/>
                        <w:szCs w:val="18"/>
                      </w:rPr>
                      <w:t>LMT</w:t>
                    </w:r>
                  </w:p>
                </w:tc>
                <w:tc>
                  <w:tcPr>
                    <w:tcW w:w="568" w:type="dxa"/>
                  </w:tcPr>
                  <w:p>
                    <w:pPr>
                      <w:ind w:left="-57" w:right="-57"/>
                      <w:rPr>
                        <w:sz w:val="20"/>
                      </w:rPr>
                    </w:pPr>
                    <w:r>
                      <w:rPr>
                        <w:sz w:val="18"/>
                        <w:szCs w:val="18"/>
                      </w:rPr>
                      <w:t>-</w:t>
                    </w:r>
                  </w:p>
                </w:tc>
              </w:tr>
              <w:tr>
                <w:trPr>
                  <w:trHeight w:val="233"/>
                </w:trPr>
                <w:tc>
                  <w:tcPr>
                    <w:tcW w:w="1135" w:type="dxa"/>
                  </w:tcPr>
                  <w:p>
                    <w:pPr>
                      <w:ind w:left="-57" w:right="-57"/>
                      <w:rPr>
                        <w:sz w:val="20"/>
                      </w:rPr>
                    </w:pPr>
                    <w:r>
                      <w:rPr>
                        <w:sz w:val="18"/>
                        <w:szCs w:val="18"/>
                      </w:rPr>
                      <w:t>1.3. Mokslininkų inicijuoti projektai</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MSI</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rPr>
                        <w:sz w:val="18"/>
                        <w:szCs w:val="18"/>
                      </w:rPr>
                    </w:pPr>
                    <w:r>
                      <w:rPr>
                        <w:sz w:val="18"/>
                        <w:szCs w:val="18"/>
                      </w:rPr>
                      <w:t>-</w:t>
                    </w:r>
                  </w:p>
                </w:tc>
                <w:tc>
                  <w:tcPr>
                    <w:tcW w:w="850" w:type="dxa"/>
                  </w:tcPr>
                  <w:p>
                    <w:pPr>
                      <w:ind w:left="-57" w:right="-57"/>
                      <w:rPr>
                        <w:bCs/>
                        <w:sz w:val="18"/>
                        <w:szCs w:val="18"/>
                      </w:rPr>
                    </w:pPr>
                    <w:r>
                      <w:rPr>
                        <w:bCs/>
                        <w:sz w:val="18"/>
                        <w:szCs w:val="18"/>
                      </w:rPr>
                      <w:t>-</w:t>
                    </w:r>
                  </w:p>
                </w:tc>
                <w:tc>
                  <w:tcPr>
                    <w:tcW w:w="1276" w:type="dxa"/>
                  </w:tcPr>
                  <w:p>
                    <w:pPr>
                      <w:ind w:left="-57" w:right="-57"/>
                      <w:rPr>
                        <w:sz w:val="20"/>
                      </w:rPr>
                    </w:pPr>
                    <w:r>
                      <w:rPr>
                        <w:sz w:val="20"/>
                      </w:rPr>
                      <w:t>-</w:t>
                    </w:r>
                  </w:p>
                </w:tc>
                <w:tc>
                  <w:tcPr>
                    <w:tcW w:w="1134" w:type="dxa"/>
                  </w:tcPr>
                  <w:p>
                    <w:pPr>
                      <w:ind w:left="-57" w:right="-57"/>
                      <w:rPr>
                        <w:sz w:val="20"/>
                      </w:rPr>
                    </w:pPr>
                    <w:r>
                      <w:rPr>
                        <w:sz w:val="20"/>
                      </w:rPr>
                      <w:t>-</w:t>
                    </w:r>
                  </w:p>
                </w:tc>
                <w:tc>
                  <w:tcPr>
                    <w:tcW w:w="708" w:type="dxa"/>
                  </w:tcPr>
                  <w:p>
                    <w:pPr>
                      <w:ind w:left="-57" w:right="-57"/>
                      <w:rPr>
                        <w:sz w:val="20"/>
                      </w:rPr>
                    </w:pPr>
                    <w:r>
                      <w:rPr>
                        <w:sz w:val="18"/>
                        <w:szCs w:val="18"/>
                      </w:rPr>
                      <w:t>LMT</w:t>
                    </w:r>
                  </w:p>
                </w:tc>
                <w:tc>
                  <w:tcPr>
                    <w:tcW w:w="568" w:type="dxa"/>
                  </w:tcPr>
                  <w:p>
                    <w:pPr>
                      <w:ind w:left="-57" w:right="-57"/>
                      <w:rPr>
                        <w:sz w:val="20"/>
                      </w:rPr>
                    </w:pPr>
                    <w:r>
                      <w:rPr>
                        <w:sz w:val="18"/>
                        <w:szCs w:val="18"/>
                      </w:rPr>
                      <w:t>-</w:t>
                    </w:r>
                  </w:p>
                </w:tc>
              </w:tr>
              <w:tr>
                <w:trPr>
                  <w:trHeight w:val="233"/>
                </w:trPr>
                <w:tc>
                  <w:tcPr>
                    <w:tcW w:w="1135" w:type="dxa"/>
                  </w:tcPr>
                  <w:p>
                    <w:pPr>
                      <w:ind w:left="-57" w:right="-57"/>
                      <w:rPr>
                        <w:sz w:val="20"/>
                      </w:rPr>
                    </w:pPr>
                    <w:r>
                      <w:rPr>
                        <w:sz w:val="18"/>
                        <w:szCs w:val="18"/>
                      </w:rPr>
                      <w:t>1.4. Skatinti vykdyti taikomuosius MTEP</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 MSI</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1.4.1, 1.4.2 ir 1.4.3)</w:t>
                    </w:r>
                  </w:p>
                  <w:p>
                    <w:pPr>
                      <w:ind w:left="-57" w:right="-57"/>
                      <w:rPr>
                        <w:sz w:val="18"/>
                        <w:szCs w:val="18"/>
                      </w:rPr>
                    </w:pPr>
                  </w:p>
                  <w:p>
                    <w:pPr>
                      <w:ind w:left="-57" w:right="-57"/>
                      <w:rPr>
                        <w:sz w:val="18"/>
                        <w:szCs w:val="18"/>
                      </w:rPr>
                    </w:pPr>
                    <w:r>
                      <w:rPr>
                        <w:sz w:val="18"/>
                        <w:szCs w:val="18"/>
                      </w:rPr>
                      <w:t>92 254</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19 373</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p>
                  <w:p>
                    <w:pPr>
                      <w:ind w:left="-57" w:right="-57"/>
                      <w:rPr>
                        <w:sz w:val="18"/>
                        <w:szCs w:val="18"/>
                      </w:rPr>
                    </w:pPr>
                  </w:p>
                  <w:p>
                    <w:pPr>
                      <w:ind w:left="-57" w:right="-57"/>
                      <w:rPr>
                        <w:bCs/>
                        <w:sz w:val="18"/>
                        <w:szCs w:val="18"/>
                      </w:rPr>
                    </w:pPr>
                    <w:r>
                      <w:rPr>
                        <w:sz w:val="18"/>
                        <w:szCs w:val="18"/>
                      </w:rPr>
                      <w:t>VB</w:t>
                    </w:r>
                  </w:p>
                </w:tc>
                <w:tc>
                  <w:tcPr>
                    <w:tcW w:w="1276" w:type="dxa"/>
                  </w:tcPr>
                  <w:p>
                    <w:pPr>
                      <w:ind w:left="-62" w:right="-62"/>
                      <w:textAlignment w:val="baseline"/>
                      <w:rPr>
                        <w:sz w:val="18"/>
                        <w:szCs w:val="18"/>
                        <w:lang w:eastAsia="lt-LT"/>
                      </w:rPr>
                    </w:pPr>
                    <w:r>
                      <w:rPr>
                        <w:sz w:val="18"/>
                        <w:szCs w:val="18"/>
                        <w:lang w:eastAsia="lt-LT"/>
                      </w:rPr>
                      <w:t>Visi rodikliai iš 1.4.1, 1.4.2 ir 1.4.3</w:t>
                    </w:r>
                  </w:p>
                  <w:p>
                    <w:pPr>
                      <w:ind w:left="-57" w:right="-57"/>
                      <w:rPr>
                        <w:sz w:val="18"/>
                        <w:szCs w:val="18"/>
                      </w:rPr>
                    </w:pPr>
                  </w:p>
                  <w:p>
                    <w:pPr>
                      <w:ind w:left="-57" w:right="-57"/>
                      <w:rPr>
                        <w:sz w:val="18"/>
                        <w:szCs w:val="18"/>
                      </w:rPr>
                    </w:pPr>
                  </w:p>
                  <w:p>
                    <w:pPr>
                      <w:ind w:left="-57" w:right="-57"/>
                      <w:rPr>
                        <w:sz w:val="18"/>
                        <w:szCs w:val="18"/>
                      </w:rPr>
                    </w:pPr>
                  </w:p>
                  <w:p>
                    <w:pPr>
                      <w:ind w:left="-57" w:right="-57"/>
                      <w:rPr>
                        <w:sz w:val="20"/>
                      </w:rPr>
                    </w:pPr>
                  </w:p>
                </w:tc>
                <w:tc>
                  <w:tcPr>
                    <w:tcW w:w="1134" w:type="dxa"/>
                  </w:tcPr>
                  <w:p>
                    <w:pPr>
                      <w:ind w:left="-62" w:right="-62"/>
                      <w:textAlignment w:val="baseline"/>
                      <w:rPr>
                        <w:sz w:val="18"/>
                        <w:szCs w:val="18"/>
                        <w:lang w:eastAsia="lt-LT"/>
                      </w:rPr>
                    </w:pPr>
                    <w:r>
                      <w:rPr>
                        <w:sz w:val="18"/>
                        <w:szCs w:val="18"/>
                        <w:lang w:eastAsia="lt-LT"/>
                      </w:rPr>
                      <w:t>Visos reikšmės iš 1.4.1, 1.4.2 ir 1.4.3</w:t>
                    </w:r>
                  </w:p>
                  <w:p>
                    <w:pPr>
                      <w:ind w:left="-57" w:right="-57"/>
                      <w:rPr>
                        <w:sz w:val="20"/>
                      </w:rPr>
                    </w:pP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1.4.1. Skatinti vykdyti taikomuosius MTEP (Sostinė)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65 718 </w:t>
                    </w:r>
                  </w:p>
                  <w:p>
                    <w:pPr>
                      <w:ind w:left="-57" w:right="-57"/>
                      <w:rPr>
                        <w:sz w:val="18"/>
                        <w:szCs w:val="18"/>
                      </w:rPr>
                    </w:pPr>
                  </w:p>
                  <w:p>
                    <w:pPr>
                      <w:ind w:left="-57" w:right="-57"/>
                      <w:rPr>
                        <w:sz w:val="18"/>
                        <w:szCs w:val="18"/>
                      </w:rPr>
                    </w:pPr>
                  </w:p>
                  <w:p>
                    <w:pPr>
                      <w:ind w:left="-57" w:right="-57"/>
                      <w:rPr>
                        <w:sz w:val="18"/>
                        <w:szCs w:val="18"/>
                      </w:rPr>
                    </w:pPr>
                    <w:r>
                      <w:rPr>
                        <w:sz w:val="18"/>
                        <w:szCs w:val="18"/>
                      </w:rPr>
                      <w:t>13 801</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Bendruose mokslinių tyrimų projektuose dalyvaujančios mokslinių tyrimų organizacijos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Su mokslinių tyrimų organizacijomis bendradarbiaujančios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tc>
                <w:tc>
                  <w:tcPr>
                    <w:tcW w:w="1134" w:type="dxa"/>
                  </w:tcPr>
                  <w:p>
                    <w:pPr>
                      <w:ind w:left="-60" w:right="-60"/>
                      <w:textAlignment w:val="baseline"/>
                      <w:rPr>
                        <w:sz w:val="18"/>
                        <w:szCs w:val="18"/>
                        <w:lang w:eastAsia="lt-LT"/>
                      </w:rPr>
                    </w:pPr>
                    <w:r>
                      <w:rPr>
                        <w:sz w:val="18"/>
                        <w:szCs w:val="18"/>
                        <w:lang w:eastAsia="lt-LT"/>
                      </w:rPr>
                      <w:t>285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13 143 570 </w:t>
                    </w:r>
                  </w:p>
                  <w:p>
                    <w:pPr>
                      <w:ind w:left="-60" w:right="-60"/>
                      <w:textAlignment w:val="baseline"/>
                      <w:rPr>
                        <w:sz w:val="18"/>
                        <w:szCs w:val="18"/>
                        <w:lang w:eastAsia="lt-LT"/>
                      </w:rPr>
                    </w:pPr>
                    <w:r>
                      <w:rPr>
                        <w:sz w:val="18"/>
                        <w:szCs w:val="18"/>
                        <w:lang w:eastAsia="lt-LT"/>
                      </w:rPr>
                      <w:t>(2029)</w:t>
                    </w:r>
                  </w:p>
                  <w:p>
                    <w:pPr>
                      <w:ind w:left="-60" w:right="-60"/>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105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105 (2029)</w:t>
                    </w: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57" w:right="-57"/>
                      <w:rPr>
                        <w:sz w:val="18"/>
                        <w:szCs w:val="18"/>
                      </w:rPr>
                    </w:pPr>
                    <w:r>
                      <w:rPr>
                        <w:sz w:val="18"/>
                        <w:szCs w:val="18"/>
                      </w:rPr>
                      <w:t>635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1.4.2. Skatinti vykdyti taikomuosius MTEP (VVL)</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26 536 </w:t>
                    </w:r>
                  </w:p>
                  <w:p>
                    <w:pPr>
                      <w:ind w:left="-57" w:right="-57"/>
                      <w:rPr>
                        <w:sz w:val="18"/>
                        <w:szCs w:val="18"/>
                      </w:rPr>
                    </w:pPr>
                  </w:p>
                  <w:p>
                    <w:pPr>
                      <w:ind w:left="-57" w:right="-57"/>
                      <w:rPr>
                        <w:sz w:val="18"/>
                        <w:szCs w:val="18"/>
                      </w:rPr>
                    </w:pPr>
                  </w:p>
                  <w:p>
                    <w:pPr>
                      <w:ind w:left="-57" w:right="-57"/>
                      <w:rPr>
                        <w:sz w:val="18"/>
                        <w:szCs w:val="18"/>
                      </w:rPr>
                    </w:pPr>
                    <w:r>
                      <w:rPr>
                        <w:sz w:val="18"/>
                        <w:szCs w:val="18"/>
                      </w:rPr>
                      <w:t>5 572 </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Bendruose mokslinių tyrimų projektuose dalyvaujančios mokslinių tyrimų organizacijos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Su mokslinių tyrimų organizacijomis bendradarbiaujančios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tc>
                <w:tc>
                  <w:tcPr>
                    <w:tcW w:w="1134" w:type="dxa"/>
                  </w:tcPr>
                  <w:p>
                    <w:pPr>
                      <w:ind w:left="-60" w:right="-60"/>
                      <w:textAlignment w:val="baseline"/>
                      <w:rPr>
                        <w:sz w:val="18"/>
                        <w:szCs w:val="18"/>
                        <w:lang w:eastAsia="lt-LT"/>
                      </w:rPr>
                    </w:pPr>
                    <w:r>
                      <w:rPr>
                        <w:sz w:val="18"/>
                        <w:szCs w:val="18"/>
                        <w:lang w:eastAsia="lt-LT"/>
                      </w:rPr>
                      <w:t>460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5 307 190</w:t>
                    </w:r>
                  </w:p>
                  <w:p>
                    <w:pPr>
                      <w:ind w:left="-60" w:right="-60"/>
                      <w:textAlignment w:val="baseline"/>
                      <w:rPr>
                        <w:sz w:val="18"/>
                        <w:szCs w:val="18"/>
                        <w:lang w:eastAsia="lt-LT"/>
                      </w:rPr>
                    </w:pPr>
                    <w:r>
                      <w:rPr>
                        <w:sz w:val="18"/>
                        <w:szCs w:val="18"/>
                        <w:lang w:eastAsia="lt-LT"/>
                      </w:rPr>
                      <w:t>(2029)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45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45 (2029)</w:t>
                    </w: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57" w:right="-57"/>
                      <w:rPr>
                        <w:sz w:val="18"/>
                        <w:szCs w:val="18"/>
                      </w:rPr>
                    </w:pPr>
                    <w:r>
                      <w:rPr>
                        <w:sz w:val="18"/>
                        <w:szCs w:val="18"/>
                      </w:rPr>
                      <w:t>260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highlight w:val="yellow"/>
                      </w:rPr>
                    </w:pPr>
                    <w:r>
                      <w:rPr>
                        <w:sz w:val="18"/>
                        <w:szCs w:val="18"/>
                      </w:rPr>
                      <w:t>1.4.3. Technologinės plėtros projektai</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w:t>
                    </w:r>
                  </w:p>
                </w:tc>
                <w:tc>
                  <w:tcPr>
                    <w:tcW w:w="850" w:type="dxa"/>
                  </w:tcPr>
                  <w:p>
                    <w:pPr>
                      <w:ind w:left="-57" w:right="-57"/>
                      <w:rPr>
                        <w:sz w:val="18"/>
                        <w:szCs w:val="18"/>
                      </w:rPr>
                    </w:pPr>
                    <w:r>
                      <w:rPr>
                        <w:sz w:val="18"/>
                        <w:szCs w:val="18"/>
                      </w:rPr>
                      <w:t>-</w:t>
                    </w:r>
                  </w:p>
                </w:tc>
                <w:tc>
                  <w:tcPr>
                    <w:tcW w:w="1276" w:type="dxa"/>
                  </w:tcPr>
                  <w:p>
                    <w:pPr>
                      <w:ind w:left="-60" w:right="-60"/>
                      <w:textAlignment w:val="baseline"/>
                      <w:rPr>
                        <w:sz w:val="18"/>
                        <w:szCs w:val="18"/>
                        <w:lang w:eastAsia="lt-LT"/>
                      </w:rPr>
                    </w:pPr>
                    <w:r>
                      <w:rPr>
                        <w:sz w:val="18"/>
                        <w:szCs w:val="18"/>
                        <w:lang w:eastAsia="lt-LT"/>
                      </w:rPr>
                      <w:t>-</w:t>
                    </w:r>
                  </w:p>
                </w:tc>
                <w:tc>
                  <w:tcPr>
                    <w:tcW w:w="1134" w:type="dxa"/>
                  </w:tcPr>
                  <w:p>
                    <w:pPr>
                      <w:ind w:left="-60" w:right="-60"/>
                      <w:textAlignment w:val="baseline"/>
                      <w:rPr>
                        <w:sz w:val="18"/>
                        <w:szCs w:val="18"/>
                        <w:lang w:eastAsia="lt-LT"/>
                      </w:rPr>
                    </w:pPr>
                    <w:r>
                      <w:rPr>
                        <w:sz w:val="18"/>
                        <w:szCs w:val="18"/>
                        <w:lang w:eastAsia="lt-LT"/>
                      </w:rPr>
                      <w:t>-</w:t>
                    </w:r>
                  </w:p>
                </w:tc>
                <w:tc>
                  <w:tcPr>
                    <w:tcW w:w="708" w:type="dxa"/>
                  </w:tcPr>
                  <w:p>
                    <w:pPr>
                      <w:ind w:left="-57" w:right="-57"/>
                      <w:rPr>
                        <w:sz w:val="18"/>
                        <w:szCs w:val="18"/>
                      </w:rPr>
                    </w:pPr>
                    <w:r>
                      <w:rPr>
                        <w:sz w:val="18"/>
                        <w:szCs w:val="18"/>
                      </w:rPr>
                      <w:t>LMT</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20"/>
                      </w:rPr>
                    </w:pPr>
                    <w:r>
                      <w:rPr>
                        <w:sz w:val="18"/>
                        <w:szCs w:val="18"/>
                      </w:rPr>
                      <w:t>1.5. Žinių perdavimo ir komercinimo sistemos stiprinimas</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 MSI</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1.5.1 ir 1.5.2)</w:t>
                    </w:r>
                  </w:p>
                  <w:p>
                    <w:pPr>
                      <w:ind w:left="-57" w:right="-57"/>
                      <w:rPr>
                        <w:sz w:val="18"/>
                        <w:szCs w:val="18"/>
                      </w:rPr>
                    </w:pPr>
                  </w:p>
                  <w:p>
                    <w:pPr>
                      <w:ind w:left="-57" w:right="-57"/>
                      <w:rPr>
                        <w:sz w:val="18"/>
                        <w:szCs w:val="18"/>
                      </w:rPr>
                    </w:pPr>
                    <w:r>
                      <w:rPr>
                        <w:sz w:val="18"/>
                        <w:szCs w:val="18"/>
                      </w:rPr>
                      <w:t>31 823</w:t>
                    </w:r>
                  </w:p>
                  <w:p>
                    <w:pPr>
                      <w:ind w:left="-57" w:right="-57"/>
                      <w:rPr>
                        <w:sz w:val="18"/>
                        <w:szCs w:val="18"/>
                      </w:rPr>
                    </w:pPr>
                  </w:p>
                  <w:p>
                    <w:pPr>
                      <w:ind w:left="-57" w:right="-57"/>
                      <w:rPr>
                        <w:sz w:val="18"/>
                        <w:szCs w:val="18"/>
                      </w:rPr>
                    </w:pPr>
                  </w:p>
                  <w:p>
                    <w:pPr>
                      <w:ind w:left="-57" w:right="-57"/>
                      <w:rPr>
                        <w:sz w:val="18"/>
                        <w:szCs w:val="18"/>
                      </w:rPr>
                    </w:pPr>
                    <w:r>
                      <w:rPr>
                        <w:sz w:val="18"/>
                        <w:szCs w:val="18"/>
                      </w:rPr>
                      <w:t>6 683</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p>
                  <w:p>
                    <w:pPr>
                      <w:ind w:left="-57" w:right="-57"/>
                      <w:rPr>
                        <w:bCs/>
                        <w:sz w:val="18"/>
                        <w:szCs w:val="18"/>
                      </w:rPr>
                    </w:pPr>
                    <w:r>
                      <w:rPr>
                        <w:sz w:val="18"/>
                        <w:szCs w:val="18"/>
                      </w:rPr>
                      <w:t>VB</w:t>
                    </w:r>
                  </w:p>
                </w:tc>
                <w:tc>
                  <w:tcPr>
                    <w:tcW w:w="1276" w:type="dxa"/>
                  </w:tcPr>
                  <w:p>
                    <w:pPr>
                      <w:ind w:left="-57" w:right="-57"/>
                      <w:rPr>
                        <w:sz w:val="20"/>
                      </w:rPr>
                    </w:pPr>
                    <w:r>
                      <w:rPr>
                        <w:sz w:val="18"/>
                        <w:szCs w:val="18"/>
                      </w:rPr>
                      <w:t>Visi rodikliai iš 1.5.1 ir 1.5.2</w:t>
                    </w:r>
                  </w:p>
                </w:tc>
                <w:tc>
                  <w:tcPr>
                    <w:tcW w:w="1134" w:type="dxa"/>
                  </w:tcPr>
                  <w:p>
                    <w:pPr>
                      <w:ind w:left="-62" w:right="-62"/>
                      <w:textAlignment w:val="baseline"/>
                      <w:rPr>
                        <w:sz w:val="18"/>
                        <w:szCs w:val="18"/>
                        <w:lang w:eastAsia="lt-LT"/>
                      </w:rPr>
                    </w:pPr>
                    <w:r>
                      <w:rPr>
                        <w:sz w:val="18"/>
                        <w:szCs w:val="18"/>
                        <w:lang w:eastAsia="lt-LT"/>
                      </w:rPr>
                      <w:t>Visos reikšmės iš 1.5.1 ir 1.5.2</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1.5.1. Žinių perdavimo ir komercinimo sistemos stiprinimas (Sostinė)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 MSI</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19 889 </w:t>
                    </w:r>
                  </w:p>
                  <w:p>
                    <w:pPr>
                      <w:ind w:left="-57" w:right="-57"/>
                      <w:rPr>
                        <w:sz w:val="18"/>
                        <w:szCs w:val="18"/>
                      </w:rPr>
                    </w:pPr>
                  </w:p>
                  <w:p>
                    <w:pPr>
                      <w:ind w:left="-57" w:right="-57"/>
                      <w:rPr>
                        <w:sz w:val="18"/>
                        <w:szCs w:val="18"/>
                      </w:rPr>
                    </w:pPr>
                  </w:p>
                  <w:p>
                    <w:pPr>
                      <w:ind w:left="-57" w:right="-57"/>
                      <w:rPr>
                        <w:sz w:val="18"/>
                        <w:szCs w:val="18"/>
                      </w:rPr>
                    </w:pPr>
                    <w:r>
                      <w:rPr>
                        <w:sz w:val="18"/>
                        <w:szCs w:val="18"/>
                      </w:rPr>
                      <w:t>4 177</w:t>
                    </w:r>
                  </w:p>
                </w:tc>
                <w:tc>
                  <w:tcPr>
                    <w:tcW w:w="850" w:type="dxa"/>
                  </w:tcPr>
                  <w:p>
                    <w:pPr>
                      <w:ind w:left="-60" w:right="-60"/>
                      <w:textAlignment w:val="baseline"/>
                      <w:rPr>
                        <w:sz w:val="18"/>
                        <w:szCs w:val="18"/>
                        <w:lang w:eastAsia="lt-LT"/>
                      </w:rPr>
                    </w:pPr>
                    <w:r>
                      <w:rPr>
                        <w:sz w:val="18"/>
                        <w:szCs w:val="18"/>
                        <w:lang w:eastAsia="lt-LT"/>
                      </w:rPr>
                      <w:t>2021–2027 IP </w:t>
                    </w:r>
                  </w:p>
                  <w:p>
                    <w:pPr>
                      <w:ind w:left="-57" w:right="-57"/>
                      <w:rPr>
                        <w:sz w:val="18"/>
                        <w:szCs w:val="18"/>
                      </w:rPr>
                    </w:pPr>
                  </w:p>
                  <w:p>
                    <w:pPr>
                      <w:ind w:left="-57" w:right="-57"/>
                      <w:rPr>
                        <w:sz w:val="18"/>
                        <w:szCs w:val="18"/>
                      </w:rPr>
                    </w:pPr>
                    <w:r>
                      <w:rPr>
                        <w:sz w:val="18"/>
                        <w:szCs w:val="18"/>
                      </w:rPr>
                      <w:t>VB</w:t>
                    </w:r>
                  </w:p>
                  <w:p>
                    <w:pPr>
                      <w:ind w:left="-57" w:right="-57"/>
                      <w:rPr>
                        <w:sz w:val="18"/>
                        <w:szCs w:val="18"/>
                      </w:rPr>
                    </w:pPr>
                  </w:p>
                </w:tc>
                <w:tc>
                  <w:tcPr>
                    <w:tcW w:w="1276" w:type="dxa"/>
                  </w:tcPr>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Investicijas gavusių mokslo ir studijų institucijų skaičius  </w:t>
                    </w:r>
                  </w:p>
                  <w:p>
                    <w:pPr>
                      <w:ind w:left="-60" w:right="-60" w:firstLine="48"/>
                      <w:textAlignment w:val="baseline"/>
                      <w:rPr>
                        <w:sz w:val="18"/>
                        <w:szCs w:val="18"/>
                        <w:lang w:eastAsia="lt-LT"/>
                      </w:rPr>
                    </w:pPr>
                  </w:p>
                  <w:p>
                    <w:pPr>
                      <w:ind w:left="-57" w:right="-57"/>
                      <w:rPr>
                        <w:sz w:val="18"/>
                        <w:szCs w:val="18"/>
                      </w:rPr>
                    </w:pPr>
                    <w:r>
                      <w:rPr>
                        <w:sz w:val="18"/>
                        <w:szCs w:val="18"/>
                      </w:rPr>
                      <w:t>R – Investicijas gavusių mokslo ir studijų institucijų gautų MTEP užsakymų skaičius </w:t>
                    </w:r>
                  </w:p>
                </w:tc>
                <w:tc>
                  <w:tcPr>
                    <w:tcW w:w="1134" w:type="dxa"/>
                  </w:tcPr>
                  <w:p>
                    <w:pPr>
                      <w:textAlignment w:val="baseline"/>
                      <w:rPr>
                        <w:sz w:val="18"/>
                        <w:szCs w:val="18"/>
                        <w:lang w:eastAsia="lt-LT"/>
                      </w:rPr>
                    </w:pPr>
                    <w:r>
                      <w:rPr>
                        <w:sz w:val="18"/>
                        <w:szCs w:val="18"/>
                        <w:lang w:eastAsia="lt-LT"/>
                      </w:rPr>
                      <w:t>3 977 840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10 (2029)</w:t>
                    </w: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left="-57" w:right="-57"/>
                      <w:rPr>
                        <w:sz w:val="18"/>
                        <w:szCs w:val="18"/>
                      </w:rPr>
                    </w:pPr>
                    <w:r>
                      <w:rPr>
                        <w:sz w:val="18"/>
                        <w:szCs w:val="18"/>
                      </w:rPr>
                      <w:t>140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1.5.2. Žinių perdavimo ir komercinimo sistemos stiprinimas (VVL)</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 MSI</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11 934 </w:t>
                    </w:r>
                  </w:p>
                  <w:p>
                    <w:pPr>
                      <w:ind w:left="-57" w:right="-57"/>
                      <w:rPr>
                        <w:sz w:val="18"/>
                        <w:szCs w:val="18"/>
                      </w:rPr>
                    </w:pPr>
                  </w:p>
                  <w:p>
                    <w:pPr>
                      <w:ind w:left="-57" w:right="-57"/>
                      <w:rPr>
                        <w:sz w:val="18"/>
                        <w:szCs w:val="18"/>
                      </w:rPr>
                    </w:pPr>
                  </w:p>
                  <w:p>
                    <w:pPr>
                      <w:ind w:left="-57" w:right="-57"/>
                      <w:rPr>
                        <w:sz w:val="18"/>
                        <w:szCs w:val="18"/>
                      </w:rPr>
                    </w:pPr>
                    <w:r>
                      <w:rPr>
                        <w:sz w:val="18"/>
                        <w:szCs w:val="18"/>
                      </w:rPr>
                      <w:t>2 506</w:t>
                    </w:r>
                  </w:p>
                </w:tc>
                <w:tc>
                  <w:tcPr>
                    <w:tcW w:w="850" w:type="dxa"/>
                  </w:tcPr>
                  <w:p>
                    <w:pPr>
                      <w:ind w:left="-60" w:right="-60"/>
                      <w:textAlignment w:val="baseline"/>
                      <w:rPr>
                        <w:sz w:val="18"/>
                        <w:szCs w:val="18"/>
                        <w:lang w:eastAsia="lt-LT"/>
                      </w:rPr>
                    </w:pPr>
                    <w:r>
                      <w:rPr>
                        <w:sz w:val="18"/>
                        <w:szCs w:val="18"/>
                        <w:lang w:eastAsia="lt-LT"/>
                      </w:rPr>
                      <w:t>2021–2027 IP </w:t>
                    </w:r>
                  </w:p>
                  <w:p>
                    <w:pPr>
                      <w:ind w:left="-57" w:right="-57" w:firstLine="48"/>
                      <w:rPr>
                        <w:sz w:val="18"/>
                        <w:szCs w:val="18"/>
                      </w:rPr>
                    </w:pPr>
                  </w:p>
                  <w:p>
                    <w:pPr>
                      <w:ind w:left="-57" w:right="-57"/>
                      <w:rPr>
                        <w:sz w:val="18"/>
                        <w:szCs w:val="18"/>
                      </w:rPr>
                    </w:pPr>
                    <w:r>
                      <w:rPr>
                        <w:sz w:val="18"/>
                      </w:rPr>
                      <w:t>VB</w:t>
                    </w:r>
                  </w:p>
                </w:tc>
                <w:tc>
                  <w:tcPr>
                    <w:tcW w:w="1276" w:type="dxa"/>
                  </w:tcPr>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Investicijas gavusių mokslo ir studijų institucijų skaičius  </w:t>
                    </w:r>
                  </w:p>
                  <w:p>
                    <w:pPr>
                      <w:ind w:left="-60" w:right="-60" w:firstLine="48"/>
                      <w:textAlignment w:val="baseline"/>
                      <w:rPr>
                        <w:sz w:val="18"/>
                        <w:szCs w:val="18"/>
                        <w:lang w:eastAsia="lt-LT"/>
                      </w:rPr>
                    </w:pPr>
                  </w:p>
                  <w:p>
                    <w:pPr>
                      <w:ind w:left="-57" w:right="-57"/>
                      <w:rPr>
                        <w:sz w:val="18"/>
                        <w:szCs w:val="18"/>
                      </w:rPr>
                    </w:pPr>
                    <w:r>
                      <w:rPr>
                        <w:sz w:val="18"/>
                        <w:szCs w:val="18"/>
                      </w:rPr>
                      <w:t>R – Investicijas gavusių mokslo ir studijų institucijų gautų MTEP užsakymų skaičius </w:t>
                    </w:r>
                  </w:p>
                </w:tc>
                <w:tc>
                  <w:tcPr>
                    <w:tcW w:w="1134" w:type="dxa"/>
                  </w:tcPr>
                  <w:p>
                    <w:pPr>
                      <w:textAlignment w:val="baseline"/>
                      <w:rPr>
                        <w:sz w:val="18"/>
                        <w:szCs w:val="18"/>
                        <w:lang w:eastAsia="lt-LT"/>
                      </w:rPr>
                    </w:pPr>
                    <w:r>
                      <w:rPr>
                        <w:sz w:val="18"/>
                        <w:szCs w:val="18"/>
                        <w:lang w:eastAsia="lt-LT"/>
                      </w:rPr>
                      <w:t>2 386 710</w:t>
                    </w:r>
                  </w:p>
                  <w:p>
                    <w:pPr>
                      <w:textAlignment w:val="baseline"/>
                      <w:rPr>
                        <w:sz w:val="18"/>
                        <w:szCs w:val="18"/>
                        <w:lang w:eastAsia="lt-LT"/>
                      </w:rPr>
                    </w:pPr>
                    <w:r>
                      <w:rPr>
                        <w:sz w:val="18"/>
                        <w:szCs w:val="18"/>
                        <w:lang w:eastAsia="lt-LT"/>
                      </w:rPr>
                      <w:t>(2029)</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ind w:firstLine="48"/>
                      <w:textAlignment w:val="baseline"/>
                      <w:rPr>
                        <w:sz w:val="18"/>
                        <w:szCs w:val="18"/>
                        <w:lang w:eastAsia="lt-LT"/>
                      </w:rPr>
                    </w:pPr>
                    <w:r>
                      <w:rPr>
                        <w:sz w:val="18"/>
                        <w:szCs w:val="18"/>
                        <w:lang w:eastAsia="lt-LT"/>
                      </w:rPr>
                      <w:t>6 (2029)</w:t>
                    </w:r>
                  </w:p>
                  <w:p>
                    <w:pPr>
                      <w:ind w:firstLine="48"/>
                      <w:textAlignment w:val="baseline"/>
                      <w:rPr>
                        <w:sz w:val="18"/>
                        <w:szCs w:val="18"/>
                        <w:lang w:eastAsia="lt-LT"/>
                      </w:rPr>
                    </w:pP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left="-57" w:right="-57"/>
                      <w:rPr>
                        <w:sz w:val="18"/>
                        <w:szCs w:val="18"/>
                      </w:rPr>
                    </w:pPr>
                    <w:r>
                      <w:rPr>
                        <w:sz w:val="18"/>
                        <w:szCs w:val="18"/>
                      </w:rPr>
                      <w:t>85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20"/>
                      </w:rPr>
                    </w:pPr>
                    <w:r>
                      <w:rPr>
                        <w:sz w:val="18"/>
                        <w:szCs w:val="18"/>
                      </w:rPr>
                      <w:t>1.6. Mokslo vadybos ir žinių komercinimo gebėjimų mokslo ir studijų institucijose stiprinimas (</w:t>
                    </w:r>
                    <w:r>
                      <w:rPr>
                        <w:i/>
                        <w:sz w:val="18"/>
                        <w:szCs w:val="18"/>
                      </w:rPr>
                      <w:t>spin-off</w:t>
                    </w:r>
                    <w:r>
                      <w:rPr>
                        <w:sz w:val="18"/>
                        <w:szCs w:val="18"/>
                      </w:rPr>
                      <w:t>)</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 MSI, atžalinės įmonės</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1.6.1, 1.6.2 ir 1.6.3)</w:t>
                    </w:r>
                  </w:p>
                  <w:p>
                    <w:pPr>
                      <w:ind w:left="-57" w:right="-57"/>
                      <w:rPr>
                        <w:sz w:val="18"/>
                        <w:szCs w:val="18"/>
                      </w:rPr>
                    </w:pPr>
                  </w:p>
                  <w:p>
                    <w:pPr>
                      <w:ind w:left="-57" w:right="-57"/>
                      <w:rPr>
                        <w:sz w:val="18"/>
                        <w:szCs w:val="18"/>
                      </w:rPr>
                    </w:pPr>
                  </w:p>
                  <w:p>
                    <w:pPr>
                      <w:ind w:left="-57" w:right="-57"/>
                      <w:rPr>
                        <w:sz w:val="18"/>
                        <w:szCs w:val="18"/>
                      </w:rPr>
                    </w:pPr>
                    <w:r>
                      <w:rPr>
                        <w:sz w:val="18"/>
                        <w:szCs w:val="18"/>
                      </w:rPr>
                      <w:t>41 488</w:t>
                    </w:r>
                  </w:p>
                  <w:p>
                    <w:pPr>
                      <w:ind w:left="-57" w:right="-57"/>
                      <w:rPr>
                        <w:sz w:val="18"/>
                        <w:szCs w:val="18"/>
                      </w:rPr>
                    </w:pPr>
                  </w:p>
                  <w:p>
                    <w:pPr>
                      <w:ind w:left="-57" w:right="-57"/>
                      <w:rPr>
                        <w:sz w:val="18"/>
                        <w:szCs w:val="18"/>
                      </w:rPr>
                    </w:pPr>
                    <w:r>
                      <w:rPr>
                        <w:sz w:val="18"/>
                        <w:szCs w:val="18"/>
                      </w:rPr>
                      <w:t>8 712</w:t>
                    </w:r>
                  </w:p>
                  <w:p>
                    <w:pPr>
                      <w:ind w:left="-57" w:right="-57"/>
                      <w:rPr>
                        <w:sz w:val="18"/>
                        <w:szCs w:val="18"/>
                      </w:rPr>
                    </w:pP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bCs/>
                        <w:sz w:val="18"/>
                        <w:szCs w:val="18"/>
                      </w:rPr>
                    </w:pPr>
                    <w:r>
                      <w:rPr>
                        <w:sz w:val="18"/>
                        <w:szCs w:val="18"/>
                      </w:rPr>
                      <w:t>VB</w:t>
                    </w:r>
                  </w:p>
                </w:tc>
                <w:tc>
                  <w:tcPr>
                    <w:tcW w:w="1276" w:type="dxa"/>
                  </w:tcPr>
                  <w:p>
                    <w:pPr>
                      <w:ind w:left="-62" w:right="-62"/>
                      <w:textAlignment w:val="baseline"/>
                      <w:rPr>
                        <w:sz w:val="18"/>
                        <w:szCs w:val="18"/>
                        <w:lang w:eastAsia="lt-LT"/>
                      </w:rPr>
                    </w:pPr>
                    <w:r>
                      <w:rPr>
                        <w:sz w:val="18"/>
                        <w:szCs w:val="18"/>
                        <w:lang w:eastAsia="lt-LT"/>
                      </w:rPr>
                      <w:t>Visi rodikliai iš 1.6.1, 1.6.2 ir 1.6.3</w:t>
                    </w:r>
                  </w:p>
                  <w:p>
                    <w:pPr>
                      <w:ind w:left="-57" w:right="-57"/>
                      <w:rPr>
                        <w:sz w:val="18"/>
                        <w:szCs w:val="18"/>
                      </w:rPr>
                    </w:pPr>
                  </w:p>
                  <w:p>
                    <w:pPr>
                      <w:ind w:left="-57" w:right="-57" w:firstLine="48"/>
                      <w:rPr>
                        <w:sz w:val="20"/>
                      </w:rPr>
                    </w:pPr>
                  </w:p>
                </w:tc>
                <w:tc>
                  <w:tcPr>
                    <w:tcW w:w="1134" w:type="dxa"/>
                  </w:tcPr>
                  <w:p>
                    <w:pPr>
                      <w:ind w:left="-62" w:right="-62"/>
                      <w:textAlignment w:val="baseline"/>
                      <w:rPr>
                        <w:sz w:val="18"/>
                        <w:szCs w:val="18"/>
                        <w:lang w:eastAsia="lt-LT"/>
                      </w:rPr>
                    </w:pPr>
                    <w:r>
                      <w:rPr>
                        <w:sz w:val="18"/>
                        <w:szCs w:val="18"/>
                        <w:lang w:eastAsia="lt-LT"/>
                      </w:rPr>
                      <w:t>Visos reikšmės iš 1.6.1, 1.6.2 ir 1.6.3</w:t>
                    </w:r>
                  </w:p>
                  <w:p>
                    <w:pPr>
                      <w:ind w:left="-57" w:right="-57"/>
                      <w:rPr>
                        <w:sz w:val="20"/>
                      </w:rPr>
                    </w:pP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1.6.1. Mokslo vadybos ir žinių komercinimo gebėjimų mokslo ir studijų institucijose stiprinimas (</w:t>
                    </w:r>
                    <w:r>
                      <w:rPr>
                        <w:i/>
                        <w:sz w:val="18"/>
                        <w:szCs w:val="18"/>
                      </w:rPr>
                      <w:t>spin-off</w:t>
                    </w:r>
                    <w:r>
                      <w:rPr>
                        <w:sz w:val="18"/>
                        <w:szCs w:val="18"/>
                      </w:rPr>
                      <w:t>) (Sostinė)</w:t>
                    </w:r>
                  </w:p>
                </w:tc>
                <w:tc>
                  <w:tcPr>
                    <w:tcW w:w="709" w:type="dxa"/>
                  </w:tcPr>
                  <w:p>
                    <w:pPr>
                      <w:ind w:left="-57" w:right="-57"/>
                      <w:rPr>
                        <w:sz w:val="20"/>
                      </w:rPr>
                    </w:pPr>
                    <w:r>
                      <w:rPr>
                        <w:sz w:val="18"/>
                        <w:szCs w:val="18"/>
                      </w:rPr>
                      <w:t>I</w:t>
                    </w:r>
                  </w:p>
                </w:tc>
                <w:tc>
                  <w:tcPr>
                    <w:tcW w:w="1275" w:type="dxa"/>
                  </w:tcPr>
                  <w:p>
                    <w:pPr>
                      <w:ind w:left="-57" w:right="-57"/>
                      <w:rPr>
                        <w:sz w:val="18"/>
                        <w:szCs w:val="18"/>
                      </w:rPr>
                    </w:pPr>
                    <w:r>
                      <w:rPr>
                        <w:sz w:val="18"/>
                        <w:szCs w:val="18"/>
                      </w:rPr>
                      <w:t>LMT, MSI, atžalinės įmonės</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29 554 </w:t>
                    </w:r>
                  </w:p>
                  <w:p>
                    <w:pPr>
                      <w:ind w:left="-57" w:right="-57"/>
                      <w:rPr>
                        <w:sz w:val="18"/>
                        <w:szCs w:val="18"/>
                      </w:rPr>
                    </w:pPr>
                  </w:p>
                  <w:p>
                    <w:pPr>
                      <w:ind w:left="-57" w:right="-57"/>
                      <w:rPr>
                        <w:sz w:val="18"/>
                        <w:szCs w:val="18"/>
                      </w:rPr>
                    </w:pPr>
                  </w:p>
                  <w:p>
                    <w:pPr>
                      <w:ind w:left="-57" w:right="-57"/>
                      <w:rPr>
                        <w:sz w:val="18"/>
                        <w:szCs w:val="18"/>
                      </w:rPr>
                    </w:pPr>
                    <w:r>
                      <w:rPr>
                        <w:sz w:val="18"/>
                        <w:szCs w:val="18"/>
                      </w:rPr>
                      <w:t>6 206</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color w:val="000000"/>
                        <w:sz w:val="18"/>
                        <w:szCs w:val="18"/>
                        <w:shd w:val="clear" w:color="auto" w:fill="FFFFFF"/>
                        <w:lang w:eastAsia="lt-LT"/>
                      </w:rPr>
                    </w:pPr>
                    <w:r>
                      <w:rPr>
                        <w:sz w:val="18"/>
                        <w:szCs w:val="18"/>
                        <w:lang w:eastAsia="lt-LT"/>
                      </w:rPr>
                      <w:t xml:space="preserve">P – Paramą gavusios įmonės </w:t>
                    </w:r>
                    <w:r>
                      <w:rPr>
                        <w:color w:val="000000"/>
                        <w:sz w:val="18"/>
                        <w:szCs w:val="18"/>
                        <w:shd w:val="clear" w:color="auto" w:fill="FFFFFF"/>
                        <w:lang w:eastAsia="lt-LT"/>
                      </w:rPr>
                      <w:t>(iš kurių: labai mažos, mažosios, vidutinės ir didelės)</w:t>
                    </w:r>
                  </w:p>
                  <w:p>
                    <w:pPr>
                      <w:ind w:left="-60" w:right="-60"/>
                      <w:textAlignment w:val="baseline"/>
                      <w:rPr>
                        <w:sz w:val="18"/>
                        <w:szCs w:val="18"/>
                        <w:lang w:eastAsia="lt-LT"/>
                      </w:rPr>
                    </w:pPr>
                  </w:p>
                  <w:p>
                    <w:pPr>
                      <w:ind w:left="-60" w:right="-60"/>
                      <w:textAlignment w:val="baseline"/>
                      <w:rPr>
                        <w:color w:val="000000"/>
                        <w:sz w:val="18"/>
                        <w:szCs w:val="18"/>
                        <w:shd w:val="clear" w:color="auto" w:fill="FFFFFF"/>
                        <w:lang w:eastAsia="lt-LT"/>
                      </w:rPr>
                    </w:pPr>
                    <w:r>
                      <w:rPr>
                        <w:sz w:val="18"/>
                        <w:szCs w:val="18"/>
                        <w:lang w:eastAsia="lt-LT"/>
                      </w:rPr>
                      <w:t xml:space="preserve">P – </w:t>
                    </w:r>
                    <w:r>
                      <w:rPr>
                        <w:color w:val="000000"/>
                        <w:sz w:val="18"/>
                        <w:szCs w:val="18"/>
                        <w:shd w:val="clear" w:color="auto" w:fill="FFFFFF"/>
                        <w:lang w:eastAsia="lt-LT"/>
                      </w:rPr>
                      <w:t>Paramą gavusios įmonės (iš kurių: labai mažos)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mažosios)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vidutinės)</w:t>
                    </w:r>
                  </w:p>
                  <w:p>
                    <w:pPr>
                      <w:ind w:left="-60" w:right="-60"/>
                      <w:textAlignment w:val="baseline"/>
                      <w:rPr>
                        <w:color w:val="000000"/>
                        <w:sz w:val="18"/>
                        <w:szCs w:val="18"/>
                        <w:shd w:val="clear" w:color="auto" w:fill="FFFFFF"/>
                        <w:lang w:eastAsia="lt-LT"/>
                      </w:rPr>
                    </w:pPr>
                  </w:p>
                  <w:p>
                    <w:pPr>
                      <w:ind w:left="-60" w:right="-60"/>
                      <w:textAlignment w:val="baseline"/>
                      <w:rPr>
                        <w:sz w:val="18"/>
                        <w:szCs w:val="18"/>
                        <w:lang w:eastAsia="lt-LT"/>
                      </w:rPr>
                    </w:pPr>
                    <w:r>
                      <w:rPr>
                        <w:color w:val="000000"/>
                        <w:sz w:val="18"/>
                        <w:szCs w:val="18"/>
                        <w:shd w:val="clear" w:color="auto" w:fill="FFFFFF"/>
                        <w:lang w:eastAsia="lt-LT"/>
                      </w:rPr>
                      <w:t>P – Paramą gavusios įmonės (iš kurių: didelės)</w:t>
                    </w: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P – Nefinansinę paramą gavusios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Paramą gavusios naujos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Produktų ar procesų inovacijas diegiančios mažos ar vidutinės įmonės  </w:t>
                    </w:r>
                  </w:p>
                  <w:p>
                    <w:pPr>
                      <w:ind w:left="-60" w:right="-60" w:firstLine="48"/>
                      <w:textAlignment w:val="baseline"/>
                      <w:rPr>
                        <w:sz w:val="18"/>
                        <w:szCs w:val="18"/>
                        <w:lang w:eastAsia="lt-LT"/>
                      </w:rPr>
                    </w:pPr>
                  </w:p>
                  <w:p>
                    <w:pPr>
                      <w:ind w:left="-57" w:right="-57"/>
                      <w:rPr>
                        <w:sz w:val="18"/>
                        <w:szCs w:val="18"/>
                      </w:rPr>
                    </w:pPr>
                    <w:r>
                      <w:rPr>
                        <w:sz w:val="18"/>
                        <w:szCs w:val="18"/>
                      </w:rPr>
                      <w:t>R – Pateiktos patentų paraiškos </w:t>
                    </w:r>
                  </w:p>
                </w:tc>
                <w:tc>
                  <w:tcPr>
                    <w:tcW w:w="1134" w:type="dxa"/>
                  </w:tcPr>
                  <w:p>
                    <w:pPr>
                      <w:textAlignment w:val="baseline"/>
                      <w:rPr>
                        <w:sz w:val="18"/>
                        <w:szCs w:val="18"/>
                        <w:lang w:eastAsia="lt-LT"/>
                      </w:rPr>
                    </w:pPr>
                    <w:r>
                      <w:rPr>
                        <w:sz w:val="18"/>
                        <w:szCs w:val="18"/>
                        <w:lang w:eastAsia="lt-LT"/>
                      </w:rPr>
                      <w:t>120 (2029) </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120 (2029)</w:t>
                    </w: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textAlignment w:val="baseline"/>
                      <w:rPr>
                        <w:sz w:val="18"/>
                        <w:szCs w:val="18"/>
                        <w:lang w:eastAsia="lt-LT"/>
                      </w:rPr>
                    </w:pPr>
                    <w:r>
                      <w:rPr>
                        <w:sz w:val="18"/>
                        <w:szCs w:val="18"/>
                        <w:lang w:eastAsia="lt-LT"/>
                      </w:rPr>
                      <w:t>120 (2029)</w:t>
                    </w: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textAlignment w:val="baseline"/>
                      <w:rPr>
                        <w:sz w:val="18"/>
                        <w:szCs w:val="18"/>
                        <w:lang w:eastAsia="lt-LT"/>
                      </w:rPr>
                    </w:pPr>
                    <w:r>
                      <w:rPr>
                        <w:sz w:val="18"/>
                        <w:szCs w:val="18"/>
                        <w:lang w:eastAsia="lt-LT"/>
                      </w:rPr>
                      <w:t>47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ind w:left="-57" w:right="-57"/>
                      <w:rPr>
                        <w:sz w:val="18"/>
                        <w:szCs w:val="18"/>
                      </w:rPr>
                    </w:pPr>
                    <w:r>
                      <w:rPr>
                        <w:sz w:val="18"/>
                        <w:szCs w:val="18"/>
                      </w:rPr>
                      <w:t>8 (2029)</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1.6.2. Mokslo vadybos ir žinių komercinimo gebėjimų mokslo ir studijų institucijose stiprinimas (</w:t>
                    </w:r>
                    <w:r>
                      <w:rPr>
                        <w:i/>
                        <w:sz w:val="18"/>
                        <w:szCs w:val="18"/>
                      </w:rPr>
                      <w:t>spin-off</w:t>
                    </w:r>
                    <w:r>
                      <w:rPr>
                        <w:sz w:val="18"/>
                        <w:szCs w:val="18"/>
                      </w:rPr>
                      <w:t>) (VVL)</w:t>
                    </w:r>
                  </w:p>
                </w:tc>
                <w:tc>
                  <w:tcPr>
                    <w:tcW w:w="709" w:type="dxa"/>
                  </w:tcPr>
                  <w:p>
                    <w:pPr>
                      <w:ind w:left="-57" w:right="-57"/>
                      <w:rPr>
                        <w:sz w:val="20"/>
                      </w:rPr>
                    </w:pPr>
                    <w:r>
                      <w:rPr>
                        <w:sz w:val="18"/>
                        <w:szCs w:val="18"/>
                      </w:rPr>
                      <w:t>I</w:t>
                    </w:r>
                  </w:p>
                </w:tc>
                <w:tc>
                  <w:tcPr>
                    <w:tcW w:w="1275" w:type="dxa"/>
                  </w:tcPr>
                  <w:p>
                    <w:pPr>
                      <w:ind w:left="-57" w:right="-57"/>
                      <w:rPr>
                        <w:sz w:val="18"/>
                        <w:szCs w:val="18"/>
                      </w:rPr>
                    </w:pPr>
                    <w:r>
                      <w:rPr>
                        <w:sz w:val="18"/>
                        <w:szCs w:val="18"/>
                      </w:rPr>
                      <w:t>LMT, MSI, atžalinės įmonės</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11 934 </w:t>
                    </w:r>
                  </w:p>
                  <w:p>
                    <w:pPr>
                      <w:ind w:left="-57" w:right="-57"/>
                      <w:rPr>
                        <w:sz w:val="18"/>
                        <w:szCs w:val="18"/>
                      </w:rPr>
                    </w:pPr>
                  </w:p>
                  <w:p>
                    <w:pPr>
                      <w:ind w:left="-57" w:right="-57"/>
                      <w:rPr>
                        <w:sz w:val="18"/>
                        <w:szCs w:val="18"/>
                      </w:rPr>
                    </w:pPr>
                  </w:p>
                  <w:p>
                    <w:pPr>
                      <w:ind w:left="-57" w:right="-57"/>
                      <w:rPr>
                        <w:sz w:val="18"/>
                        <w:szCs w:val="18"/>
                      </w:rPr>
                    </w:pPr>
                    <w:r>
                      <w:rPr>
                        <w:sz w:val="18"/>
                        <w:szCs w:val="18"/>
                      </w:rPr>
                      <w:t>2 506</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color w:val="000000"/>
                        <w:sz w:val="18"/>
                        <w:szCs w:val="18"/>
                        <w:shd w:val="clear" w:color="auto" w:fill="FFFFFF"/>
                        <w:lang w:eastAsia="lt-LT"/>
                      </w:rPr>
                    </w:pPr>
                    <w:r>
                      <w:rPr>
                        <w:sz w:val="18"/>
                        <w:szCs w:val="18"/>
                        <w:lang w:eastAsia="lt-LT"/>
                      </w:rPr>
                      <w:t xml:space="preserve">P – Paramą gavusios įmonės </w:t>
                    </w:r>
                    <w:r>
                      <w:rPr>
                        <w:color w:val="000000"/>
                        <w:sz w:val="18"/>
                        <w:szCs w:val="18"/>
                        <w:shd w:val="clear" w:color="auto" w:fill="FFFFFF"/>
                        <w:lang w:eastAsia="lt-LT"/>
                      </w:rPr>
                      <w:t>(iš kurių: labai mažos, mažosios, vidutinės ir didelės)</w:t>
                    </w:r>
                  </w:p>
                  <w:p>
                    <w:pPr>
                      <w:ind w:left="-60" w:right="-60"/>
                      <w:textAlignment w:val="baseline"/>
                      <w:rPr>
                        <w:sz w:val="18"/>
                        <w:szCs w:val="18"/>
                        <w:lang w:eastAsia="lt-LT"/>
                      </w:rPr>
                    </w:pPr>
                  </w:p>
                  <w:p>
                    <w:pPr>
                      <w:ind w:left="-60" w:right="-60"/>
                      <w:textAlignment w:val="baseline"/>
                      <w:rPr>
                        <w:color w:val="000000"/>
                        <w:sz w:val="18"/>
                        <w:szCs w:val="18"/>
                        <w:shd w:val="clear" w:color="auto" w:fill="FFFFFF"/>
                        <w:lang w:eastAsia="lt-LT"/>
                      </w:rPr>
                    </w:pPr>
                    <w:r>
                      <w:rPr>
                        <w:sz w:val="18"/>
                        <w:szCs w:val="18"/>
                        <w:lang w:eastAsia="lt-LT"/>
                      </w:rPr>
                      <w:t xml:space="preserve">P – </w:t>
                    </w:r>
                    <w:r>
                      <w:rPr>
                        <w:color w:val="000000"/>
                        <w:sz w:val="18"/>
                        <w:szCs w:val="18"/>
                        <w:shd w:val="clear" w:color="auto" w:fill="FFFFFF"/>
                        <w:lang w:eastAsia="lt-LT"/>
                      </w:rPr>
                      <w:t>Paramą gavusios įmonės (iš kurių: labai mažos)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mažosios)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vidutinės)</w:t>
                    </w:r>
                  </w:p>
                  <w:p>
                    <w:pPr>
                      <w:ind w:left="-60" w:right="-60"/>
                      <w:textAlignment w:val="baseline"/>
                      <w:rPr>
                        <w:color w:val="000000"/>
                        <w:sz w:val="18"/>
                        <w:szCs w:val="18"/>
                        <w:shd w:val="clear" w:color="auto" w:fill="FFFFFF"/>
                        <w:lang w:eastAsia="lt-LT"/>
                      </w:rPr>
                    </w:pPr>
                  </w:p>
                  <w:p>
                    <w:pPr>
                      <w:ind w:left="-60" w:right="-60"/>
                      <w:textAlignment w:val="baseline"/>
                      <w:rPr>
                        <w:sz w:val="18"/>
                        <w:szCs w:val="18"/>
                        <w:lang w:eastAsia="lt-LT"/>
                      </w:rPr>
                    </w:pPr>
                    <w:r>
                      <w:rPr>
                        <w:color w:val="000000"/>
                        <w:sz w:val="18"/>
                        <w:szCs w:val="18"/>
                        <w:shd w:val="clear" w:color="auto" w:fill="FFFFFF"/>
                        <w:lang w:eastAsia="lt-LT"/>
                      </w:rPr>
                      <w:t>P – Paramą gavusios įmonės (iš kurių: didelės)</w:t>
                    </w: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P – Nefinansinę paramą gavusios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–Paramą gavusios naujos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Produktų ar procesų inovacijas diegiančios mažos ar vidutinės įmonės  </w:t>
                    </w:r>
                  </w:p>
                  <w:p>
                    <w:pPr>
                      <w:ind w:left="-60" w:right="-60" w:firstLine="48"/>
                      <w:textAlignment w:val="baseline"/>
                      <w:rPr>
                        <w:sz w:val="18"/>
                        <w:szCs w:val="18"/>
                        <w:lang w:eastAsia="lt-LT"/>
                      </w:rPr>
                    </w:pPr>
                  </w:p>
                  <w:p>
                    <w:pPr>
                      <w:ind w:left="-57" w:right="-57"/>
                      <w:rPr>
                        <w:sz w:val="18"/>
                        <w:szCs w:val="18"/>
                      </w:rPr>
                    </w:pPr>
                    <w:r>
                      <w:rPr>
                        <w:sz w:val="18"/>
                        <w:szCs w:val="18"/>
                      </w:rPr>
                      <w:t>R – Pateiktos patentų paraiškos </w:t>
                    </w:r>
                  </w:p>
                </w:tc>
                <w:tc>
                  <w:tcPr>
                    <w:tcW w:w="1134" w:type="dxa"/>
                  </w:tcPr>
                  <w:p>
                    <w:pPr>
                      <w:textAlignment w:val="baseline"/>
                      <w:rPr>
                        <w:sz w:val="18"/>
                        <w:szCs w:val="18"/>
                        <w:lang w:eastAsia="lt-LT"/>
                      </w:rPr>
                    </w:pPr>
                    <w:r>
                      <w:rPr>
                        <w:sz w:val="18"/>
                        <w:szCs w:val="18"/>
                        <w:lang w:eastAsia="lt-LT"/>
                      </w:rPr>
                      <w:t>50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50 (2029)</w:t>
                    </w: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textAlignment w:val="baseline"/>
                      <w:rPr>
                        <w:sz w:val="18"/>
                        <w:szCs w:val="18"/>
                        <w:lang w:eastAsia="lt-LT"/>
                      </w:rPr>
                    </w:pPr>
                    <w:r>
                      <w:rPr>
                        <w:sz w:val="18"/>
                        <w:szCs w:val="18"/>
                        <w:lang w:eastAsia="lt-LT"/>
                      </w:rPr>
                      <w:t>50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18 (2029)</w:t>
                    </w: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left="-57" w:right="-57"/>
                      <w:rPr>
                        <w:sz w:val="18"/>
                        <w:szCs w:val="18"/>
                      </w:rPr>
                    </w:pPr>
                  </w:p>
                  <w:p>
                    <w:pPr>
                      <w:ind w:left="-57" w:right="-57"/>
                      <w:rPr>
                        <w:sz w:val="18"/>
                        <w:szCs w:val="18"/>
                      </w:rPr>
                    </w:pPr>
                    <w:r>
                      <w:rPr>
                        <w:sz w:val="18"/>
                        <w:szCs w:val="18"/>
                      </w:rPr>
                      <w:t>3 (2029)</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highlight w:val="yellow"/>
                      </w:rPr>
                    </w:pPr>
                    <w:r>
                      <w:rPr>
                        <w:sz w:val="18"/>
                        <w:szCs w:val="18"/>
                      </w:rPr>
                      <w:t>1.6.3. Atžalinių įmonių mentorystė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 MSI, atžalinės įmonės</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w:t>
                    </w:r>
                  </w:p>
                </w:tc>
                <w:tc>
                  <w:tcPr>
                    <w:tcW w:w="850" w:type="dxa"/>
                  </w:tcPr>
                  <w:p>
                    <w:pPr>
                      <w:ind w:left="-57" w:right="-57"/>
                      <w:rPr>
                        <w:sz w:val="18"/>
                        <w:szCs w:val="18"/>
                      </w:rPr>
                    </w:pPr>
                    <w:r>
                      <w:rPr>
                        <w:sz w:val="18"/>
                        <w:szCs w:val="18"/>
                      </w:rPr>
                      <w:t>-</w:t>
                    </w:r>
                  </w:p>
                </w:tc>
                <w:tc>
                  <w:tcPr>
                    <w:tcW w:w="1276" w:type="dxa"/>
                  </w:tcPr>
                  <w:p>
                    <w:pPr>
                      <w:ind w:left="-60" w:right="-60"/>
                      <w:textAlignment w:val="baseline"/>
                      <w:rPr>
                        <w:sz w:val="18"/>
                        <w:szCs w:val="18"/>
                        <w:lang w:eastAsia="lt-LT"/>
                      </w:rPr>
                    </w:pPr>
                    <w:r>
                      <w:rPr>
                        <w:sz w:val="18"/>
                        <w:szCs w:val="18"/>
                        <w:lang w:eastAsia="lt-LT"/>
                      </w:rPr>
                      <w:t>-</w:t>
                    </w:r>
                  </w:p>
                </w:tc>
                <w:tc>
                  <w:tcPr>
                    <w:tcW w:w="1134" w:type="dxa"/>
                  </w:tcPr>
                  <w:p>
                    <w:pPr>
                      <w:textAlignment w:val="baseline"/>
                      <w:rPr>
                        <w:sz w:val="18"/>
                        <w:szCs w:val="18"/>
                        <w:lang w:eastAsia="lt-LT"/>
                      </w:rPr>
                    </w:pPr>
                    <w:r>
                      <w:rPr>
                        <w:sz w:val="18"/>
                        <w:szCs w:val="18"/>
                        <w:lang w:eastAsia="lt-LT"/>
                      </w:rPr>
                      <w:t>-</w:t>
                    </w:r>
                  </w:p>
                </w:tc>
                <w:tc>
                  <w:tcPr>
                    <w:tcW w:w="708" w:type="dxa"/>
                  </w:tcPr>
                  <w:p>
                    <w:pPr>
                      <w:ind w:left="-57" w:right="-57"/>
                      <w:rPr>
                        <w:sz w:val="18"/>
                        <w:szCs w:val="18"/>
                      </w:rPr>
                    </w:pPr>
                    <w:r>
                      <w:rPr>
                        <w:sz w:val="18"/>
                        <w:szCs w:val="18"/>
                      </w:rPr>
                      <w:t>LMT</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20"/>
                      </w:rPr>
                    </w:pPr>
                    <w:r>
                      <w:rPr>
                        <w:sz w:val="18"/>
                        <w:szCs w:val="18"/>
                      </w:rPr>
                      <w:t>2. Tarptautiškumo skatinimo paketas</w:t>
                    </w:r>
                  </w:p>
                </w:tc>
                <w:tc>
                  <w:tcPr>
                    <w:tcW w:w="709" w:type="dxa"/>
                  </w:tcPr>
                  <w:p>
                    <w:pPr>
                      <w:ind w:left="-57" w:right="-57"/>
                      <w:rPr>
                        <w:sz w:val="20"/>
                      </w:rPr>
                    </w:pPr>
                  </w:p>
                </w:tc>
                <w:tc>
                  <w:tcPr>
                    <w:tcW w:w="1275" w:type="dxa"/>
                  </w:tcPr>
                  <w:p>
                    <w:pPr>
                      <w:ind w:left="-57" w:right="-57"/>
                      <w:rPr>
                        <w:sz w:val="20"/>
                      </w:rPr>
                    </w:pPr>
                    <w:r>
                      <w:rPr>
                        <w:sz w:val="18"/>
                        <w:szCs w:val="18"/>
                      </w:rPr>
                      <w:t xml:space="preserve">LMT, MSI,  labai mažos, mažos, vidutinės įmonės (toliau – MVĮ) </w:t>
                    </w:r>
                  </w:p>
                </w:tc>
                <w:tc>
                  <w:tcPr>
                    <w:tcW w:w="851" w:type="dxa"/>
                  </w:tcPr>
                  <w:p>
                    <w:pPr>
                      <w:ind w:left="-57" w:right="-57" w:firstLine="48"/>
                      <w:rPr>
                        <w:sz w:val="18"/>
                        <w:szCs w:val="18"/>
                      </w:rPr>
                    </w:pPr>
                    <w:r>
                      <w:rPr>
                        <w:sz w:val="18"/>
                        <w:szCs w:val="18"/>
                      </w:rPr>
                      <w:t xml:space="preserve">T (2.1.1, 2.1.2, 2.1.6), </w:t>
                    </w:r>
                  </w:p>
                  <w:p>
                    <w:pPr>
                      <w:ind w:left="-57" w:right="-57"/>
                      <w:rPr>
                        <w:sz w:val="20"/>
                      </w:rPr>
                    </w:pPr>
                    <w:r>
                      <w:rPr>
                        <w:sz w:val="18"/>
                        <w:szCs w:val="18"/>
                      </w:rPr>
                      <w:t>P (2.1.3, 2.1.4, 2.1.5, 2.1.7, 2.2.1 ir 2.2.2), K (2.2.3)</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rPr>
                        <w:sz w:val="18"/>
                        <w:szCs w:val="18"/>
                      </w:rPr>
                    </w:pPr>
                    <w:r>
                      <w:rPr>
                        <w:sz w:val="18"/>
                        <w:szCs w:val="18"/>
                      </w:rPr>
                      <w:t>(suma 2.1 ir 2.2)</w:t>
                    </w:r>
                  </w:p>
                  <w:p>
                    <w:pPr>
                      <w:ind w:left="-57" w:right="-57"/>
                      <w:rPr>
                        <w:sz w:val="18"/>
                        <w:szCs w:val="18"/>
                      </w:rPr>
                    </w:pPr>
                  </w:p>
                  <w:p>
                    <w:pPr>
                      <w:ind w:left="-57" w:right="-57"/>
                      <w:rPr>
                        <w:sz w:val="18"/>
                        <w:szCs w:val="18"/>
                      </w:rPr>
                    </w:pPr>
                    <w:r>
                      <w:rPr>
                        <w:sz w:val="18"/>
                        <w:szCs w:val="18"/>
                      </w:rPr>
                      <w:t>69 689</w:t>
                    </w:r>
                  </w:p>
                  <w:p>
                    <w:pPr>
                      <w:ind w:left="-57" w:right="-57"/>
                      <w:rPr>
                        <w:sz w:val="18"/>
                        <w:szCs w:val="18"/>
                      </w:rPr>
                    </w:pPr>
                  </w:p>
                  <w:p>
                    <w:pPr>
                      <w:ind w:left="-57" w:right="-57"/>
                      <w:rPr>
                        <w:sz w:val="18"/>
                        <w:szCs w:val="18"/>
                      </w:rPr>
                    </w:pPr>
                  </w:p>
                  <w:p>
                    <w:pPr>
                      <w:ind w:left="-57" w:right="-57"/>
                      <w:rPr>
                        <w:sz w:val="18"/>
                        <w:szCs w:val="18"/>
                      </w:rPr>
                    </w:pPr>
                    <w:r>
                      <w:rPr>
                        <w:sz w:val="18"/>
                        <w:szCs w:val="18"/>
                      </w:rPr>
                      <w:t>40 000</w:t>
                    </w:r>
                  </w:p>
                  <w:p>
                    <w:pPr>
                      <w:ind w:left="-57" w:right="-57"/>
                      <w:rPr>
                        <w:sz w:val="18"/>
                        <w:szCs w:val="18"/>
                      </w:rPr>
                    </w:pPr>
                  </w:p>
                  <w:p>
                    <w:pPr>
                      <w:ind w:left="-57" w:right="-57"/>
                      <w:rPr>
                        <w:sz w:val="18"/>
                        <w:szCs w:val="18"/>
                      </w:rPr>
                    </w:pPr>
                    <w:r>
                      <w:rPr>
                        <w:sz w:val="18"/>
                        <w:szCs w:val="18"/>
                      </w:rPr>
                      <w:t>23 035</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Visi rodikliai iš 2.1 ir 2.2</w:t>
                    </w:r>
                  </w:p>
                  <w:p>
                    <w:pPr>
                      <w:ind w:left="-57" w:right="-57"/>
                      <w:rPr>
                        <w:sz w:val="18"/>
                        <w:szCs w:val="18"/>
                      </w:rPr>
                    </w:pPr>
                  </w:p>
                  <w:p>
                    <w:pPr>
                      <w:ind w:left="-57" w:right="-57"/>
                      <w:rPr>
                        <w:sz w:val="18"/>
                        <w:szCs w:val="18"/>
                      </w:rPr>
                    </w:pPr>
                  </w:p>
                  <w:p>
                    <w:pPr>
                      <w:ind w:left="-57" w:right="-57"/>
                      <w:rPr>
                        <w:sz w:val="20"/>
                      </w:rPr>
                    </w:pPr>
                    <w:r>
                      <w:rPr>
                        <w:sz w:val="18"/>
                        <w:szCs w:val="18"/>
                      </w:rPr>
                      <w:t>Lietuvos dalyvių pasirašytų dotacijos sutarčių skaičius programos „Europos horizontas“ finansuojamuose projektuose</w:t>
                    </w:r>
                  </w:p>
                </w:tc>
                <w:tc>
                  <w:tcPr>
                    <w:tcW w:w="1134" w:type="dxa"/>
                  </w:tcPr>
                  <w:p>
                    <w:pPr>
                      <w:ind w:left="-57" w:right="-57"/>
                      <w:rPr>
                        <w:sz w:val="18"/>
                        <w:szCs w:val="18"/>
                      </w:rPr>
                    </w:pPr>
                    <w:r>
                      <w:rPr>
                        <w:sz w:val="18"/>
                        <w:szCs w:val="18"/>
                      </w:rPr>
                      <w:t>Visos reikšmės iš 2.1 ir 2.2</w:t>
                    </w:r>
                  </w:p>
                  <w:p>
                    <w:pPr>
                      <w:ind w:left="-57" w:right="-57"/>
                      <w:rPr>
                        <w:sz w:val="18"/>
                        <w:szCs w:val="18"/>
                      </w:rPr>
                    </w:pPr>
                  </w:p>
                  <w:p>
                    <w:pPr>
                      <w:ind w:left="-57" w:right="-57"/>
                      <w:rPr>
                        <w:sz w:val="18"/>
                        <w:szCs w:val="18"/>
                      </w:rPr>
                    </w:pPr>
                    <w:r>
                      <w:rPr>
                        <w:sz w:val="18"/>
                        <w:szCs w:val="18"/>
                      </w:rPr>
                      <w:t>605 (2030)</w:t>
                    </w:r>
                  </w:p>
                  <w:p>
                    <w:pPr>
                      <w:ind w:left="-57" w:right="-57"/>
                      <w:rPr>
                        <w:sz w:val="20"/>
                      </w:rPr>
                    </w:pPr>
                  </w:p>
                </w:tc>
                <w:tc>
                  <w:tcPr>
                    <w:tcW w:w="708" w:type="dxa"/>
                  </w:tcPr>
                  <w:p>
                    <w:pPr>
                      <w:ind w:left="-57" w:right="-57"/>
                      <w:rPr>
                        <w:sz w:val="20"/>
                      </w:rPr>
                    </w:pPr>
                  </w:p>
                </w:tc>
                <w:tc>
                  <w:tcPr>
                    <w:tcW w:w="568" w:type="dxa"/>
                  </w:tcPr>
                  <w:p>
                    <w:pPr>
                      <w:ind w:left="-57" w:right="-57"/>
                      <w:rPr>
                        <w:sz w:val="20"/>
                      </w:rPr>
                    </w:pPr>
                  </w:p>
                </w:tc>
              </w:tr>
              <w:tr>
                <w:trPr>
                  <w:trHeight w:val="233"/>
                </w:trPr>
                <w:tc>
                  <w:tcPr>
                    <w:tcW w:w="1135" w:type="dxa"/>
                  </w:tcPr>
                  <w:p>
                    <w:pPr>
                      <w:ind w:left="-57" w:right="-57"/>
                      <w:rPr>
                        <w:sz w:val="20"/>
                      </w:rPr>
                    </w:pPr>
                    <w:r>
                      <w:rPr>
                        <w:sz w:val="18"/>
                        <w:szCs w:val="18"/>
                      </w:rPr>
                      <w:t>2.1. Programos „Europos horizontas“ akceleravimas</w:t>
                    </w:r>
                  </w:p>
                </w:tc>
                <w:tc>
                  <w:tcPr>
                    <w:tcW w:w="709" w:type="dxa"/>
                  </w:tcPr>
                  <w:p>
                    <w:pPr>
                      <w:ind w:left="-57" w:right="-57"/>
                      <w:rPr>
                        <w:sz w:val="20"/>
                      </w:rPr>
                    </w:pPr>
                    <w:r>
                      <w:rPr>
                        <w:sz w:val="18"/>
                        <w:szCs w:val="18"/>
                      </w:rPr>
                      <w:t>I</w:t>
                    </w:r>
                  </w:p>
                </w:tc>
                <w:tc>
                  <w:tcPr>
                    <w:tcW w:w="1275" w:type="dxa"/>
                  </w:tcPr>
                  <w:p>
                    <w:pPr>
                      <w:ind w:left="-57" w:right="-57"/>
                      <w:rPr>
                        <w:sz w:val="18"/>
                        <w:szCs w:val="18"/>
                      </w:rPr>
                    </w:pPr>
                    <w:r>
                      <w:rPr>
                        <w:sz w:val="18"/>
                        <w:szCs w:val="18"/>
                      </w:rPr>
                      <w:t>LMT (2.1.3, 2.1.4, 2.1.5 ir 2.1.7),</w:t>
                    </w:r>
                  </w:p>
                  <w:p>
                    <w:pPr>
                      <w:ind w:left="-57" w:right="-57"/>
                      <w:rPr>
                        <w:sz w:val="20"/>
                      </w:rPr>
                    </w:pPr>
                    <w:r>
                      <w:rPr>
                        <w:sz w:val="18"/>
                        <w:szCs w:val="18"/>
                      </w:rPr>
                      <w:t xml:space="preserve">MSI (2.1.1, </w:t>
                    </w:r>
                    <w:r>
                      <w:rPr>
                        <w:sz w:val="18"/>
                        <w:szCs w:val="18"/>
                        <w:lang w:eastAsia="lt-LT"/>
                      </w:rPr>
                      <w:t xml:space="preserve">2.1.2, 2.1.6 ), </w:t>
                    </w:r>
                    <w:r>
                      <w:rPr>
                        <w:sz w:val="18"/>
                        <w:szCs w:val="18"/>
                      </w:rPr>
                      <w:t>MVĮ (2.1.2)</w:t>
                    </w:r>
                  </w:p>
                </w:tc>
                <w:tc>
                  <w:tcPr>
                    <w:tcW w:w="851" w:type="dxa"/>
                  </w:tcPr>
                  <w:p>
                    <w:pPr>
                      <w:ind w:left="-57" w:right="-57"/>
                      <w:rPr>
                        <w:sz w:val="18"/>
                        <w:szCs w:val="18"/>
                      </w:rPr>
                    </w:pPr>
                    <w:r>
                      <w:rPr>
                        <w:sz w:val="18"/>
                        <w:szCs w:val="18"/>
                      </w:rPr>
                      <w:t xml:space="preserve">T (2.1.1, 2.1.2,. 2.1.6), </w:t>
                    </w:r>
                  </w:p>
                  <w:p>
                    <w:pPr>
                      <w:ind w:left="-57" w:right="-57"/>
                      <w:rPr>
                        <w:sz w:val="20"/>
                      </w:rPr>
                    </w:pPr>
                    <w:r>
                      <w:rPr>
                        <w:sz w:val="18"/>
                        <w:szCs w:val="18"/>
                      </w:rPr>
                      <w:t>P (2.1.3, 2.1.4, 2.1.5, 2.1.7,)</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2.1.1, 2.1.2, 2.1.3, 2.1.4, 2.1.5, 2.1.6 ir 2.1.7)</w:t>
                    </w:r>
                  </w:p>
                  <w:p>
                    <w:pPr>
                      <w:ind w:left="-57" w:right="-57"/>
                      <w:rPr>
                        <w:sz w:val="18"/>
                        <w:szCs w:val="18"/>
                      </w:rPr>
                    </w:pPr>
                  </w:p>
                  <w:p>
                    <w:pPr>
                      <w:ind w:left="-57" w:right="-57"/>
                      <w:rPr>
                        <w:sz w:val="18"/>
                        <w:szCs w:val="18"/>
                      </w:rPr>
                    </w:pPr>
                  </w:p>
                  <w:p>
                    <w:pPr>
                      <w:ind w:left="-57" w:right="-57"/>
                      <w:rPr>
                        <w:sz w:val="18"/>
                        <w:szCs w:val="18"/>
                      </w:rPr>
                    </w:pPr>
                    <w:r>
                      <w:rPr>
                        <w:sz w:val="18"/>
                        <w:szCs w:val="18"/>
                      </w:rPr>
                      <w:t>40 000</w:t>
                    </w:r>
                  </w:p>
                  <w:p>
                    <w:pPr>
                      <w:ind w:left="-57" w:right="-57"/>
                      <w:rPr>
                        <w:sz w:val="18"/>
                        <w:szCs w:val="18"/>
                      </w:rPr>
                    </w:pPr>
                  </w:p>
                  <w:p>
                    <w:pPr>
                      <w:ind w:left="-57" w:right="-57"/>
                      <w:rPr>
                        <w:sz w:val="18"/>
                        <w:szCs w:val="18"/>
                      </w:rPr>
                    </w:pPr>
                    <w:r>
                      <w:rPr>
                        <w:sz w:val="18"/>
                        <w:szCs w:val="18"/>
                      </w:rPr>
                      <w:t>8 400</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Visi rodikliai iš 2.1.1, 2.1.2, 2.1.3, 2.1.4, 2.1.5, 2.1.6 ir 2.1.7</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 xml:space="preserve">P – Programos „Europos horizontas“ įgyvendinimo spartinimo veiksmų plano rengimas ir priėmimas </w:t>
                    </w:r>
                  </w:p>
                  <w:p>
                    <w:pPr>
                      <w:ind w:left="-57" w:right="-57"/>
                      <w:rPr>
                        <w:sz w:val="20"/>
                      </w:rPr>
                    </w:pPr>
                  </w:p>
                </w:tc>
                <w:tc>
                  <w:tcPr>
                    <w:tcW w:w="1134" w:type="dxa"/>
                  </w:tcPr>
                  <w:p>
                    <w:pPr>
                      <w:ind w:left="-57" w:right="-57"/>
                      <w:rPr>
                        <w:sz w:val="18"/>
                        <w:szCs w:val="18"/>
                      </w:rPr>
                    </w:pPr>
                    <w:r>
                      <w:rPr>
                        <w:sz w:val="18"/>
                        <w:szCs w:val="18"/>
                      </w:rPr>
                      <w:t>Visos reikšmės iš 2.1.1, 2.1.2, 2.1.3, 2.1.4, 2.1.5, 2.1.6 ir 2.1.7</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1 (2022 m. II ketv.)</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20"/>
                      </w:rPr>
                    </w:pP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EIM</w:t>
                    </w:r>
                  </w:p>
                </w:tc>
              </w:tr>
              <w:tr>
                <w:trPr>
                  <w:trHeight w:val="233"/>
                </w:trPr>
                <w:tc>
                  <w:tcPr>
                    <w:tcW w:w="1135" w:type="dxa"/>
                  </w:tcPr>
                  <w:p>
                    <w:pPr>
                      <w:ind w:left="-57" w:right="-57"/>
                      <w:rPr>
                        <w:sz w:val="18"/>
                        <w:szCs w:val="18"/>
                      </w:rPr>
                    </w:pPr>
                    <w:r>
                      <w:rPr>
                        <w:sz w:val="18"/>
                        <w:szCs w:val="18"/>
                      </w:rPr>
                      <w:t xml:space="preserve">2.1.1. Parama Lietuvos dalyvavimui tarptautiniuose Europos Sąjungos koordinavimo iniciatyvų projektuose kofinansuoti </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T</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4 000</w:t>
                    </w:r>
                  </w:p>
                  <w:p>
                    <w:pPr>
                      <w:ind w:left="-62" w:right="-62"/>
                      <w:textAlignment w:val="baseline"/>
                      <w:rPr>
                        <w:sz w:val="18"/>
                        <w:szCs w:val="18"/>
                        <w:lang w:eastAsia="lt-LT"/>
                      </w:rPr>
                    </w:pPr>
                  </w:p>
                  <w:p>
                    <w:pPr>
                      <w:ind w:left="-57" w:right="-57"/>
                      <w:rPr>
                        <w:sz w:val="18"/>
                        <w:szCs w:val="18"/>
                      </w:rPr>
                    </w:pPr>
                    <w:r>
                      <w:rPr>
                        <w:sz w:val="18"/>
                        <w:szCs w:val="18"/>
                        <w:lang w:eastAsia="lt-LT"/>
                      </w:rPr>
                      <w:t>840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 xml:space="preserve">P – Finansuoti projektai ir konsultavimo paslaugos mokslo ir studijų institucijų ir mažų ir vidutinių įmonių potencialiems  programos „Europos horizontas“ pareiškėjams</w:t>
                    </w:r>
                  </w:p>
                  <w:p>
                    <w:pPr>
                      <w:ind w:left="-57" w:right="-57"/>
                      <w:rPr>
                        <w:color w:val="000000"/>
                        <w:sz w:val="18"/>
                        <w:szCs w:val="18"/>
                        <w:shd w:val="clear" w:color="auto" w:fill="FFFFFF"/>
                      </w:rPr>
                    </w:pPr>
                  </w:p>
                  <w:p>
                    <w:pPr>
                      <w:ind w:left="-57" w:right="-57"/>
                      <w:rPr>
                        <w:sz w:val="18"/>
                        <w:szCs w:val="18"/>
                      </w:rPr>
                    </w:pPr>
                    <w:r>
                      <w:rPr>
                        <w:sz w:val="18"/>
                        <w:szCs w:val="18"/>
                      </w:rPr>
                      <w:t>P – Paramą gavusiose mokslinių tyrimų įstaigose dirbantys mokslininkai</w:t>
                    </w:r>
                  </w:p>
                </w:tc>
                <w:tc>
                  <w:tcPr>
                    <w:tcW w:w="1134" w:type="dxa"/>
                  </w:tcPr>
                  <w:p>
                    <w:pPr>
                      <w:ind w:left="-62" w:right="-62"/>
                      <w:textAlignment w:val="baseline"/>
                      <w:rPr>
                        <w:sz w:val="18"/>
                        <w:szCs w:val="18"/>
                        <w:lang w:eastAsia="lt-LT"/>
                      </w:rPr>
                    </w:pPr>
                    <w:r>
                      <w:rPr>
                        <w:sz w:val="18"/>
                        <w:szCs w:val="18"/>
                        <w:lang w:eastAsia="lt-LT"/>
                      </w:rPr>
                      <w:t>24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57" w:right="-57"/>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2.1.2.</w:t>
                    </w:r>
                    <w:r>
                      <w:rPr>
                        <w:szCs w:val="24"/>
                      </w:rPr>
                      <w:t xml:space="preserve"> </w:t>
                    </w:r>
                    <w:r>
                      <w:rPr>
                        <w:sz w:val="18"/>
                        <w:szCs w:val="18"/>
                      </w:rPr>
                      <w:t xml:space="preserve">Parama mokslo ir MVĮ projektams, gavusiems Europos Komisijos kokybės ženklą, ir Marie Skłodowskos-Curie veiklos, Europos mokslo tarybos, Pažangos sklaidos ir mokslinių tyrimų erdvės teigiamai įvertintiems, tačiau dėl lėšų trūkumo negavusiems Europos Komisijos finansavimo projektams </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 MVĮ</w:t>
                    </w:r>
                  </w:p>
                </w:tc>
                <w:tc>
                  <w:tcPr>
                    <w:tcW w:w="851" w:type="dxa"/>
                  </w:tcPr>
                  <w:p>
                    <w:pPr>
                      <w:ind w:left="-57" w:right="-57"/>
                      <w:rPr>
                        <w:sz w:val="18"/>
                        <w:szCs w:val="18"/>
                      </w:rPr>
                    </w:pPr>
                    <w:r>
                      <w:rPr>
                        <w:sz w:val="18"/>
                        <w:szCs w:val="18"/>
                      </w:rPr>
                      <w:t>T</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19 500</w:t>
                    </w:r>
                  </w:p>
                  <w:p>
                    <w:pPr>
                      <w:ind w:left="-62" w:right="-62"/>
                      <w:textAlignment w:val="baseline"/>
                      <w:rPr>
                        <w:sz w:val="18"/>
                        <w:szCs w:val="18"/>
                        <w:lang w:eastAsia="lt-LT"/>
                      </w:rPr>
                    </w:pPr>
                  </w:p>
                  <w:p>
                    <w:pPr>
                      <w:ind w:left="-57" w:right="-57"/>
                      <w:rPr>
                        <w:sz w:val="18"/>
                        <w:szCs w:val="18"/>
                      </w:rPr>
                    </w:pPr>
                    <w:r>
                      <w:rPr>
                        <w:sz w:val="18"/>
                        <w:szCs w:val="18"/>
                        <w:lang w:eastAsia="lt-LT"/>
                      </w:rPr>
                      <w:t>4 095</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rPr>
                        <w:color w:val="000000"/>
                        <w:sz w:val="18"/>
                        <w:szCs w:val="18"/>
                        <w:shd w:val="clear" w:color="auto" w:fill="FFFFFF"/>
                      </w:rPr>
                    </w:pPr>
                    <w:r>
                      <w:rPr>
                        <w:sz w:val="18"/>
                        <w:szCs w:val="18"/>
                      </w:rPr>
                      <w:t>P-</w:t>
                    </w:r>
                    <w:r>
                      <w:rPr>
                        <w:color w:val="000000"/>
                        <w:sz w:val="18"/>
                        <w:szCs w:val="18"/>
                        <w:shd w:val="clear" w:color="auto" w:fill="FFFFFF"/>
                      </w:rPr>
                      <w:t xml:space="preserve"> Finansuoti projektai ir konsultavimo paslaugos mokslo ir studijų institucijų ir mažų ir vidutinių įmonių potencialiems  programos „Europos horizontas“ pareiškėjams</w:t>
                    </w:r>
                  </w:p>
                  <w:p>
                    <w:pPr>
                      <w:ind w:left="-57" w:right="-57"/>
                      <w:rPr>
                        <w:color w:val="000000"/>
                        <w:sz w:val="18"/>
                        <w:szCs w:val="18"/>
                        <w:shd w:val="clear" w:color="auto" w:fill="FFFFFF"/>
                      </w:rPr>
                    </w:pPr>
                  </w:p>
                  <w:p>
                    <w:pPr>
                      <w:ind w:left="-57" w:right="-57"/>
                      <w:rPr>
                        <w:color w:val="000000"/>
                        <w:sz w:val="18"/>
                        <w:szCs w:val="18"/>
                        <w:shd w:val="clear" w:color="auto" w:fill="FFFFFF"/>
                      </w:rPr>
                    </w:pPr>
                  </w:p>
                  <w:p>
                    <w:pPr>
                      <w:ind w:left="-57" w:right="-57"/>
                      <w:rPr>
                        <w:iCs/>
                        <w:sz w:val="18"/>
                        <w:szCs w:val="18"/>
                      </w:rPr>
                    </w:pPr>
                    <w:r>
                      <w:rPr>
                        <w:color w:val="000000"/>
                        <w:sz w:val="18"/>
                        <w:szCs w:val="18"/>
                        <w:shd w:val="clear" w:color="auto" w:fill="FFFFFF"/>
                      </w:rPr>
                      <w:t>P –</w:t>
                    </w:r>
                    <w:r>
                      <w:rPr>
                        <w:iCs/>
                        <w:sz w:val="18"/>
                        <w:szCs w:val="18"/>
                      </w:rPr>
                      <w:t xml:space="preserve"> Paramą gavusiose mokslinių tyrimų įstaigose dirbantys mokslininkai</w:t>
                    </w:r>
                  </w:p>
                  <w:p>
                    <w:pPr>
                      <w:ind w:left="-57" w:right="-57"/>
                      <w:rPr>
                        <w:sz w:val="18"/>
                        <w:szCs w:val="18"/>
                      </w:rPr>
                    </w:pPr>
                  </w:p>
                  <w:p>
                    <w:pPr>
                      <w:ind w:left="-57" w:right="-57"/>
                      <w:rPr>
                        <w:sz w:val="18"/>
                        <w:szCs w:val="18"/>
                      </w:rPr>
                    </w:pPr>
                    <w:r>
                      <w:rPr>
                        <w:sz w:val="18"/>
                        <w:szCs w:val="18"/>
                      </w:rPr>
                      <w:t>Paramą gavusios įmonės</w:t>
                    </w:r>
                  </w:p>
                  <w:p>
                    <w:pPr>
                      <w:ind w:left="-57" w:right="-57"/>
                      <w:rPr>
                        <w:sz w:val="18"/>
                        <w:szCs w:val="18"/>
                      </w:rPr>
                    </w:pPr>
                  </w:p>
                  <w:p>
                    <w:pPr>
                      <w:ind w:left="-57" w:right="-57"/>
                      <w:rPr>
                        <w:sz w:val="18"/>
                        <w:szCs w:val="18"/>
                      </w:rPr>
                    </w:pPr>
                    <w:r>
                      <w:rPr>
                        <w:sz w:val="18"/>
                        <w:szCs w:val="18"/>
                      </w:rPr>
                      <w:t>Paramą gavusios įmonės iš jų: mažos ir labai mažos</w:t>
                    </w:r>
                  </w:p>
                  <w:p>
                    <w:pPr>
                      <w:ind w:left="-57" w:right="-57"/>
                      <w:rPr>
                        <w:sz w:val="18"/>
                        <w:szCs w:val="18"/>
                      </w:rPr>
                    </w:pPr>
                  </w:p>
                  <w:p>
                    <w:pPr>
                      <w:ind w:left="-57" w:right="-57"/>
                      <w:rPr>
                        <w:sz w:val="18"/>
                        <w:szCs w:val="18"/>
                      </w:rPr>
                    </w:pPr>
                    <w:r>
                      <w:rPr>
                        <w:sz w:val="18"/>
                        <w:szCs w:val="18"/>
                      </w:rPr>
                      <w:t>Paramą gavusios įmonės iš jų: vidutinės</w:t>
                    </w:r>
                  </w:p>
                  <w:p>
                    <w:pPr>
                      <w:ind w:left="-57" w:right="-57"/>
                      <w:rPr>
                        <w:sz w:val="18"/>
                        <w:szCs w:val="18"/>
                      </w:rPr>
                    </w:pPr>
                  </w:p>
                  <w:p>
                    <w:pPr>
                      <w:ind w:left="-57" w:right="-57"/>
                      <w:rPr>
                        <w:sz w:val="18"/>
                        <w:szCs w:val="18"/>
                      </w:rPr>
                    </w:pPr>
                  </w:p>
                </w:tc>
                <w:tc>
                  <w:tcPr>
                    <w:tcW w:w="1134" w:type="dxa"/>
                  </w:tcPr>
                  <w:p>
                    <w:pPr>
                      <w:ind w:left="-62" w:right="-62"/>
                      <w:textAlignment w:val="baseline"/>
                      <w:rPr>
                        <w:sz w:val="18"/>
                        <w:szCs w:val="18"/>
                        <w:lang w:eastAsia="lt-LT"/>
                      </w:rPr>
                    </w:pPr>
                    <w:r>
                      <w:rPr>
                        <w:sz w:val="18"/>
                        <w:szCs w:val="18"/>
                        <w:lang w:eastAsia="lt-LT"/>
                      </w:rPr>
                      <w:t>24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18"/>
                        <w:szCs w:val="18"/>
                      </w:rPr>
                    </w:pPr>
                    <w:r>
                      <w:rPr>
                        <w:sz w:val="18"/>
                        <w:szCs w:val="18"/>
                      </w:rPr>
                      <w:t>2.1.3. ES mokslinių tyrimų ir inovacijų programos „Europos horizontas“ nacionalinių kontaktinių asmenų tinklo plėtra ir veiklos stiprinimas,</w:t>
                    </w:r>
                  </w:p>
                  <w:p>
                    <w:pPr>
                      <w:ind w:left="-57" w:right="-57"/>
                      <w:rPr>
                        <w:sz w:val="18"/>
                        <w:szCs w:val="18"/>
                      </w:rPr>
                    </w:pPr>
                    <w:r>
                      <w:rPr>
                        <w:sz w:val="18"/>
                        <w:szCs w:val="18"/>
                      </w:rPr>
                      <w:t>Mokslo ir inovacijų patarėjų tinklo Vyriausybės institucijose sukūrimas ir įveiklinimas (projektų finansavimo sąlygų aprašas pateikiamas 1 priede)</w:t>
                    </w:r>
                  </w:p>
                </w:tc>
                <w:tc>
                  <w:tcPr>
                    <w:tcW w:w="709" w:type="dxa"/>
                  </w:tcPr>
                  <w:p>
                    <w:pPr>
                      <w:ind w:left="-57" w:right="-57"/>
                      <w:rPr>
                        <w:b/>
                        <w:bCs/>
                        <w:sz w:val="18"/>
                        <w:szCs w:val="18"/>
                      </w:rPr>
                    </w:pPr>
                    <w:r>
                      <w:rPr>
                        <w:b/>
                        <w:bCs/>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5 000</w:t>
                    </w:r>
                  </w:p>
                  <w:p>
                    <w:pPr>
                      <w:ind w:left="-62" w:right="-62"/>
                      <w:textAlignment w:val="baseline"/>
                      <w:rPr>
                        <w:sz w:val="18"/>
                        <w:szCs w:val="18"/>
                        <w:lang w:eastAsia="lt-LT"/>
                      </w:rPr>
                    </w:pPr>
                  </w:p>
                  <w:p>
                    <w:pPr>
                      <w:ind w:left="-57" w:right="-57"/>
                      <w:rPr>
                        <w:sz w:val="18"/>
                        <w:szCs w:val="18"/>
                      </w:rPr>
                    </w:pPr>
                    <w:r>
                      <w:rPr>
                        <w:sz w:val="18"/>
                        <w:szCs w:val="18"/>
                        <w:lang w:eastAsia="lt-LT"/>
                      </w:rPr>
                      <w:t>1 050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P – Sukurtas mokslo ir inovacijų srities pareigūnų veiklos modelis</w:t>
                    </w:r>
                  </w:p>
                  <w:p>
                    <w:pPr>
                      <w:ind w:left="-57" w:right="-57"/>
                      <w:rPr>
                        <w:sz w:val="18"/>
                        <w:szCs w:val="18"/>
                      </w:rPr>
                    </w:pPr>
                  </w:p>
                  <w:p>
                    <w:pPr>
                      <w:ind w:left="-57" w:right="-57"/>
                      <w:rPr>
                        <w:sz w:val="18"/>
                        <w:szCs w:val="18"/>
                      </w:rPr>
                    </w:pPr>
                    <w:r>
                      <w:rPr>
                        <w:sz w:val="18"/>
                        <w:szCs w:val="18"/>
                      </w:rPr>
                      <w:t>P –</w:t>
                    </w:r>
                    <w:r>
                      <w:rPr>
                        <w:szCs w:val="24"/>
                      </w:rPr>
                      <w:t xml:space="preserve"> </w:t>
                    </w:r>
                    <w:r>
                      <w:rPr>
                        <w:sz w:val="18"/>
                        <w:szCs w:val="18"/>
                      </w:rPr>
                      <w:t>Įsteigtos mokslo pareigūnų ir nacionalinių kontaktinių asmenų (NCP) pareigybės</w:t>
                    </w:r>
                  </w:p>
                </w:tc>
                <w:tc>
                  <w:tcPr>
                    <w:tcW w:w="1134" w:type="dxa"/>
                  </w:tcPr>
                  <w:p>
                    <w:pPr>
                      <w:ind w:left="-57" w:right="-57"/>
                      <w:rPr>
                        <w:sz w:val="18"/>
                        <w:szCs w:val="18"/>
                      </w:rPr>
                    </w:pPr>
                    <w:r>
                      <w:rPr>
                        <w:sz w:val="18"/>
                        <w:szCs w:val="18"/>
                      </w:rPr>
                      <w:t>1 (2022 m. II ketv.)</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 xml:space="preserve">30 </w:t>
                    </w:r>
                    <w:r>
                      <w:rPr>
                        <w:sz w:val="18"/>
                        <w:szCs w:val="18"/>
                        <w:lang w:eastAsia="lt-LT"/>
                      </w:rPr>
                      <w:t xml:space="preserve">(2026 m. II ketv.) </w:t>
                    </w:r>
                    <w:r>
                      <w:rPr>
                        <w:sz w:val="18"/>
                        <w:szCs w:val="18"/>
                      </w:rPr>
                      <w:t>(15 mokslo ir inovacijų pareigūnų / patarėjų pozicijų ir 15 NCP pareigybių)</w:t>
                    </w: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 xml:space="preserve">2.1.4. Parama identifikuotiems startiniams MTEP projektams ir galimybių studijoms su institucijų kelrodžiais sėkmingam dalyvavimui Europos Sąjungos mokslinių tyrimų ir inovacijų programos „Europos horizontas“ kvietimuose skatinti </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rPr>
                    </w:pPr>
                    <w:r>
                      <w:rPr>
                        <w:sz w:val="18"/>
                        <w:szCs w:val="18"/>
                      </w:rPr>
                      <w:t>2 500</w:t>
                    </w:r>
                  </w:p>
                  <w:p>
                    <w:pPr>
                      <w:ind w:left="-62" w:right="-62"/>
                      <w:textAlignment w:val="baseline"/>
                      <w:rPr>
                        <w:sz w:val="18"/>
                        <w:szCs w:val="18"/>
                      </w:rPr>
                    </w:pPr>
                  </w:p>
                  <w:p>
                    <w:pPr>
                      <w:ind w:left="-57" w:right="-57"/>
                      <w:rPr>
                        <w:sz w:val="18"/>
                        <w:szCs w:val="18"/>
                      </w:rPr>
                    </w:pPr>
                    <w:r>
                      <w:rPr>
                        <w:sz w:val="18"/>
                        <w:szCs w:val="18"/>
                      </w:rPr>
                      <w:t>525</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 xml:space="preserve">P – Finansuoti projektai ir konsultavimo paslaugos mokslo ir studijų institucijų ir mažų ir vidutinių įmonių potencialiems  programos „Europos horizontas“ pareiškėjams</w:t>
                    </w:r>
                  </w:p>
                  <w:p>
                    <w:pPr>
                      <w:ind w:left="-57" w:right="-57"/>
                      <w:rPr>
                        <w:color w:val="000000"/>
                        <w:sz w:val="18"/>
                        <w:szCs w:val="18"/>
                        <w:shd w:val="clear" w:color="auto" w:fill="FFFFFF"/>
                      </w:rPr>
                    </w:pPr>
                  </w:p>
                  <w:p>
                    <w:pPr>
                      <w:ind w:left="-57" w:right="-57"/>
                      <w:rPr>
                        <w:color w:val="000000"/>
                        <w:sz w:val="18"/>
                        <w:szCs w:val="18"/>
                        <w:shd w:val="clear" w:color="auto" w:fill="FFFFFF"/>
                      </w:rPr>
                    </w:pPr>
                  </w:p>
                  <w:p>
                    <w:pPr>
                      <w:ind w:left="-57" w:right="-57"/>
                      <w:rPr>
                        <w:sz w:val="18"/>
                        <w:szCs w:val="18"/>
                      </w:rPr>
                    </w:pPr>
                    <w:r>
                      <w:rPr>
                        <w:sz w:val="18"/>
                        <w:szCs w:val="18"/>
                      </w:rPr>
                      <w:t>P – Paramą gavusiose mokslinių tyrimų įstaigose dirbantys mokslininkai</w:t>
                    </w:r>
                  </w:p>
                  <w:p>
                    <w:pPr>
                      <w:ind w:left="-57" w:right="-57"/>
                      <w:rPr>
                        <w:sz w:val="18"/>
                        <w:szCs w:val="18"/>
                      </w:rPr>
                    </w:pPr>
                  </w:p>
                  <w:p>
                    <w:pPr>
                      <w:ind w:left="-57" w:right="-57"/>
                      <w:rPr>
                        <w:sz w:val="18"/>
                        <w:szCs w:val="18"/>
                      </w:rPr>
                    </w:pPr>
                    <w:r>
                      <w:rPr>
                        <w:sz w:val="18"/>
                        <w:szCs w:val="18"/>
                      </w:rPr>
                      <w:t>P – Paramą gavusios įmonės</w:t>
                    </w:r>
                  </w:p>
                  <w:p>
                    <w:pPr>
                      <w:ind w:left="-57" w:right="-57"/>
                      <w:rPr>
                        <w:sz w:val="18"/>
                        <w:szCs w:val="18"/>
                      </w:rPr>
                    </w:pPr>
                  </w:p>
                  <w:p>
                    <w:pPr>
                      <w:ind w:left="-57" w:right="-57"/>
                      <w:rPr>
                        <w:sz w:val="18"/>
                        <w:szCs w:val="18"/>
                      </w:rPr>
                    </w:pPr>
                    <w:r>
                      <w:rPr>
                        <w:sz w:val="18"/>
                        <w:szCs w:val="18"/>
                      </w:rPr>
                      <w:t>P – Paramą gavusios įmonės iš jų: mažos ir labai mažos</w:t>
                    </w:r>
                  </w:p>
                  <w:p>
                    <w:pPr>
                      <w:ind w:left="-57" w:right="-57"/>
                      <w:rPr>
                        <w:sz w:val="18"/>
                        <w:szCs w:val="18"/>
                      </w:rPr>
                    </w:pPr>
                  </w:p>
                  <w:p>
                    <w:pPr>
                      <w:ind w:left="-57" w:right="-57"/>
                      <w:rPr>
                        <w:sz w:val="18"/>
                        <w:szCs w:val="18"/>
                      </w:rPr>
                    </w:pPr>
                    <w:r>
                      <w:rPr>
                        <w:sz w:val="18"/>
                        <w:szCs w:val="18"/>
                      </w:rPr>
                      <w:t>P – Paramą gavusios įmonės iš jų: vidutinės</w:t>
                    </w:r>
                  </w:p>
                  <w:p>
                    <w:pPr>
                      <w:ind w:left="-57" w:right="-57"/>
                      <w:rPr>
                        <w:sz w:val="18"/>
                        <w:szCs w:val="18"/>
                      </w:rPr>
                    </w:pPr>
                  </w:p>
                  <w:p>
                    <w:pPr>
                      <w:ind w:left="-57" w:right="-57"/>
                      <w:rPr>
                        <w:sz w:val="18"/>
                        <w:szCs w:val="18"/>
                      </w:rPr>
                    </w:pPr>
                  </w:p>
                </w:tc>
                <w:tc>
                  <w:tcPr>
                    <w:tcW w:w="1134" w:type="dxa"/>
                  </w:tcPr>
                  <w:p>
                    <w:pPr>
                      <w:ind w:left="-62" w:right="-62"/>
                      <w:textAlignment w:val="baseline"/>
                      <w:rPr>
                        <w:sz w:val="18"/>
                        <w:szCs w:val="18"/>
                        <w:lang w:eastAsia="lt-LT"/>
                      </w:rPr>
                    </w:pPr>
                    <w:r>
                      <w:rPr>
                        <w:sz w:val="18"/>
                        <w:szCs w:val="18"/>
                        <w:lang w:eastAsia="lt-LT"/>
                      </w:rPr>
                      <w:t>90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18"/>
                        <w:szCs w:val="18"/>
                      </w:rPr>
                    </w:pPr>
                    <w:r>
                      <w:rPr>
                        <w:sz w:val="18"/>
                        <w:szCs w:val="18"/>
                      </w:rPr>
                      <w:t>2.1.5.</w:t>
                    </w:r>
                    <w:r>
                      <w:rPr>
                        <w:szCs w:val="24"/>
                      </w:rPr>
                      <w:t xml:space="preserve"> </w:t>
                    </w:r>
                    <w:r>
                      <w:rPr>
                        <w:sz w:val="18"/>
                        <w:szCs w:val="18"/>
                      </w:rPr>
                      <w:t xml:space="preserve">Parama mokslo, asocijuotų verslo struktūrų narystei ir veiklai tarptautiniuose tinkluose, generuojančiuose iniciatyvas ir ES mokslinių tyrimų ir inovacijų programos „Europos horizontas“ tematikas </w:t>
                    </w:r>
                  </w:p>
                </w:tc>
                <w:tc>
                  <w:tcPr>
                    <w:tcW w:w="709" w:type="dxa"/>
                  </w:tcPr>
                  <w:p>
                    <w:pPr>
                      <w:ind w:left="-57" w:right="-57"/>
                      <w:rPr>
                        <w:b/>
                        <w:bCs/>
                        <w:sz w:val="18"/>
                        <w:szCs w:val="18"/>
                      </w:rPr>
                    </w:pPr>
                    <w:r>
                      <w:rPr>
                        <w:b/>
                        <w:bCs/>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3 000</w:t>
                    </w:r>
                  </w:p>
                  <w:p>
                    <w:pPr>
                      <w:ind w:left="-62" w:right="-62"/>
                      <w:textAlignment w:val="baseline"/>
                      <w:rPr>
                        <w:sz w:val="18"/>
                        <w:szCs w:val="18"/>
                        <w:lang w:eastAsia="lt-LT"/>
                      </w:rPr>
                    </w:pPr>
                  </w:p>
                  <w:p>
                    <w:pPr>
                      <w:ind w:left="-57" w:right="-57"/>
                      <w:rPr>
                        <w:sz w:val="18"/>
                        <w:szCs w:val="18"/>
                      </w:rPr>
                    </w:pPr>
                    <w:r>
                      <w:rPr>
                        <w:sz w:val="18"/>
                        <w:szCs w:val="18"/>
                        <w:lang w:eastAsia="lt-LT"/>
                      </w:rPr>
                      <w:t>630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rPr>
                        <w:iCs/>
                        <w:sz w:val="18"/>
                        <w:szCs w:val="18"/>
                      </w:rPr>
                    </w:pPr>
                    <w:r>
                      <w:rPr>
                        <w:sz w:val="18"/>
                        <w:szCs w:val="18"/>
                      </w:rPr>
                      <w:t>P –</w:t>
                    </w:r>
                    <w:r>
                      <w:rPr>
                        <w:iCs/>
                        <w:szCs w:val="24"/>
                      </w:rPr>
                      <w:t xml:space="preserve"> </w:t>
                    </w:r>
                    <w:r>
                      <w:rPr>
                        <w:iCs/>
                        <w:sz w:val="18"/>
                        <w:szCs w:val="18"/>
                      </w:rPr>
                      <w:t xml:space="preserve">Finansuoti projektai ir konsultavimo paslaugos mokslo ir studijų institucijų ir mažų ir vidutinių įmonių potencialiems  programos „Europos horizontas“ pareiškėjams</w:t>
                    </w:r>
                  </w:p>
                  <w:p>
                    <w:pPr>
                      <w:ind w:left="-57" w:right="-57"/>
                      <w:rPr>
                        <w:iCs/>
                        <w:sz w:val="18"/>
                        <w:szCs w:val="18"/>
                      </w:rPr>
                    </w:pPr>
                  </w:p>
                  <w:p>
                    <w:pPr>
                      <w:ind w:left="-57" w:right="-57"/>
                      <w:rPr>
                        <w:sz w:val="18"/>
                        <w:szCs w:val="18"/>
                      </w:rPr>
                    </w:pPr>
                    <w:r>
                      <w:rPr>
                        <w:iCs/>
                        <w:sz w:val="18"/>
                        <w:szCs w:val="18"/>
                      </w:rPr>
                      <w:t>Paramą gavusiose mokslinių tyrimų įstaigose dirbantys mokslininkai</w:t>
                    </w:r>
                  </w:p>
                </w:tc>
                <w:tc>
                  <w:tcPr>
                    <w:tcW w:w="1134" w:type="dxa"/>
                  </w:tcPr>
                  <w:p>
                    <w:pPr>
                      <w:ind w:left="-62" w:right="-62"/>
                      <w:textAlignment w:val="baseline"/>
                      <w:rPr>
                        <w:sz w:val="18"/>
                        <w:szCs w:val="18"/>
                        <w:lang w:eastAsia="lt-LT"/>
                      </w:rPr>
                    </w:pPr>
                    <w:r>
                      <w:rPr>
                        <w:sz w:val="18"/>
                        <w:szCs w:val="18"/>
                        <w:lang w:eastAsia="lt-LT"/>
                      </w:rPr>
                      <w:t>40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57" w:right="-57"/>
                      <w:rPr>
                        <w:sz w:val="18"/>
                        <w:szCs w:val="18"/>
                      </w:rPr>
                    </w:pPr>
                    <w:r>
                      <w:rPr>
                        <w:sz w:val="18"/>
                        <w:szCs w:val="18"/>
                        <w:lang w:eastAsia="lt-LT"/>
                      </w:rPr>
                      <w:t>n / a</w:t>
                    </w: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18"/>
                        <w:szCs w:val="18"/>
                      </w:rPr>
                    </w:pPr>
                    <w:r>
                      <w:rPr>
                        <w:sz w:val="18"/>
                        <w:szCs w:val="18"/>
                      </w:rPr>
                      <w:t xml:space="preserve">2.1.6. </w:t>
                    </w:r>
                    <w:r>
                      <w:rPr>
                        <w:sz w:val="18"/>
                        <w:szCs w:val="24"/>
                      </w:rPr>
                      <w:t>Parama veikloms, skirtoms Europos mokslinių tyrimų erdvės prioritetams įgyvendinti, siekiant institucinių pokyčių (</w:t>
                    </w:r>
                    <w:r>
                      <w:rPr>
                        <w:sz w:val="18"/>
                        <w:szCs w:val="18"/>
                      </w:rPr>
                      <w:t xml:space="preserve">projektų finansavimo sąlygų aprašas pateikiamas </w:t>
                    </w:r>
                    <w:r>
                      <w:rPr>
                        <w:sz w:val="18"/>
                        <w:szCs w:val="24"/>
                      </w:rPr>
                      <w:t>2 priede)</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T</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2 000</w:t>
                    </w:r>
                  </w:p>
                  <w:p>
                    <w:pPr>
                      <w:ind w:left="-62" w:right="-62"/>
                      <w:textAlignment w:val="baseline"/>
                      <w:rPr>
                        <w:sz w:val="18"/>
                        <w:szCs w:val="18"/>
                        <w:lang w:eastAsia="lt-LT"/>
                      </w:rPr>
                    </w:pPr>
                  </w:p>
                  <w:p>
                    <w:pPr>
                      <w:ind w:left="-57" w:right="-57"/>
                      <w:rPr>
                        <w:sz w:val="18"/>
                        <w:szCs w:val="18"/>
                      </w:rPr>
                    </w:pPr>
                    <w:r>
                      <w:rPr>
                        <w:sz w:val="18"/>
                        <w:szCs w:val="18"/>
                        <w:lang w:eastAsia="lt-LT"/>
                      </w:rPr>
                      <w:t>420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rPr>
                        <w:sz w:val="18"/>
                        <w:szCs w:val="18"/>
                      </w:rPr>
                    </w:pPr>
                    <w:r>
                      <w:rPr>
                        <w:sz w:val="18"/>
                        <w:szCs w:val="18"/>
                      </w:rPr>
                      <w:t xml:space="preserve">P – Finansuoti projektai ir konsultavimo paslaugos mokslo ir studijų institucijų ir mažų ir vidutinių įmonių potencialiems  programos „Europos horizontas“ pareiškėjams</w:t>
                    </w:r>
                  </w:p>
                  <w:p>
                    <w:pPr>
                      <w:ind w:left="-57" w:right="-57"/>
                      <w:rPr>
                        <w:sz w:val="18"/>
                        <w:szCs w:val="18"/>
                      </w:rPr>
                    </w:pPr>
                  </w:p>
                  <w:p>
                    <w:pPr>
                      <w:ind w:left="-57" w:right="-57"/>
                      <w:rPr>
                        <w:sz w:val="18"/>
                        <w:szCs w:val="18"/>
                      </w:rPr>
                    </w:pPr>
                  </w:p>
                  <w:p>
                    <w:pPr>
                      <w:ind w:left="-57" w:right="-57"/>
                      <w:rPr>
                        <w:sz w:val="18"/>
                        <w:szCs w:val="18"/>
                      </w:rPr>
                    </w:pPr>
                    <w:r>
                      <w:rPr>
                        <w:sz w:val="18"/>
                        <w:szCs w:val="18"/>
                      </w:rPr>
                      <w:t>Paramą gavusiose mokslinių tyrimų įstaigose dirbantys mokslininkai</w:t>
                    </w:r>
                  </w:p>
                </w:tc>
                <w:tc>
                  <w:tcPr>
                    <w:tcW w:w="1134" w:type="dxa"/>
                  </w:tcPr>
                  <w:p>
                    <w:pPr>
                      <w:ind w:left="-62" w:right="-62"/>
                      <w:textAlignment w:val="baseline"/>
                      <w:rPr>
                        <w:sz w:val="18"/>
                        <w:szCs w:val="18"/>
                        <w:lang w:eastAsia="lt-LT"/>
                      </w:rPr>
                    </w:pPr>
                    <w:r>
                      <w:rPr>
                        <w:sz w:val="18"/>
                        <w:szCs w:val="18"/>
                        <w:lang w:eastAsia="lt-LT"/>
                      </w:rPr>
                      <w:t>32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57" w:right="-57"/>
                      <w:rPr>
                        <w:sz w:val="18"/>
                        <w:szCs w:val="18"/>
                      </w:rPr>
                    </w:pPr>
                    <w:r>
                      <w:rPr>
                        <w:sz w:val="18"/>
                        <w:szCs w:val="18"/>
                        <w:lang w:eastAsia="lt-LT"/>
                      </w:rPr>
                      <w:t>n / a</w:t>
                    </w: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2.1.7. Parama mokslo ir verslo kompetencijų stiprinimui rengti tarptautines projektų paraiškas MTEPI veikloms finansuoti</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4 000</w:t>
                    </w:r>
                  </w:p>
                  <w:p>
                    <w:pPr>
                      <w:ind w:left="-57" w:right="-57"/>
                      <w:rPr>
                        <w:sz w:val="18"/>
                        <w:szCs w:val="18"/>
                      </w:rPr>
                    </w:pPr>
                  </w:p>
                  <w:p>
                    <w:pPr>
                      <w:ind w:left="-57" w:right="-57"/>
                      <w:rPr>
                        <w:sz w:val="18"/>
                        <w:szCs w:val="18"/>
                      </w:rPr>
                    </w:pPr>
                    <w:r>
                      <w:rPr>
                        <w:sz w:val="18"/>
                        <w:szCs w:val="18"/>
                      </w:rPr>
                      <w:t>840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 xml:space="preserve">P –Finansuoti projektai ir konsultavimo paslaugos mokslo ir studijų institucijų ir mažų ir vidutinių įmonių potencialiems programos „Europos horizontas“ pareiškėjams </w:t>
                    </w:r>
                  </w:p>
                  <w:p>
                    <w:pPr>
                      <w:ind w:left="-57" w:right="-57"/>
                      <w:rPr>
                        <w:sz w:val="18"/>
                        <w:szCs w:val="18"/>
                      </w:rPr>
                    </w:pPr>
                  </w:p>
                  <w:p>
                    <w:pPr>
                      <w:ind w:left="-57" w:right="-57"/>
                      <w:rPr>
                        <w:sz w:val="18"/>
                        <w:szCs w:val="18"/>
                      </w:rPr>
                    </w:pPr>
                    <w:r>
                      <w:rPr>
                        <w:sz w:val="18"/>
                        <w:szCs w:val="18"/>
                      </w:rPr>
                      <w:t>Paramą gavusiose mokslinių tyrimų įstaigose dirbantys mokslininkai</w:t>
                    </w:r>
                  </w:p>
                  <w:p>
                    <w:pPr>
                      <w:ind w:left="-57" w:right="-57"/>
                      <w:rPr>
                        <w:sz w:val="18"/>
                        <w:szCs w:val="18"/>
                      </w:rPr>
                    </w:pPr>
                  </w:p>
                  <w:p>
                    <w:pPr>
                      <w:ind w:left="-57" w:right="-57"/>
                      <w:rPr>
                        <w:sz w:val="18"/>
                        <w:szCs w:val="18"/>
                      </w:rPr>
                    </w:pPr>
                    <w:r>
                      <w:rPr>
                        <w:sz w:val="18"/>
                        <w:szCs w:val="18"/>
                      </w:rPr>
                      <w:t>P – Paramą gavusios įmonės</w:t>
                    </w:r>
                  </w:p>
                  <w:p>
                    <w:pPr>
                      <w:ind w:left="-57" w:right="-57"/>
                      <w:rPr>
                        <w:sz w:val="18"/>
                        <w:szCs w:val="18"/>
                      </w:rPr>
                    </w:pPr>
                  </w:p>
                  <w:p>
                    <w:pPr>
                      <w:ind w:left="-57" w:right="-57"/>
                      <w:rPr>
                        <w:sz w:val="18"/>
                        <w:szCs w:val="18"/>
                      </w:rPr>
                    </w:pPr>
                    <w:r>
                      <w:rPr>
                        <w:sz w:val="18"/>
                        <w:szCs w:val="18"/>
                      </w:rPr>
                      <w:t>P – Paramą gavusios įmonės iš jų: mažos ir labai mažos</w:t>
                    </w:r>
                  </w:p>
                  <w:p>
                    <w:pPr>
                      <w:ind w:left="-57" w:right="-57"/>
                      <w:rPr>
                        <w:sz w:val="18"/>
                        <w:szCs w:val="18"/>
                      </w:rPr>
                    </w:pPr>
                  </w:p>
                  <w:p>
                    <w:pPr>
                      <w:ind w:left="-57" w:right="-57"/>
                      <w:rPr>
                        <w:sz w:val="18"/>
                        <w:szCs w:val="18"/>
                      </w:rPr>
                    </w:pPr>
                    <w:r>
                      <w:rPr>
                        <w:sz w:val="18"/>
                        <w:szCs w:val="18"/>
                      </w:rPr>
                      <w:t>P – Paramą gavusios įmonės iš jų: vidutinės</w:t>
                    </w:r>
                  </w:p>
                  <w:p>
                    <w:pPr>
                      <w:ind w:left="-57" w:right="-57"/>
                      <w:rPr>
                        <w:sz w:val="18"/>
                        <w:szCs w:val="18"/>
                      </w:rPr>
                    </w:pPr>
                  </w:p>
                  <w:p>
                    <w:pPr>
                      <w:ind w:left="-57" w:right="-57"/>
                      <w:rPr>
                        <w:sz w:val="18"/>
                        <w:szCs w:val="18"/>
                      </w:rPr>
                    </w:pPr>
                    <w:r>
                      <w:rPr>
                        <w:sz w:val="18"/>
                        <w:szCs w:val="18"/>
                      </w:rPr>
                      <w:t>P – Paramą gavusios įmonės iš jų: didelės</w:t>
                    </w:r>
                  </w:p>
                </w:tc>
                <w:tc>
                  <w:tcPr>
                    <w:tcW w:w="1134" w:type="dxa"/>
                  </w:tcPr>
                  <w:p>
                    <w:pPr>
                      <w:ind w:left="-57" w:right="-57"/>
                      <w:rPr>
                        <w:sz w:val="18"/>
                        <w:szCs w:val="18"/>
                      </w:rPr>
                    </w:pPr>
                    <w:r>
                      <w:rPr>
                        <w:sz w:val="18"/>
                        <w:szCs w:val="18"/>
                      </w:rPr>
                      <w:t xml:space="preserve">267 </w:t>
                    </w:r>
                    <w:r>
                      <w:rPr>
                        <w:sz w:val="18"/>
                        <w:szCs w:val="18"/>
                        <w:lang w:eastAsia="lt-LT"/>
                      </w:rPr>
                      <w:t>(2026 m. II ketv.)</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right="-57"/>
                      <w:rPr>
                        <w:sz w:val="18"/>
                        <w:szCs w:val="18"/>
                        <w:lang w:eastAsia="lt-LT"/>
                      </w:rPr>
                    </w:pPr>
                  </w:p>
                  <w:p>
                    <w:pPr>
                      <w:ind w:right="-57"/>
                      <w:rPr>
                        <w:sz w:val="18"/>
                        <w:szCs w:val="18"/>
                        <w:lang w:eastAsia="lt-LT"/>
                      </w:rPr>
                    </w:pPr>
                  </w:p>
                  <w:p>
                    <w:pPr>
                      <w:ind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rPr>
                    </w:pPr>
                    <w:r>
                      <w:rPr>
                        <w:sz w:val="18"/>
                        <w:szCs w:val="18"/>
                        <w:lang w:eastAsia="lt-LT"/>
                      </w:rPr>
                      <w:t>n / a</w:t>
                    </w:r>
                  </w:p>
                  <w:p>
                    <w:pPr>
                      <w:ind w:left="-57" w:right="-57"/>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20"/>
                      </w:rPr>
                    </w:pPr>
                    <w:r>
                      <w:rPr>
                        <w:sz w:val="18"/>
                        <w:szCs w:val="18"/>
                      </w:rPr>
                      <w:t>2.2. Didinti mokslo tarptautiškumo lygį</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 MSI</w:t>
                    </w:r>
                  </w:p>
                </w:tc>
                <w:tc>
                  <w:tcPr>
                    <w:tcW w:w="851" w:type="dxa"/>
                  </w:tcPr>
                  <w:p>
                    <w:pPr>
                      <w:ind w:left="-57" w:right="-57"/>
                      <w:rPr>
                        <w:sz w:val="20"/>
                      </w:rPr>
                    </w:pPr>
                    <w:r>
                      <w:rPr>
                        <w:sz w:val="18"/>
                        <w:szCs w:val="18"/>
                      </w:rPr>
                      <w:t>P(2.2.1, 2.2.2), K(2.2.3)</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2.2.1, 2.2.2 ir 2.2.3)</w:t>
                    </w:r>
                  </w:p>
                  <w:p>
                    <w:pPr>
                      <w:ind w:left="-57" w:right="-57"/>
                      <w:rPr>
                        <w:sz w:val="18"/>
                        <w:szCs w:val="18"/>
                      </w:rPr>
                    </w:pPr>
                  </w:p>
                  <w:p>
                    <w:pPr>
                      <w:ind w:left="-57" w:right="-57"/>
                      <w:rPr>
                        <w:sz w:val="18"/>
                        <w:szCs w:val="18"/>
                      </w:rPr>
                    </w:pPr>
                  </w:p>
                  <w:p>
                    <w:pPr>
                      <w:ind w:left="-57" w:right="-57"/>
                      <w:rPr>
                        <w:sz w:val="18"/>
                        <w:szCs w:val="18"/>
                      </w:rPr>
                    </w:pPr>
                    <w:r>
                      <w:rPr>
                        <w:sz w:val="18"/>
                        <w:szCs w:val="18"/>
                      </w:rPr>
                      <w:t>69 689</w:t>
                    </w:r>
                  </w:p>
                  <w:p>
                    <w:pPr>
                      <w:ind w:left="-57" w:right="-57"/>
                      <w:rPr>
                        <w:sz w:val="18"/>
                        <w:szCs w:val="18"/>
                      </w:rPr>
                    </w:pPr>
                  </w:p>
                  <w:p>
                    <w:pPr>
                      <w:ind w:left="-57" w:right="-57"/>
                      <w:rPr>
                        <w:sz w:val="18"/>
                        <w:szCs w:val="18"/>
                      </w:rPr>
                    </w:pPr>
                    <w:r>
                      <w:rPr>
                        <w:sz w:val="18"/>
                        <w:szCs w:val="18"/>
                      </w:rPr>
                      <w:t>14 635</w:t>
                    </w:r>
                  </w:p>
                  <w:p>
                    <w:pPr>
                      <w:ind w:left="-57" w:right="-57"/>
                      <w:rPr>
                        <w:sz w:val="18"/>
                        <w:szCs w:val="18"/>
                      </w:rPr>
                    </w:pP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Visi rodikliai iš 2.2.1, 2.2.2 ir 2.2.3</w:t>
                    </w:r>
                  </w:p>
                  <w:p>
                    <w:pPr>
                      <w:ind w:left="-57" w:right="-57"/>
                      <w:rPr>
                        <w:sz w:val="18"/>
                        <w:szCs w:val="18"/>
                      </w:rPr>
                    </w:pPr>
                  </w:p>
                  <w:p>
                    <w:pPr>
                      <w:ind w:left="-57" w:right="-57" w:firstLine="48"/>
                      <w:rPr>
                        <w:sz w:val="20"/>
                      </w:rPr>
                    </w:pPr>
                  </w:p>
                </w:tc>
                <w:tc>
                  <w:tcPr>
                    <w:tcW w:w="1134" w:type="dxa"/>
                  </w:tcPr>
                  <w:p>
                    <w:pPr>
                      <w:ind w:left="-62" w:right="-62"/>
                      <w:textAlignment w:val="baseline"/>
                      <w:rPr>
                        <w:sz w:val="20"/>
                        <w:szCs w:val="24"/>
                        <w:lang w:eastAsia="lt-LT"/>
                      </w:rPr>
                    </w:pPr>
                    <w:r>
                      <w:rPr>
                        <w:sz w:val="18"/>
                        <w:szCs w:val="18"/>
                        <w:lang w:eastAsia="lt-LT"/>
                      </w:rPr>
                      <w:t>Visos reikšmės iš 2.2.1, 2.2.2 ir 2.2.3</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2.2.1. Didinti mokslo tarptautiškumo lygį (Sostinė)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52 424 </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r>
                      <w:rPr>
                        <w:sz w:val="18"/>
                        <w:szCs w:val="18"/>
                        <w:lang w:eastAsia="lt-LT"/>
                      </w:rPr>
                      <w:t>11 009 </w:t>
                    </w:r>
                  </w:p>
                </w:tc>
                <w:tc>
                  <w:tcPr>
                    <w:tcW w:w="850" w:type="dxa"/>
                  </w:tcPr>
                  <w:p>
                    <w:pPr>
                      <w:ind w:left="-60" w:right="-60"/>
                      <w:textAlignment w:val="baseline"/>
                      <w:rPr>
                        <w:sz w:val="18"/>
                        <w:szCs w:val="18"/>
                        <w:lang w:eastAsia="lt-LT"/>
                      </w:rPr>
                    </w:pPr>
                    <w:r>
                      <w:rPr>
                        <w:sz w:val="18"/>
                        <w:szCs w:val="18"/>
                        <w:lang w:eastAsia="lt-LT"/>
                      </w:rPr>
                      <w:t>2021–2027 IP </w:t>
                    </w:r>
                  </w:p>
                  <w:p>
                    <w:pPr>
                      <w:ind w:left="-60" w:right="-60"/>
                      <w:textAlignment w:val="baseline"/>
                      <w:rPr>
                        <w:sz w:val="18"/>
                        <w:szCs w:val="18"/>
                        <w:lang w:eastAsia="lt-LT"/>
                      </w:rPr>
                    </w:pPr>
                  </w:p>
                  <w:p>
                    <w:pPr>
                      <w:ind w:left="-57" w:right="-57"/>
                      <w:rPr>
                        <w:sz w:val="18"/>
                        <w:szCs w:val="18"/>
                      </w:rPr>
                    </w:pPr>
                    <w:r>
                      <w:rPr>
                        <w:sz w:val="18"/>
                        <w:szCs w:val="18"/>
                      </w:rPr>
                      <w:t>VB </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MTEP veiklos produktas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tc>
                <w:tc>
                  <w:tcPr>
                    <w:tcW w:w="1134" w:type="dxa"/>
                  </w:tcPr>
                  <w:p>
                    <w:pPr>
                      <w:ind w:left="-60" w:right="-60"/>
                      <w:textAlignment w:val="baseline"/>
                      <w:rPr>
                        <w:sz w:val="18"/>
                        <w:szCs w:val="18"/>
                        <w:lang w:eastAsia="lt-LT"/>
                      </w:rPr>
                    </w:pPr>
                    <w:r>
                      <w:rPr>
                        <w:sz w:val="18"/>
                        <w:szCs w:val="18"/>
                        <w:lang w:eastAsia="lt-LT"/>
                      </w:rPr>
                      <w:t>225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10 484 730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18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28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57" w:right="-57"/>
                      <w:rPr>
                        <w:sz w:val="18"/>
                        <w:szCs w:val="18"/>
                      </w:rPr>
                    </w:pPr>
                    <w:r>
                      <w:rPr>
                        <w:sz w:val="18"/>
                        <w:szCs w:val="18"/>
                      </w:rPr>
                      <w:t>275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2.2.2. Didinti mokslo tarptautiškumo lygį (VVL)</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17 265 </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r>
                      <w:rPr>
                        <w:sz w:val="18"/>
                        <w:szCs w:val="18"/>
                        <w:lang w:eastAsia="lt-LT"/>
                      </w:rPr>
                      <w:t>3 626 </w:t>
                    </w:r>
                  </w:p>
                </w:tc>
                <w:tc>
                  <w:tcPr>
                    <w:tcW w:w="850" w:type="dxa"/>
                  </w:tcPr>
                  <w:p>
                    <w:pPr>
                      <w:ind w:left="-60" w:right="-60"/>
                      <w:textAlignment w:val="baseline"/>
                      <w:rPr>
                        <w:sz w:val="18"/>
                        <w:szCs w:val="18"/>
                        <w:lang w:eastAsia="lt-LT"/>
                      </w:rPr>
                    </w:pPr>
                    <w:r>
                      <w:rPr>
                        <w:sz w:val="18"/>
                        <w:szCs w:val="18"/>
                        <w:lang w:eastAsia="lt-LT"/>
                      </w:rPr>
                      <w:t>2021–2027 IP </w:t>
                    </w:r>
                  </w:p>
                  <w:p>
                    <w:pPr>
                      <w:ind w:left="-57" w:right="-57" w:firstLine="48"/>
                      <w:rPr>
                        <w:sz w:val="18"/>
                        <w:szCs w:val="18"/>
                      </w:rPr>
                    </w:pPr>
                  </w:p>
                  <w:p>
                    <w:pPr>
                      <w:ind w:left="-57" w:right="-57"/>
                      <w:rPr>
                        <w:sz w:val="18"/>
                        <w:szCs w:val="18"/>
                      </w:rPr>
                    </w:pPr>
                    <w:r>
                      <w:rPr>
                        <w:sz w:val="18"/>
                        <w:szCs w:val="18"/>
                      </w:rPr>
                      <w:t>VB</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MTEP veiklos produktas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tc>
                <w:tc>
                  <w:tcPr>
                    <w:tcW w:w="1134" w:type="dxa"/>
                  </w:tcPr>
                  <w:p>
                    <w:pPr>
                      <w:ind w:left="-60" w:right="-60"/>
                      <w:textAlignment w:val="baseline"/>
                      <w:rPr>
                        <w:sz w:val="18"/>
                        <w:szCs w:val="18"/>
                        <w:lang w:eastAsia="lt-LT"/>
                      </w:rPr>
                    </w:pPr>
                    <w:r>
                      <w:rPr>
                        <w:sz w:val="18"/>
                        <w:szCs w:val="18"/>
                        <w:lang w:eastAsia="lt-LT"/>
                      </w:rPr>
                      <w:t>300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3 453 080 </w:t>
                    </w:r>
                  </w:p>
                  <w:p>
                    <w:pPr>
                      <w:ind w:left="-60" w:right="-60"/>
                      <w:textAlignment w:val="baseline"/>
                      <w:rPr>
                        <w:sz w:val="18"/>
                        <w:szCs w:val="18"/>
                        <w:lang w:eastAsia="lt-LT"/>
                      </w:rPr>
                    </w:pPr>
                    <w:r>
                      <w:rPr>
                        <w:sz w:val="18"/>
                        <w:szCs w:val="18"/>
                        <w:lang w:eastAsia="lt-LT"/>
                      </w:rPr>
                      <w:t>(2029)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5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8 (2029)</w:t>
                    </w:r>
                  </w:p>
                  <w:p>
                    <w:pPr>
                      <w:ind w:left="-60" w:right="-60" w:firstLine="48"/>
                      <w:textAlignment w:val="baseline"/>
                      <w:rPr>
                        <w:sz w:val="18"/>
                        <w:szCs w:val="18"/>
                        <w:lang w:eastAsia="lt-LT"/>
                      </w:rPr>
                    </w:pPr>
                  </w:p>
                  <w:p>
                    <w:pPr>
                      <w:ind w:left="-57" w:right="-57"/>
                      <w:rPr>
                        <w:sz w:val="18"/>
                        <w:szCs w:val="18"/>
                      </w:rPr>
                    </w:pPr>
                  </w:p>
                  <w:p>
                    <w:pPr>
                      <w:ind w:left="-57" w:right="-57"/>
                      <w:rPr>
                        <w:sz w:val="18"/>
                        <w:szCs w:val="18"/>
                      </w:rPr>
                    </w:pPr>
                  </w:p>
                  <w:p>
                    <w:pPr>
                      <w:ind w:left="-57" w:right="-57"/>
                      <w:rPr>
                        <w:sz w:val="18"/>
                        <w:szCs w:val="18"/>
                      </w:rPr>
                    </w:pPr>
                    <w:r>
                      <w:rPr>
                        <w:sz w:val="18"/>
                        <w:szCs w:val="18"/>
                      </w:rPr>
                      <w:t>100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highlight w:val="yellow"/>
                      </w:rPr>
                    </w:pPr>
                    <w:r>
                      <w:rPr>
                        <w:sz w:val="18"/>
                        <w:szCs w:val="18"/>
                      </w:rPr>
                      <w:t>2.2.3. Tarptautiniai MTEP projektai</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w:t>
                    </w:r>
                  </w:p>
                </w:tc>
                <w:tc>
                  <w:tcPr>
                    <w:tcW w:w="850" w:type="dxa"/>
                  </w:tcPr>
                  <w:p>
                    <w:pPr>
                      <w:ind w:left="-60" w:right="-60"/>
                      <w:textAlignment w:val="baseline"/>
                      <w:rPr>
                        <w:sz w:val="18"/>
                        <w:szCs w:val="18"/>
                        <w:lang w:eastAsia="lt-LT"/>
                      </w:rPr>
                    </w:pPr>
                    <w:r>
                      <w:rPr>
                        <w:sz w:val="18"/>
                        <w:szCs w:val="18"/>
                        <w:lang w:eastAsia="lt-LT"/>
                      </w:rPr>
                      <w:t>-</w:t>
                    </w:r>
                  </w:p>
                </w:tc>
                <w:tc>
                  <w:tcPr>
                    <w:tcW w:w="1276" w:type="dxa"/>
                  </w:tcPr>
                  <w:p>
                    <w:pPr>
                      <w:ind w:left="-60" w:right="-60"/>
                      <w:textAlignment w:val="baseline"/>
                      <w:rPr>
                        <w:sz w:val="18"/>
                        <w:szCs w:val="18"/>
                        <w:lang w:eastAsia="lt-LT"/>
                      </w:rPr>
                    </w:pPr>
                    <w:r>
                      <w:rPr>
                        <w:sz w:val="18"/>
                        <w:szCs w:val="18"/>
                        <w:lang w:eastAsia="lt-LT"/>
                      </w:rPr>
                      <w:t>-</w:t>
                    </w:r>
                  </w:p>
                </w:tc>
                <w:tc>
                  <w:tcPr>
                    <w:tcW w:w="1134" w:type="dxa"/>
                  </w:tcPr>
                  <w:p>
                    <w:pPr>
                      <w:ind w:left="-60" w:right="-60"/>
                      <w:textAlignment w:val="baseline"/>
                      <w:rPr>
                        <w:sz w:val="18"/>
                        <w:szCs w:val="18"/>
                        <w:lang w:eastAsia="lt-LT"/>
                      </w:rPr>
                    </w:pPr>
                    <w:r>
                      <w:rPr>
                        <w:sz w:val="18"/>
                        <w:szCs w:val="18"/>
                        <w:lang w:eastAsia="lt-LT"/>
                      </w:rPr>
                      <w:t>-</w:t>
                    </w:r>
                  </w:p>
                </w:tc>
                <w:tc>
                  <w:tcPr>
                    <w:tcW w:w="708" w:type="dxa"/>
                  </w:tcPr>
                  <w:p>
                    <w:pPr>
                      <w:ind w:left="-57" w:right="-57"/>
                      <w:rPr>
                        <w:sz w:val="18"/>
                        <w:szCs w:val="18"/>
                      </w:rPr>
                    </w:pPr>
                    <w:r>
                      <w:rPr>
                        <w:sz w:val="18"/>
                        <w:szCs w:val="18"/>
                      </w:rPr>
                      <w:t>LMT</w:t>
                    </w:r>
                  </w:p>
                </w:tc>
                <w:tc>
                  <w:tcPr>
                    <w:tcW w:w="568" w:type="dxa"/>
                  </w:tcPr>
                  <w:p>
                    <w:pPr>
                      <w:ind w:left="-57" w:right="-57"/>
                      <w:rPr>
                        <w:sz w:val="18"/>
                        <w:szCs w:val="18"/>
                      </w:rPr>
                    </w:pPr>
                    <w:r>
                      <w:rPr>
                        <w:sz w:val="18"/>
                        <w:szCs w:val="18"/>
                      </w:rPr>
                      <w:t>-</w:t>
                    </w:r>
                  </w:p>
                </w:tc>
              </w:tr>
            </w:tbl>
            <w:sdt>
              <w:sdtPr>
                <w:alias w:val="poskyris"/>
                <w:tag w:val="part_ab077803a87e42af9a1825f5d9a793c9"/>
                <w:lock w:val="sdtLocked"/>
                <w:richText/>
              </w:sdtPr>
              <w:sdtContent>
                <w:p>
                  <w:pPr>
                    <w:ind w:firstLine="284"/>
                    <w:jc w:val="both"/>
                    <w:rPr>
                      <w:sz w:val="20"/>
                      <w:highlight w:val="yellow"/>
                    </w:rPr>
                  </w:pPr>
                  <w:sdt>
                    <w:sdtPr>
                      <w:alias w:val="Pavadinimas"/>
                      <w:tag w:val="title_ab077803a87e42af9a1825f5d9a793c9"/>
                      <w:lock w:val="sdtLocked"/>
                      <w:richText/>
                    </w:sdtPr>
                    <w:sdtContent>
                      <w:r>
                        <w:rPr>
                          <w:b/>
                          <w:bCs/>
                          <w:sz w:val="20"/>
                        </w:rPr>
                        <w:t>Pastaba.</w:t>
                      </w:r>
                    </w:sdtContent>
                  </w:sdt>
                </w:p>
                <w:p>
                  <w:pPr>
                    <w:ind w:firstLine="284"/>
                    <w:jc w:val="both"/>
                    <w:rPr>
                      <w:sz w:val="20"/>
                      <w:szCs w:val="18"/>
                    </w:rPr>
                  </w:pPr>
                  <w:r>
                    <w:rPr>
                      <w:sz w:val="20"/>
                      <w:szCs w:val="18"/>
                    </w:rPr>
                    <w:t xml:space="preserve">Veikla „1.1. Mokslo ir inovacijų misijų programos“ visa apimtimi bus pradėta įgyvendinti gavus papildomą finansavimą (639 mln. Eur) iš valstybės biudžeto ar kitų finansavimo šaltinių. Siekiamas rezultatas 2030 m.: pateiktos tarptautinių patentų paraiškos – 24,  sukurti prototipai – 144, sukurti unikalūs produktai – 120, paskelbtos publikacijos – 144, investicijas gavusio juridinio asmens pajamų, gautų iš sukurtų ir rinkai pateiktų naujų inovatyvių produktų, santykis su skirtomis investicijomis projekto įgyvendinimo metu ir 3 metus po projekto veiklų įgyvendinimo – 120 proc., gyvybingų (generuojamos pajamos, pritrauktos investicijos ar pan.) atžalinių įmonių / startuolių skaičius – 144, konsorciumo dalyvių gautos lėšos iš dalyvavimo tarptautinėse finansavimo programose (ES ir kt.) pagal vykdomos misijos temą (skaičiuojamas proc. nuo investuotos sumos) – 10.</w:t>
                  </w:r>
                </w:p>
                <w:p>
                  <w:pPr>
                    <w:ind w:firstLine="284"/>
                    <w:jc w:val="both"/>
                    <w:rPr>
                      <w:sz w:val="20"/>
                      <w:szCs w:val="18"/>
                    </w:rPr>
                  </w:pPr>
                  <w:r>
                    <w:rPr>
                      <w:sz w:val="20"/>
                      <w:szCs w:val="18"/>
                    </w:rPr>
                    <w:t xml:space="preserve">Veikla </w:t>
                  </w:r>
                  <w:r>
                    <w:rPr>
                      <w:sz w:val="20"/>
                    </w:rPr>
                    <w:t>„1.2. Valstybės MTEP užsakymai“</w:t>
                  </w:r>
                  <w:r>
                    <w:rPr>
                      <w:sz w:val="20"/>
                      <w:szCs w:val="18"/>
                    </w:rPr>
                    <w:t xml:space="preserve"> bus pradėta įgyvendinti gavus papildomą finansavimą (117 mln. Eur)  iš valstybės biudžeto ar kitų finansavimo šaltinių. Siekiamas rezultatas 2030 m.: įgyvendinti MTEP projektai – 420, paskelbtos publikacijos – 1254, rezultatų, kurie sprendžia šaliai aktualias problemas, skaičius – 90.</w:t>
                  </w:r>
                </w:p>
                <w:p>
                  <w:pPr>
                    <w:ind w:firstLine="284"/>
                    <w:jc w:val="both"/>
                    <w:rPr>
                      <w:sz w:val="20"/>
                      <w:szCs w:val="18"/>
                      <w:highlight w:val="yellow"/>
                    </w:rPr>
                  </w:pPr>
                  <w:r>
                    <w:rPr>
                      <w:sz w:val="20"/>
                      <w:szCs w:val="18"/>
                    </w:rPr>
                    <w:t xml:space="preserve">Veikla „1.3. Mokslininkų inicijuoti projektai“ visa apimtimi bus pradėta įgyvendinti gavus papildomą finansavimą (133 mln. Eur)  iš valstybės biudžeto ar kitų finansavimo šaltinių. Siekiamas rezultatas 2030 m.: įgyvendinti MTEP projektai – 665, paskelbtos publikacijos – 1 995.</w:t>
                  </w:r>
                </w:p>
                <w:p>
                  <w:pPr>
                    <w:ind w:firstLine="284"/>
                    <w:jc w:val="both"/>
                    <w:rPr>
                      <w:sz w:val="20"/>
                      <w:szCs w:val="18"/>
                      <w:highlight w:val="yellow"/>
                    </w:rPr>
                  </w:pPr>
                  <w:r>
                    <w:rPr>
                      <w:sz w:val="20"/>
                      <w:szCs w:val="18"/>
                    </w:rPr>
                    <w:t>Veikla „1.4.3. Technologinės plėtros projektai“ visa apimtimi bus pradėta įgyvendinti gavus papildomą finansavimą (5,4 mln. Eur) iš valstybės biudžeto ar kitų finansavimo šaltinių. Siekiamas rezultatas 2030 m.: įgyvendinti MTEP projektai – 60, sukurti prototipai – 60, pritraukta privataus verslo lėšų – 480 tūkst. Eur, iš projektų tematikų apgintų mokslų daktaro disertacijų – 30.</w:t>
                  </w:r>
                </w:p>
                <w:p>
                  <w:pPr>
                    <w:ind w:firstLine="284"/>
                    <w:jc w:val="both"/>
                    <w:rPr>
                      <w:sz w:val="20"/>
                      <w:szCs w:val="18"/>
                      <w:highlight w:val="yellow"/>
                    </w:rPr>
                  </w:pPr>
                  <w:r>
                    <w:rPr>
                      <w:sz w:val="20"/>
                      <w:szCs w:val="18"/>
                    </w:rPr>
                    <w:t xml:space="preserve">Veikla </w:t>
                  </w:r>
                  <w:r>
                    <w:rPr>
                      <w:sz w:val="20"/>
                    </w:rPr>
                    <w:t>„1.6.3. Atžalinių įmonių mentorystė“</w:t>
                  </w:r>
                  <w:r>
                    <w:rPr>
                      <w:sz w:val="20"/>
                      <w:szCs w:val="18"/>
                    </w:rPr>
                    <w:t xml:space="preserve"> visa apimtimi bus pradėta įgyvendinti gavus papildomą finansavimą (19 mln. Eur)  iš valstybės biudžeto ar kitų finansavimo šaltinių. Siekiamas rezultatas 2030 m.: įgyvendinti MTEP projektai – 100, MTEP veiklos produktas – 33.</w:t>
                  </w:r>
                </w:p>
                <w:p>
                  <w:pPr>
                    <w:ind w:firstLine="284"/>
                    <w:jc w:val="both"/>
                    <w:rPr>
                      <w:bCs/>
                      <w:sz w:val="22"/>
                      <w:szCs w:val="22"/>
                    </w:rPr>
                  </w:pPr>
                  <w:r>
                    <w:rPr>
                      <w:sz w:val="20"/>
                      <w:szCs w:val="18"/>
                    </w:rPr>
                    <w:t xml:space="preserve">Veikla </w:t>
                  </w:r>
                  <w:r>
                    <w:rPr>
                      <w:sz w:val="20"/>
                    </w:rPr>
                    <w:t>„2.2.3. Tarptautiniai MTEP projektai“</w:t>
                  </w:r>
                  <w:r>
                    <w:rPr>
                      <w:sz w:val="20"/>
                      <w:szCs w:val="18"/>
                    </w:rPr>
                    <w:t xml:space="preserve"> visa apimtimi bus pradėta įgyvendinti gavus papildomą finansavimą (281 mln. Eur)  iš valstybės biudžeto ar kitų finansavimo šaltinių. Siekiamas rezultatas 2030 m.: įgyvendinti MTEP projektai –1 234, paskelbtos publikacijos – 4 588, MTEP veiklos produktas – 87, pateiktos tarptautinių patentų paraiškos – 33, įkurtos atžalinės įmonės – 16.</w:t>
                  </w:r>
                </w:p>
              </w:sdtContent>
            </w:sdt>
            <w:sdt>
              <w:sdtPr>
                <w:alias w:val="poskyris"/>
                <w:tag w:val="part_b068cd381abc443186fe0fdefec027ae"/>
                <w:lock w:val="sdtLocked"/>
                <w:richText/>
              </w:sdtPr>
              <w:sdtContent>
                <w:p>
                  <w:pPr>
                    <w:ind w:firstLine="284"/>
                    <w:jc w:val="both"/>
                    <w:rPr>
                      <w:b/>
                      <w:sz w:val="18"/>
                      <w:szCs w:val="18"/>
                    </w:rPr>
                  </w:pPr>
                  <w:sdt>
                    <w:sdtPr>
                      <w:alias w:val="Pavadinimas"/>
                      <w:tag w:val="title_b068cd381abc443186fe0fdefec027ae"/>
                      <w:lock w:val="sdtLocked"/>
                      <w:richText/>
                    </w:sdtPr>
                    <w:sdtContent>
                      <w:r>
                        <w:rPr>
                          <w:b/>
                          <w:sz w:val="18"/>
                          <w:szCs w:val="18"/>
                        </w:rPr>
                        <w:t>Paaiškinimai:</w:t>
                      </w:r>
                    </w:sdtContent>
                  </w:sdt>
                </w:p>
                <w:sdt>
                  <w:sdtPr>
                    <w:alias w:val="1 p."/>
                    <w:tag w:val="part_8c9e622658ae4740a0ff38e8f80855c7"/>
                    <w:lock w:val="sdtLocked"/>
                    <w:richText/>
                  </w:sdtPr>
                  <w:sdtContent>
                    <w:p>
                      <w:pPr>
                        <w:ind w:firstLine="284"/>
                        <w:jc w:val="both"/>
                        <w:rPr>
                          <w:sz w:val="18"/>
                          <w:szCs w:val="18"/>
                        </w:rPr>
                      </w:pPr>
                      <w:sdt>
                        <w:sdtPr>
                          <w:alias w:val="Numeris"/>
                          <w:tag w:val="nr_8c9e622658ae4740a0ff38e8f80855c7"/>
                          <w:lock w:val="sdtLocked"/>
                          <w:richText/>
                        </w:sdtPr>
                        <w:sdtContent>
                          <w:r>
                            <w:rPr>
                              <w:sz w:val="18"/>
                              <w:szCs w:val="18"/>
                            </w:rPr>
                            <w:t>1</w:t>
                          </w:r>
                        </w:sdtContent>
                      </w:sdt>
                      <w:r>
                        <w:rPr>
                          <w:sz w:val="18"/>
                          <w:szCs w:val="18"/>
                        </w:rPr>
                        <w:t>.</w:t>
                      </w:r>
                      <w:r>
                        <w:rPr>
                          <w:b/>
                          <w:sz w:val="18"/>
                          <w:szCs w:val="18"/>
                        </w:rPr>
                        <w:t xml:space="preserve"> </w:t>
                      </w:r>
                      <w:r>
                        <w:rPr>
                          <w:sz w:val="18"/>
                          <w:szCs w:val="18"/>
                        </w:rPr>
                        <w:t>Jeigu pasirenkant plėtros programos pažangos priemonės įgyvendinimo alternatyvas pirmiausia būtina vykdyti analitinę veiklą, pažangos priemonės aprašas gali būti tvirtinamas nurodant tik šią veiklą. Kartu su analitine veikla gali būti planuojamos ir kitos veiklos, kurių alternatyvų vertinimas neatliekamas. Įvykdžius analitinę veiklą, plėtros programos pažangos priemonės aprašas turi būti papildomas nurodant kitas vykdomas veiklas (poveikles, projektus).</w:t>
                      </w:r>
                    </w:p>
                  </w:sdtContent>
                </w:sdt>
                <w:sdt>
                  <w:sdtPr>
                    <w:alias w:val="2 p."/>
                    <w:tag w:val="part_08a6784e8d3b427c8986f2d8dfff9e40"/>
                    <w:lock w:val="sdtLocked"/>
                    <w:richText/>
                  </w:sdtPr>
                  <w:sdtContent>
                    <w:p>
                      <w:pPr>
                        <w:ind w:firstLine="284"/>
                        <w:jc w:val="both"/>
                        <w:rPr>
                          <w:sz w:val="18"/>
                          <w:szCs w:val="18"/>
                        </w:rPr>
                      </w:pPr>
                      <w:sdt>
                        <w:sdtPr>
                          <w:alias w:val="Numeris"/>
                          <w:tag w:val="nr_08a6784e8d3b427c8986f2d8dfff9e40"/>
                          <w:lock w:val="sdtLocked"/>
                          <w:richText/>
                        </w:sdtPr>
                        <w:sdtContent>
                          <w:r>
                            <w:rPr>
                              <w:sz w:val="18"/>
                              <w:szCs w:val="18"/>
                            </w:rPr>
                            <w:t>2</w:t>
                          </w:r>
                        </w:sdtContent>
                      </w:sdt>
                      <w:r>
                        <w:rPr>
                          <w:sz w:val="18"/>
                          <w:szCs w:val="18"/>
                        </w:rPr>
                        <w:t>. 2 skiltyje nurodomi veiklų (poveiklių, projektų) tipai: R – reguliacinė (-is), I – investicinė (-is), K – komunikacinė (-is), A – analitinė (-is), M – mišri (-us). Jeigu veiklos vykdymo pradžia nesuplanuota ir numatomų poveiklių finansavimo šaltinis nesiskiria, pažangos priemonės aprašas gali būti tvirtinamas nenurodant informacijos apie poveikles. Pažangos priemonės aprašas informacija apie veiklos poveikles turi būti papildytas ne vėliau nei iki kvietimo teikti projektų įgyvendinimo planus šiai veiklai (poveiklei) vykdyti paskelbimo dienos.</w:t>
                      </w:r>
                    </w:p>
                  </w:sdtContent>
                </w:sdt>
                <w:sdt>
                  <w:sdtPr>
                    <w:alias w:val="3 p."/>
                    <w:tag w:val="part_51e9f57e98b94ef0b2ea1f2855d2964b"/>
                    <w:lock w:val="sdtLocked"/>
                    <w:richText/>
                  </w:sdtPr>
                  <w:sdtContent>
                    <w:p>
                      <w:pPr>
                        <w:ind w:firstLine="284"/>
                        <w:jc w:val="both"/>
                        <w:rPr>
                          <w:sz w:val="18"/>
                          <w:szCs w:val="18"/>
                        </w:rPr>
                      </w:pPr>
                      <w:sdt>
                        <w:sdtPr>
                          <w:alias w:val="Numeris"/>
                          <w:tag w:val="nr_51e9f57e98b94ef0b2ea1f2855d2964b"/>
                          <w:lock w:val="sdtLocked"/>
                          <w:richText/>
                        </w:sdtPr>
                        <w:sdtContent>
                          <w:r>
                            <w:rPr>
                              <w:sz w:val="18"/>
                              <w:szCs w:val="18"/>
                            </w:rPr>
                            <w:t>3</w:t>
                          </w:r>
                        </w:sdtContent>
                      </w:sdt>
                      <w:r>
                        <w:rPr>
                          <w:sz w:val="18"/>
                          <w:szCs w:val="18"/>
                        </w:rPr>
                        <w:t>. 3, 4, 6–8, 11 skiltys nepildomos, kai vykdoma (-as) reguliacinė (-is) veikla (projektas) arba kai vykdoma (-as) analitinė (-is) veikla (projektas), kuriai (-iam) vykdyti naudojamos tęstinės veiklos lėšos.</w:t>
                      </w:r>
                    </w:p>
                  </w:sdtContent>
                </w:sdt>
                <w:sdt>
                  <w:sdtPr>
                    <w:alias w:val="4 p."/>
                    <w:tag w:val="part_1e1e404c6a7642f6b684b64d709ec8fd"/>
                    <w:lock w:val="sdtLocked"/>
                    <w:richText/>
                  </w:sdtPr>
                  <w:sdtContent>
                    <w:p>
                      <w:pPr>
                        <w:ind w:firstLine="284"/>
                        <w:jc w:val="both"/>
                        <w:rPr>
                          <w:sz w:val="18"/>
                          <w:szCs w:val="18"/>
                        </w:rPr>
                      </w:pPr>
                      <w:sdt>
                        <w:sdtPr>
                          <w:alias w:val="Numeris"/>
                          <w:tag w:val="nr_1e1e404c6a7642f6b684b64d709ec8fd"/>
                          <w:lock w:val="sdtLocked"/>
                          <w:richText/>
                        </w:sdtPr>
                        <w:sdtContent>
                          <w:r>
                            <w:rPr>
                              <w:sz w:val="18"/>
                              <w:szCs w:val="18"/>
                            </w:rPr>
                            <w:t>4</w:t>
                          </w:r>
                        </w:sdtContent>
                      </w:sdt>
                      <w:r>
                        <w:rPr>
                          <w:sz w:val="18"/>
                          <w:szCs w:val="18"/>
                        </w:rPr>
                        <w:t>. 4 skiltyje nurodomi projektų atrankos būdai: P – planavimas, K – konkursas, T – tęstinė atranka, Pj – planavimas, kai ketinama įgyvendinti jungtinį projektą.</w:t>
                      </w:r>
                    </w:p>
                  </w:sdtContent>
                </w:sdt>
                <w:sdt>
                  <w:sdtPr>
                    <w:alias w:val="5 p."/>
                    <w:tag w:val="part_2d2d2b3beb924c02b33e7fb816e00a97"/>
                    <w:lock w:val="sdtLocked"/>
                    <w:richText/>
                  </w:sdtPr>
                  <w:sdtContent>
                    <w:p>
                      <w:pPr>
                        <w:ind w:firstLine="284"/>
                        <w:jc w:val="both"/>
                        <w:rPr>
                          <w:sz w:val="18"/>
                          <w:szCs w:val="18"/>
                        </w:rPr>
                      </w:pPr>
                      <w:sdt>
                        <w:sdtPr>
                          <w:alias w:val="Numeris"/>
                          <w:tag w:val="nr_2d2d2b3beb924c02b33e7fb816e00a97"/>
                          <w:lock w:val="sdtLocked"/>
                          <w:richText/>
                        </w:sdtPr>
                        <w:sdtContent>
                          <w:r>
                            <w:rPr>
                              <w:sz w:val="18"/>
                              <w:szCs w:val="18"/>
                            </w:rPr>
                            <w:t>5</w:t>
                          </w:r>
                        </w:sdtContent>
                      </w:sdt>
                      <w:r>
                        <w:rPr>
                          <w:sz w:val="18"/>
                          <w:szCs w:val="18"/>
                        </w:rPr>
                        <w:t>. 5 skiltyje pažymima, ar bus tiesiogiai prisidedama prie horizontaliųjų principų įgyvendinimo ir (ar) (bus) nurodomi konkretūs reikalavimai projektų finansavimo sąlygų apraše.</w:t>
                      </w:r>
                    </w:p>
                  </w:sdtContent>
                </w:sdt>
                <w:sdt>
                  <w:sdtPr>
                    <w:alias w:val="6 p."/>
                    <w:tag w:val="part_ada9f1a77d6a432fb2fd0ee0adc0ca98"/>
                    <w:lock w:val="sdtLocked"/>
                    <w:richText/>
                  </w:sdtPr>
                  <w:sdtContent>
                    <w:p>
                      <w:pPr>
                        <w:ind w:firstLine="284"/>
                        <w:jc w:val="both"/>
                        <w:rPr>
                          <w:sz w:val="18"/>
                          <w:szCs w:val="18"/>
                        </w:rPr>
                      </w:pPr>
                      <w:sdt>
                        <w:sdtPr>
                          <w:alias w:val="Numeris"/>
                          <w:tag w:val="nr_ada9f1a77d6a432fb2fd0ee0adc0ca98"/>
                          <w:lock w:val="sdtLocked"/>
                          <w:richText/>
                        </w:sdtPr>
                        <w:sdtContent>
                          <w:r>
                            <w:rPr>
                              <w:sz w:val="18"/>
                              <w:szCs w:val="18"/>
                            </w:rPr>
                            <w:t>6</w:t>
                          </w:r>
                        </w:sdtContent>
                      </w:sdt>
                      <w:r>
                        <w:rPr>
                          <w:sz w:val="18"/>
                          <w:szCs w:val="18"/>
                        </w:rPr>
                        <w:t>. 6 skiltyje nurodoma taikoma finansavimo forma: DS – dotacija taikant sąlygas, D – dotacija, FP – finansinė priemonė, A – apdovanojimai.</w:t>
                      </w:r>
                    </w:p>
                  </w:sdtContent>
                </w:sdt>
                <w:sdt>
                  <w:sdtPr>
                    <w:alias w:val="7 p."/>
                    <w:tag w:val="part_69239eb18fb64475a4c87c4f09ef2adb"/>
                    <w:lock w:val="sdtLocked"/>
                    <w:richText/>
                  </w:sdtPr>
                  <w:sdtContent>
                    <w:p>
                      <w:pPr>
                        <w:ind w:firstLine="284"/>
                        <w:jc w:val="both"/>
                        <w:rPr>
                          <w:sz w:val="18"/>
                          <w:szCs w:val="18"/>
                        </w:rPr>
                      </w:pPr>
                      <w:sdt>
                        <w:sdtPr>
                          <w:alias w:val="Numeris"/>
                          <w:tag w:val="nr_69239eb18fb64475a4c87c4f09ef2adb"/>
                          <w:lock w:val="sdtLocked"/>
                          <w:richText/>
                        </w:sdtPr>
                        <w:sdtContent>
                          <w:r>
                            <w:rPr>
                              <w:sz w:val="18"/>
                              <w:szCs w:val="18"/>
                            </w:rPr>
                            <w:t>7</w:t>
                          </w:r>
                        </w:sdtContent>
                      </w:sdt>
                      <w:r>
                        <w:rPr>
                          <w:sz w:val="18"/>
                          <w:szCs w:val="18"/>
                        </w:rPr>
                        <w:t>. 7 skiltyje nurodoma konkretaus finansavimo šaltinio, nurodyto II skyriuje, dalis, tenkanti veiklai. Jeigu veiklos (poveiklės) vykdymo pradžia nesuplanuota, pažangos priemonės aprašas gali būti tvirtinamas nenurodant finansavimo sumų. Pažangos priemonės aprašas informacija apie veiklai (poveiklei), projektui įgyvendinti skiriamas finansavimo sumas turi būti papildytas ne vėliau nei iki kvietimo teikti projektų įgyvendinimo planus šiai veiklai (poveiklei) vykdyti paskelbimo dienos.</w:t>
                      </w:r>
                    </w:p>
                  </w:sdtContent>
                </w:sdt>
                <w:sdt>
                  <w:sdtPr>
                    <w:alias w:val="8 p."/>
                    <w:tag w:val="part_b6f9d65153d0443e9a0d4909706d02b8"/>
                    <w:lock w:val="sdtLocked"/>
                    <w:richText/>
                  </w:sdtPr>
                  <w:sdtContent>
                    <w:p>
                      <w:pPr>
                        <w:ind w:firstLine="284"/>
                        <w:jc w:val="both"/>
                        <w:rPr>
                          <w:iCs/>
                          <w:sz w:val="18"/>
                          <w:szCs w:val="18"/>
                        </w:rPr>
                      </w:pPr>
                      <w:sdt>
                        <w:sdtPr>
                          <w:alias w:val="Numeris"/>
                          <w:tag w:val="nr_b6f9d65153d0443e9a0d4909706d02b8"/>
                          <w:lock w:val="sdtLocked"/>
                          <w:richText/>
                        </w:sdtPr>
                        <w:sdtContent>
                          <w:r>
                            <w:rPr>
                              <w:sz w:val="18"/>
                              <w:szCs w:val="18"/>
                            </w:rPr>
                            <w:t>8</w:t>
                          </w:r>
                        </w:sdtContent>
                      </w:sdt>
                      <w:r>
                        <w:rPr>
                          <w:sz w:val="18"/>
                          <w:szCs w:val="18"/>
                        </w:rPr>
                        <w:t xml:space="preserve">. 8 skiltyje finansavimo šaltiniai nurodomi įrašant trumpinius: 2021–2027 IP – 2021–2027 metų Europos Sąjungos fondų investicijų programa, EGADP – </w:t>
                      </w:r>
                      <w:r>
                        <w:rPr>
                          <w:iCs/>
                          <w:sz w:val="18"/>
                          <w:szCs w:val="18"/>
                        </w:rPr>
                        <w:t>Ekonomikos gaivinimo ir atsparumo didinimo priemonės planas „Naujos kartos Lietuva“, VB – valstybės biudžetas.</w:t>
                      </w:r>
                    </w:p>
                  </w:sdtContent>
                </w:sdt>
                <w:sdt>
                  <w:sdtPr>
                    <w:alias w:val="9 p."/>
                    <w:tag w:val="part_42a95f767f664f46b69aa5de1e6442c6"/>
                    <w:lock w:val="sdtLocked"/>
                    <w:richText/>
                  </w:sdtPr>
                  <w:sdtContent>
                    <w:p>
                      <w:pPr>
                        <w:ind w:firstLine="284"/>
                        <w:jc w:val="both"/>
                        <w:rPr>
                          <w:sz w:val="18"/>
                          <w:szCs w:val="18"/>
                        </w:rPr>
                      </w:pPr>
                      <w:sdt>
                        <w:sdtPr>
                          <w:alias w:val="Numeris"/>
                          <w:tag w:val="nr_42a95f767f664f46b69aa5de1e6442c6"/>
                          <w:lock w:val="sdtLocked"/>
                          <w:richText/>
                        </w:sdtPr>
                        <w:sdtContent>
                          <w:r>
                            <w:rPr>
                              <w:iCs/>
                              <w:sz w:val="18"/>
                              <w:szCs w:val="18"/>
                            </w:rPr>
                            <w:t>9</w:t>
                          </w:r>
                        </w:sdtContent>
                      </w:sdt>
                      <w:r>
                        <w:rPr>
                          <w:iCs/>
                          <w:sz w:val="18"/>
                          <w:szCs w:val="18"/>
                        </w:rPr>
                        <w:t xml:space="preserve">. 9 skiltyje </w:t>
                      </w:r>
                      <w:r>
                        <w:rPr>
                          <w:sz w:val="18"/>
                          <w:szCs w:val="18"/>
                        </w:rPr>
                        <w:t>rezultato rodiklis žymimas R, produkto – P.</w:t>
                      </w:r>
                      <w:r>
                        <w:rPr>
                          <w:iCs/>
                          <w:sz w:val="18"/>
                          <w:szCs w:val="18"/>
                        </w:rPr>
                        <w:t xml:space="preserve"> R</w:t>
                      </w:r>
                      <w:r>
                        <w:rPr>
                          <w:sz w:val="18"/>
                          <w:szCs w:val="18"/>
                        </w:rPr>
                        <w:t xml:space="preserve">ezultato ir produkto (jei taikoma) rodikliai perkeliami iš I skyriaus. </w:t>
                      </w:r>
                      <w:r>
                        <w:rPr>
                          <w:bCs/>
                          <w:sz w:val="18"/>
                          <w:szCs w:val="18"/>
                        </w:rPr>
                        <w:t>Jei procentinė</w:t>
                      </w:r>
                      <w:r>
                        <w:rPr>
                          <w:sz w:val="18"/>
                          <w:szCs w:val="18"/>
                        </w:rPr>
                        <w:t xml:space="preserve"> rezultato rodiklio siektina reikšmė negali būti skaidoma, o jos siekiama keliomis veiklomis (poveiklėmis, jeigu jos numatomos), ta pati siektina reikšmė gali būti nurodyta prie skirtingų veiklų (poveiklių, jeigu jos numatomos). Jei kita skaitine išraiška išreikštas rezultato ar produkto rodiklis, kelių veiklų (poveiklių, jeigu jos numatomos) siektinos reikšmės gali būti skirtingos, tačiau bendrai turi sutapti su siektinomis priemonės rodiklio reikšmėmis.</w:t>
                      </w:r>
                    </w:p>
                  </w:sdtContent>
                </w:sdt>
                <w:sdt>
                  <w:sdtPr>
                    <w:alias w:val="10 p."/>
                    <w:tag w:val="part_88e2ab6e3f1d4e1386924a523c5c7a68"/>
                    <w:lock w:val="sdtLocked"/>
                    <w:richText/>
                  </w:sdtPr>
                  <w:sdtContent>
                    <w:p>
                      <w:pPr>
                        <w:ind w:firstLine="284"/>
                        <w:jc w:val="both"/>
                        <w:rPr>
                          <w:sz w:val="18"/>
                          <w:szCs w:val="18"/>
                        </w:rPr>
                      </w:pPr>
                      <w:sdt>
                        <w:sdtPr>
                          <w:alias w:val="Numeris"/>
                          <w:tag w:val="nr_88e2ab6e3f1d4e1386924a523c5c7a68"/>
                          <w:lock w:val="sdtLocked"/>
                          <w:richText/>
                        </w:sdtPr>
                        <w:sdtContent>
                          <w:r>
                            <w:rPr>
                              <w:sz w:val="18"/>
                              <w:szCs w:val="18"/>
                            </w:rPr>
                            <w:t>10</w:t>
                          </w:r>
                        </w:sdtContent>
                      </w:sdt>
                      <w:r>
                        <w:rPr>
                          <w:sz w:val="18"/>
                          <w:szCs w:val="18"/>
                        </w:rPr>
                        <w:t>. 11 skiltyje nurodoma priemonės veiklas ar projektus administruojanti institucija.</w:t>
                      </w:r>
                    </w:p>
                  </w:sdtContent>
                </w:sdt>
                <w:sdt>
                  <w:sdtPr>
                    <w:alias w:val="11 p."/>
                    <w:tag w:val="part_e629e70741744c2f9cffe7c604a533b0"/>
                    <w:lock w:val="sdtLocked"/>
                    <w:richText/>
                  </w:sdtPr>
                  <w:sdtContent>
                    <w:p>
                      <w:pPr>
                        <w:ind w:firstLine="284"/>
                        <w:jc w:val="both"/>
                        <w:rPr>
                          <w:sz w:val="18"/>
                          <w:szCs w:val="18"/>
                        </w:rPr>
                      </w:pPr>
                      <w:sdt>
                        <w:sdtPr>
                          <w:alias w:val="Numeris"/>
                          <w:tag w:val="nr_e629e70741744c2f9cffe7c604a533b0"/>
                          <w:lock w:val="sdtLocked"/>
                          <w:richText/>
                        </w:sdtPr>
                        <w:sdtContent>
                          <w:r>
                            <w:rPr>
                              <w:sz w:val="18"/>
                              <w:szCs w:val="18"/>
                            </w:rPr>
                            <w:t>11</w:t>
                          </w:r>
                        </w:sdtContent>
                      </w:sdt>
                      <w:r>
                        <w:rPr>
                          <w:sz w:val="18"/>
                          <w:szCs w:val="18"/>
                        </w:rPr>
                        <w:t>. Jeigu priemonės veiklą numatoma finansuoti iš skirtingų finansavimo šaltinių, 1.1 papunktyje tokia veikla išskaidoma į poveikles, jai priskiriant ne daugiau nei vieną finansavimo šaltinį (bendrojo finansavimo lėšos ir valstybės biudžeto lėšos, kuriomis apmokamas pridėtinės vertės mokestis (jeigu tokios lėšos numatytos), į atskirą poveiklę neišskiriamos, tačiau nurodoma jų dalis (tūkst. eurų).</w:t>
                      </w:r>
                    </w:p>
                  </w:sdtContent>
                </w:sdt>
                <w:sdt>
                  <w:sdtPr>
                    <w:alias w:val="12 p."/>
                    <w:tag w:val="part_293db1d7bb4d44cca4b481df0c195c29"/>
                    <w:lock w:val="sdtLocked"/>
                    <w:richText/>
                  </w:sdtPr>
                  <w:sdtContent>
                    <w:p>
                      <w:pPr>
                        <w:ind w:firstLine="284"/>
                        <w:jc w:val="both"/>
                        <w:rPr>
                          <w:bCs/>
                          <w:sz w:val="22"/>
                          <w:szCs w:val="22"/>
                        </w:rPr>
                      </w:pPr>
                      <w:sdt>
                        <w:sdtPr>
                          <w:alias w:val="Numeris"/>
                          <w:tag w:val="nr_293db1d7bb4d44cca4b481df0c195c29"/>
                          <w:lock w:val="sdtLocked"/>
                          <w:richText/>
                        </w:sdtPr>
                        <w:sdtContent>
                          <w:r>
                            <w:rPr>
                              <w:sz w:val="18"/>
                              <w:szCs w:val="18"/>
                            </w:rPr>
                            <w:t>12</w:t>
                          </w:r>
                        </w:sdtContent>
                      </w:sdt>
                      <w:r>
                        <w:rPr>
                          <w:sz w:val="18"/>
                          <w:szCs w:val="18"/>
                        </w:rPr>
                        <w:t>. 1.1.1 papunktyje nurodomi numatomi įgyvendinti projektai, dėl kurių finansavimo sprendimas bus priimtas tik atlikus projektų vertinimą. Jeigu projektai bus atrenkami konkurso būdu, projektai nenurodomi. Jeigu veiklos (poveiklės) vykdymo pradžia nesuplanuota, pažangos priemonės aprašas gali būti tvirtinamas nenurodant informacijos apie numatomus įgyvendinti projektus. Pažangos priemonės aprašas informacija apie numatomus įgyvendinti projektus turi būti papildytas ne vėliau nei iki kvietimo teikti projektų įgyvendinimo planus šiai veiklai (poveiklei) vykdyti paskelbimo dienos. Jeigu pažangos priemonės veiklai (poveiklei) rengiamas projektų finansavimo aprašas, pažangos priemonės aprašas gali būti nepildomas, o numatomų įgyvendinti projektų, galimų pareiškėjų sąrašas, finansavimo šaltinis, priskiriamas įgyvendinimo regionas, maksimali projektui galima skirti finansavimo suma ir kita projektų administravimui ir įgyvendinimui svarbi informacija nurodoma projektų finansavimo sąlygų apraše.</w:t>
                      </w:r>
                    </w:p>
                  </w:sdtContent>
                </w:sdt>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sdtContent>
        </w:sdt>
        <w:sdt>
          <w:sdtPr>
            <w:alias w:val="pabaiga"/>
            <w:tag w:val="part_042a0ee2723d44128ba61a817046903c"/>
            <w:lock w:val="sdtLocked"/>
            <w:richText/>
          </w:sdtPr>
          <w:sdtContent>
            <w:p>
              <w:pPr>
                <w:jc w:val="center"/>
                <w:rPr>
                  <w:bCs/>
                  <w:sz w:val="22"/>
                  <w:szCs w:val="22"/>
                </w:rPr>
              </w:pPr>
              <w:r>
                <w:rPr>
                  <w:bCs/>
                  <w:sz w:val="22"/>
                  <w:szCs w:val="22"/>
                </w:rPr>
                <w:t>________________</w:t>
              </w:r>
            </w:p>
            <w:p>
              <w:pPr>
                <w:jc w:val="center"/>
                <w:rPr>
                  <w:sz w:val="22"/>
                  <w:szCs w:val="24"/>
                </w:rPr>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rPr>
                  <w:szCs w:val="24"/>
                </w:rPr>
              </w:pPr>
            </w:p>
          </w:sdtContent>
        </w:sdt>
        <w:p/>
        <w:p/>
        <w:p/>
        <w:p>
          <w:pPr>
            <w:pStyle w:val="PlainText"/>
            <w:rPr>
              <w:rFonts w:ascii="Arial" w:eastAsia="MS Mincho" w:hAnsi="Arial"/>
              <w:sz w:val="20"/>
              <w:b/>
              <w:iCs/>
            </w:rPr>
          </w:pPr>
          <w:r>
            <w:rPr>
              <w:rFonts w:ascii="Arial" w:eastAsia="MS Mincho" w:hAnsi="Arial"/>
              <w:sz w:val="20"/>
              <w:b/>
              <w:iCs/>
            </w:rPr>
            <w:t>Priedų pakeitimai:</w:t>
          </w:r>
        </w:p>
        <w:p/>
        <w:p>
          <w:pPr>
            <w:pStyle w:val="PlainText"/>
            <w:rPr>
              <w:rFonts w:ascii="Arial" w:eastAsia="MS Mincho" w:hAnsi="Arial"/>
              <w:sz w:val="20"/>
              <w:iCs/>
            </w:rPr>
          </w:pPr>
          <w:r>
            <w:rPr>
              <w:rFonts w:ascii="Arial" w:eastAsia="MS Mincho" w:hAnsi="Arial"/>
              <w:sz w:val="20"/>
              <w:iCs/>
            </w:rPr>
            <w:t>1+priedas++PFSA+(NCP+ir+mokslo+pat.)+22+12+29 (pagal V-148)</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2394f0a78a11ed8df094f359a60216">
            <w:r w:rsidRPr="00532B9F">
              <w:rPr>
                <w:rFonts w:ascii="Arial" w:eastAsia="MS Mincho" w:hAnsi="Arial"/>
                <w:sz w:val="20"/>
                <w:i/>
                <w:iCs/>
                <w:color w:val="0000FF" w:themeColor="hyperlink"/>
                <w:u w:val="single"/>
              </w:rPr>
              <w:t>V-148</w:t>
            </w:r>
          </w:fldSimple>
          <w:r>
            <w:rPr>
              <w:rFonts w:ascii="Arial" w:eastAsia="MS Mincho" w:hAnsi="Arial"/>
              <w:sz w:val="20"/>
              <w:i/>
              <w:iCs/>
            </w:rPr>
            <w:t>,
2023-02-08,
paskelbta TAR 2023-02-08, i. k. 2023-02363        </w:t>
          </w:r>
        </w:p>
        <w:p/>
        <w:p>
          <w:pPr>
            <w:pStyle w:val="PlainText"/>
            <w:rPr>
              <w:rFonts w:ascii="Arial" w:eastAsia="MS Mincho" w:hAnsi="Arial"/>
              <w:sz w:val="20"/>
              <w:iCs/>
            </w:rPr>
          </w:pPr>
          <w:r>
            <w:rPr>
              <w:rFonts w:ascii="Arial" w:eastAsia="MS Mincho" w:hAnsi="Arial"/>
              <w:sz w:val="20"/>
              <w:iCs/>
            </w:rPr>
            <w:t>2+priedas++PFSA+(ERA)+22+12+29 (pagal V-4)</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
          <w:pPr>
            <w:pStyle w:val="PlainText"/>
            <w:rPr>
              <w:rFonts w:ascii="Arial" w:eastAsia="MS Mincho" w:hAnsi="Arial"/>
              <w:sz w:val="20"/>
              <w:iCs/>
            </w:rPr>
          </w:pPr>
          <w:r>
            <w:rPr>
              <w:rFonts w:ascii="Arial" w:eastAsia="MS Mincho" w:hAnsi="Arial"/>
              <w:sz w:val="20"/>
              <w:iCs/>
            </w:rPr>
            <w:t>3 priedas PFSA+Nr3+kofinansavimas (pagal V-205)</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a519a0b28e11ed8df094f359a60216">
            <w:r w:rsidRPr="00532B9F">
              <w:rPr>
                <w:rFonts w:ascii="Arial" w:eastAsia="MS Mincho" w:hAnsi="Arial"/>
                <w:sz w:val="20"/>
                <w:i/>
                <w:iCs/>
                <w:color w:val="0000FF" w:themeColor="hyperlink"/>
                <w:u w:val="single"/>
              </w:rPr>
              <w:t>V-205</w:t>
            </w:r>
          </w:fldSimple>
          <w:r>
            <w:rPr>
              <w:rFonts w:ascii="Arial" w:eastAsia="MS Mincho" w:hAnsi="Arial"/>
              <w:sz w:val="20"/>
              <w:i/>
              <w:iCs/>
            </w:rPr>
            <w:t>,
2023-02-22,
paskelbta TAR 2023-02-22, i. k. 2023-03104        </w:t>
          </w:r>
        </w:p>
        <w:p/>
        <w:p>
          <w:pPr>
            <w:pStyle w:val="PlainText"/>
            <w:rPr>
              <w:rFonts w:ascii="Arial" w:eastAsia="MS Mincho" w:hAnsi="Arial"/>
              <w:sz w:val="20"/>
              <w:iCs/>
            </w:rPr>
          </w:pPr>
          <w:r>
            <w:rPr>
              <w:rFonts w:ascii="Arial" w:eastAsia="MS Mincho" w:hAnsi="Arial"/>
              <w:sz w:val="20"/>
              <w:iCs/>
            </w:rPr>
            <w:t>4 priedas PFSA (pagal V-347)</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631db0c3d911ed97b2975f7dad7488">
            <w:r w:rsidRPr="00532B9F">
              <w:rPr>
                <w:rFonts w:ascii="Arial" w:eastAsia="MS Mincho" w:hAnsi="Arial"/>
                <w:sz w:val="20"/>
                <w:i/>
                <w:iCs/>
                <w:color w:val="0000FF" w:themeColor="hyperlink"/>
                <w:u w:val="single"/>
              </w:rPr>
              <w:t>V-347</w:t>
            </w:r>
          </w:fldSimple>
          <w:r>
            <w:rPr>
              <w:rFonts w:ascii="Arial" w:eastAsia="MS Mincho" w:hAnsi="Arial"/>
              <w:sz w:val="20"/>
              <w:i/>
              <w:iCs/>
            </w:rPr>
            <w:t>,
2023-03-16,
paskelbta TAR 2023-03-16, i. k. 2023-04671        </w:t>
          </w:r>
        </w:p>
        <w:p/>
        <w:p>
          <w:pPr>
            <w:pStyle w:val="PlainText"/>
            <w:rPr>
              <w:rFonts w:ascii="Arial" w:eastAsia="MS Mincho" w:hAnsi="Arial"/>
              <w:sz w:val="20"/>
              <w:iCs/>
            </w:rPr>
          </w:pPr>
          <w:r>
            <w:rPr>
              <w:rFonts w:ascii="Arial" w:eastAsia="MS Mincho" w:hAnsi="Arial"/>
              <w:sz w:val="20"/>
              <w:iCs/>
            </w:rPr>
            <w:t>5 priedas PFSA (pagal V-347)</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631db0c3d911ed97b2975f7dad7488">
            <w:r w:rsidRPr="00532B9F">
              <w:rPr>
                <w:rFonts w:ascii="Arial" w:eastAsia="MS Mincho" w:hAnsi="Arial"/>
                <w:sz w:val="20"/>
                <w:i/>
                <w:iCs/>
                <w:color w:val="0000FF" w:themeColor="hyperlink"/>
                <w:u w:val="single"/>
              </w:rPr>
              <w:t>V-347</w:t>
            </w:r>
          </w:fldSimple>
          <w:r>
            <w:rPr>
              <w:rFonts w:ascii="Arial" w:eastAsia="MS Mincho" w:hAnsi="Arial"/>
              <w:sz w:val="20"/>
              <w:i/>
              <w:iCs/>
            </w:rPr>
            <w:t>,
2023-03-16,
paskelbta TAR 2023-03-16, i. k. 2023-04671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4f7039108b2c11ed8df094f359a60216">
            <w:r w:rsidRPr="00532B9F">
              <w:rPr>
                <w:rFonts w:ascii="Arial" w:eastAsia="MS Mincho" w:hAnsi="Arial"/>
                <w:sz w:val="20"/>
                <w:iCs/>
                <w:color w:val="0000FF" w:themeColor="hyperlink"/>
                <w:u w:val="single"/>
              </w:rPr>
              <w:t>V-4</w:t>
            </w:r>
          </w:fldSimple>
          <w:r>
            <w:rPr>
              <w:rFonts w:ascii="Arial" w:eastAsia="MS Mincho" w:hAnsi="Arial"/>
              <w:sz w:val="20"/>
              <w:iCs/>
            </w:rPr>
            <w:t>,
2023-01-03,
paskelbta TAR 2023-01-03, i. k. 2023-00079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1d2394f0a78a11ed8df094f359a60216">
            <w:r w:rsidRPr="00532B9F">
              <w:rPr>
                <w:rFonts w:ascii="Arial" w:eastAsia="MS Mincho" w:hAnsi="Arial"/>
                <w:sz w:val="20"/>
                <w:iCs/>
                <w:color w:val="0000FF" w:themeColor="hyperlink"/>
                <w:u w:val="single"/>
              </w:rPr>
              <w:t>V-148</w:t>
            </w:r>
          </w:fldSimple>
          <w:r>
            <w:rPr>
              <w:rFonts w:ascii="Arial" w:eastAsia="MS Mincho" w:hAnsi="Arial"/>
              <w:sz w:val="20"/>
              <w:iCs/>
            </w:rPr>
            <w:t>,
2023-02-08,
paskelbta TAR 2023-02-08, i. k. 2023-02363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7fa519a0b28e11ed8df094f359a60216">
            <w:r w:rsidRPr="00532B9F">
              <w:rPr>
                <w:rFonts w:ascii="Arial" w:eastAsia="MS Mincho" w:hAnsi="Arial"/>
                <w:sz w:val="20"/>
                <w:iCs/>
                <w:color w:val="0000FF" w:themeColor="hyperlink"/>
                <w:u w:val="single"/>
              </w:rPr>
              <w:t>V-205</w:t>
            </w:r>
          </w:fldSimple>
          <w:r>
            <w:rPr>
              <w:rFonts w:ascii="Arial" w:eastAsia="MS Mincho" w:hAnsi="Arial"/>
              <w:sz w:val="20"/>
              <w:iCs/>
            </w:rPr>
            <w:t>,
2023-02-22,
paskelbta TAR 2023-02-22, i. k. 2023-03104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88631db0c3d911ed97b2975f7dad7488">
            <w:r w:rsidRPr="00532B9F">
              <w:rPr>
                <w:rFonts w:ascii="Arial" w:eastAsia="MS Mincho" w:hAnsi="Arial"/>
                <w:sz w:val="20"/>
                <w:iCs/>
                <w:color w:val="0000FF" w:themeColor="hyperlink"/>
                <w:u w:val="single"/>
              </w:rPr>
              <w:t>V-347</w:t>
            </w:r>
          </w:fldSimple>
          <w:r>
            <w:rPr>
              <w:rFonts w:ascii="Arial" w:eastAsia="MS Mincho" w:hAnsi="Arial"/>
              <w:sz w:val="20"/>
              <w:iCs/>
            </w:rPr>
            <w:t>,
2023-03-16,
paskelbta TAR 2023-03-16, i. k. 2023-04671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40" w:h="11907" w:orient="landscape" w:code="9"/>
      <w:pgMar w:top="1701" w:right="1701" w:bottom="567" w:left="1134" w:header="289" w:footer="720" w:gutter="0"/>
      <w:pgNumType w:start="1"/>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Times New Roman"/>
    <w:charset w:val="00"/>
    <w:family w:val="swiss"/>
    <w:pitch w:val="variable"/>
    <w:sig w:usb0="00000003" w:usb1="00000000" w:usb2="00000000" w:usb3="00000000" w:csb0="00000001" w:csb1="00000000"/>
  </w:font>
  <w:font w:name="TimesNewRomanPSMT">
    <w:altName w:val="Times New Roman"/>
    <w:panose1 w:val="00000000000000000000"/>
    <w:charset w:val="EE"/>
    <w:family w:val="roman"/>
    <w:notTrueType/>
    <w:pitch w:val="default"/>
    <w:sig w:usb0="00000005" w:usb1="00000000" w:usb2="00000000" w:usb3="00000000" w:csb0="00000002"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28</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986"/>
        <w:tab w:val="right" w:pos="9972"/>
      </w:tabs>
      <w:rPr>
        <w:sz w:val="22"/>
        <w:szCs w:val="22"/>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5:docId w15:val="{A1389B4D-FD13-4EE3-A077-E8CA2A1AEEA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24759394">
      <w:bodyDiv w:val="1"/>
      <w:marLeft w:val="0"/>
      <w:marRight w:val="0"/>
      <w:marTop w:val="0"/>
      <w:marBottom w:val="0"/>
      <w:divBdr>
        <w:top w:val="none" w:sz="0" w:space="0" w:color="auto"/>
        <w:left w:val="none" w:sz="0" w:space="0" w:color="auto"/>
        <w:bottom w:val="none" w:sz="0" w:space="0" w:color="auto"/>
        <w:right w:val="none" w:sz="0" w:space="0" w:color="auto"/>
      </w:divBdr>
      <w:divsChild>
        <w:div w:id="1653094878">
          <w:marLeft w:val="0"/>
          <w:marRight w:val="0"/>
          <w:marTop w:val="0"/>
          <w:marBottom w:val="0"/>
          <w:divBdr>
            <w:top w:val="none" w:sz="0" w:space="0" w:color="auto"/>
            <w:left w:val="none" w:sz="0" w:space="0" w:color="auto"/>
            <w:bottom w:val="none" w:sz="0" w:space="0" w:color="auto"/>
            <w:right w:val="none" w:sz="0" w:space="0" w:color="auto"/>
          </w:divBdr>
          <w:divsChild>
            <w:div w:id="1392582941">
              <w:marLeft w:val="0"/>
              <w:marRight w:val="0"/>
              <w:marTop w:val="0"/>
              <w:marBottom w:val="0"/>
              <w:divBdr>
                <w:top w:val="none" w:sz="0" w:space="0" w:color="auto"/>
                <w:left w:val="none" w:sz="0" w:space="0" w:color="auto"/>
                <w:bottom w:val="none" w:sz="0" w:space="0" w:color="auto"/>
                <w:right w:val="none" w:sz="0" w:space="0" w:color="auto"/>
              </w:divBdr>
              <w:divsChild>
                <w:div w:id="2115203509">
                  <w:marLeft w:val="0"/>
                  <w:marRight w:val="0"/>
                  <w:marTop w:val="0"/>
                  <w:marBottom w:val="0"/>
                  <w:divBdr>
                    <w:top w:val="none" w:sz="0" w:space="0" w:color="auto"/>
                    <w:left w:val="none" w:sz="0" w:space="0" w:color="auto"/>
                    <w:bottom w:val="none" w:sz="0" w:space="0" w:color="auto"/>
                    <w:right w:val="none" w:sz="0" w:space="0" w:color="auto"/>
                  </w:divBdr>
                  <w:divsChild>
                    <w:div w:id="238174747">
                      <w:marLeft w:val="0"/>
                      <w:marRight w:val="0"/>
                      <w:marTop w:val="0"/>
                      <w:marBottom w:val="0"/>
                      <w:divBdr>
                        <w:top w:val="none" w:sz="0" w:space="0" w:color="auto"/>
                        <w:left w:val="none" w:sz="0" w:space="0" w:color="auto"/>
                        <w:bottom w:val="none" w:sz="0" w:space="0" w:color="auto"/>
                        <w:right w:val="none" w:sz="0" w:space="0" w:color="auto"/>
                      </w:divBdr>
                      <w:divsChild>
                        <w:div w:id="187376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62557828">
      <w:bodyDiv w:val="1"/>
      <w:marLeft w:val="0"/>
      <w:marRight w:val="0"/>
      <w:marTop w:val="0"/>
      <w:marBottom w:val="0"/>
      <w:divBdr>
        <w:top w:val="none" w:sz="0" w:space="0" w:color="auto"/>
        <w:left w:val="none" w:sz="0" w:space="0" w:color="auto"/>
        <w:bottom w:val="none" w:sz="0" w:space="0" w:color="auto"/>
        <w:right w:val="none" w:sz="0" w:space="0" w:color="auto"/>
      </w:divBdr>
      <w:divsChild>
        <w:div w:id="363333587">
          <w:marLeft w:val="0"/>
          <w:marRight w:val="0"/>
          <w:marTop w:val="0"/>
          <w:marBottom w:val="0"/>
          <w:divBdr>
            <w:top w:val="none" w:sz="0" w:space="0" w:color="auto"/>
            <w:left w:val="none" w:sz="0" w:space="0" w:color="auto"/>
            <w:bottom w:val="none" w:sz="0" w:space="0" w:color="auto"/>
            <w:right w:val="none" w:sz="0" w:space="0" w:color="auto"/>
          </w:divBdr>
          <w:divsChild>
            <w:div w:id="435567133">
              <w:marLeft w:val="0"/>
              <w:marRight w:val="0"/>
              <w:marTop w:val="0"/>
              <w:marBottom w:val="0"/>
              <w:divBdr>
                <w:top w:val="none" w:sz="0" w:space="0" w:color="auto"/>
                <w:left w:val="none" w:sz="0" w:space="0" w:color="auto"/>
                <w:bottom w:val="none" w:sz="0" w:space="0" w:color="auto"/>
                <w:right w:val="none" w:sz="0" w:space="0" w:color="auto"/>
              </w:divBdr>
              <w:divsChild>
                <w:div w:id="284191575">
                  <w:marLeft w:val="0"/>
                  <w:marRight w:val="0"/>
                  <w:marTop w:val="0"/>
                  <w:marBottom w:val="0"/>
                  <w:divBdr>
                    <w:top w:val="none" w:sz="0" w:space="0" w:color="auto"/>
                    <w:left w:val="none" w:sz="0" w:space="0" w:color="auto"/>
                    <w:bottom w:val="none" w:sz="0" w:space="0" w:color="auto"/>
                    <w:right w:val="none" w:sz="0" w:space="0" w:color="auto"/>
                  </w:divBdr>
                  <w:divsChild>
                    <w:div w:id="901251859">
                      <w:marLeft w:val="0"/>
                      <w:marRight w:val="0"/>
                      <w:marTop w:val="0"/>
                      <w:marBottom w:val="0"/>
                      <w:divBdr>
                        <w:top w:val="none" w:sz="0" w:space="0" w:color="auto"/>
                        <w:left w:val="none" w:sz="0" w:space="0" w:color="auto"/>
                        <w:bottom w:val="none" w:sz="0" w:space="0" w:color="auto"/>
                        <w:right w:val="none" w:sz="0" w:space="0" w:color="auto"/>
                      </w:divBdr>
                      <w:divsChild>
                        <w:div w:id="1448351312">
                          <w:marLeft w:val="0"/>
                          <w:marRight w:val="0"/>
                          <w:marTop w:val="0"/>
                          <w:marBottom w:val="0"/>
                          <w:divBdr>
                            <w:top w:val="none" w:sz="0" w:space="0" w:color="auto"/>
                            <w:left w:val="none" w:sz="0" w:space="0" w:color="auto"/>
                            <w:bottom w:val="none" w:sz="0" w:space="0" w:color="auto"/>
                            <w:right w:val="none" w:sz="0" w:space="0" w:color="auto"/>
                          </w:divBdr>
                        </w:div>
                        <w:div w:id="79526290">
                          <w:marLeft w:val="0"/>
                          <w:marRight w:val="0"/>
                          <w:marTop w:val="0"/>
                          <w:marBottom w:val="0"/>
                          <w:divBdr>
                            <w:top w:val="none" w:sz="0" w:space="0" w:color="auto"/>
                            <w:left w:val="none" w:sz="0" w:space="0" w:color="auto"/>
                            <w:bottom w:val="none" w:sz="0" w:space="0" w:color="auto"/>
                            <w:right w:val="none" w:sz="0" w:space="0" w:color="auto"/>
                          </w:divBdr>
                        </w:div>
                        <w:div w:id="2068801940">
                          <w:marLeft w:val="0"/>
                          <w:marRight w:val="0"/>
                          <w:marTop w:val="0"/>
                          <w:marBottom w:val="0"/>
                          <w:divBdr>
                            <w:top w:val="none" w:sz="0" w:space="0" w:color="auto"/>
                            <w:left w:val="none" w:sz="0" w:space="0" w:color="auto"/>
                            <w:bottom w:val="none" w:sz="0" w:space="0" w:color="auto"/>
                            <w:right w:val="none" w:sz="0" w:space="0" w:color="auto"/>
                          </w:divBdr>
                        </w:div>
                        <w:div w:id="2088722171">
                          <w:marLeft w:val="0"/>
                          <w:marRight w:val="0"/>
                          <w:marTop w:val="0"/>
                          <w:marBottom w:val="0"/>
                          <w:divBdr>
                            <w:top w:val="none" w:sz="0" w:space="0" w:color="auto"/>
                            <w:left w:val="none" w:sz="0" w:space="0" w:color="auto"/>
                            <w:bottom w:val="none" w:sz="0" w:space="0" w:color="auto"/>
                            <w:right w:val="none" w:sz="0" w:space="0" w:color="auto"/>
                          </w:divBdr>
                        </w:div>
                        <w:div w:id="1852642544">
                          <w:marLeft w:val="0"/>
                          <w:marRight w:val="0"/>
                          <w:marTop w:val="0"/>
                          <w:marBottom w:val="0"/>
                          <w:divBdr>
                            <w:top w:val="none" w:sz="0" w:space="0" w:color="auto"/>
                            <w:left w:val="none" w:sz="0" w:space="0" w:color="auto"/>
                            <w:bottom w:val="none" w:sz="0" w:space="0" w:color="auto"/>
                            <w:right w:val="none" w:sz="0" w:space="0" w:color="auto"/>
                          </w:divBdr>
                        </w:div>
                        <w:div w:id="983244413">
                          <w:marLeft w:val="0"/>
                          <w:marRight w:val="0"/>
                          <w:marTop w:val="0"/>
                          <w:marBottom w:val="0"/>
                          <w:divBdr>
                            <w:top w:val="none" w:sz="0" w:space="0" w:color="auto"/>
                            <w:left w:val="none" w:sz="0" w:space="0" w:color="auto"/>
                            <w:bottom w:val="none" w:sz="0" w:space="0" w:color="auto"/>
                            <w:right w:val="none" w:sz="0" w:space="0" w:color="auto"/>
                          </w:divBdr>
                        </w:div>
                        <w:div w:id="578950167">
                          <w:marLeft w:val="0"/>
                          <w:marRight w:val="0"/>
                          <w:marTop w:val="0"/>
                          <w:marBottom w:val="0"/>
                          <w:divBdr>
                            <w:top w:val="none" w:sz="0" w:space="0" w:color="auto"/>
                            <w:left w:val="none" w:sz="0" w:space="0" w:color="auto"/>
                            <w:bottom w:val="none" w:sz="0" w:space="0" w:color="auto"/>
                            <w:right w:val="none" w:sz="0" w:space="0" w:color="auto"/>
                          </w:divBdr>
                        </w:div>
                        <w:div w:id="1214194878">
                          <w:marLeft w:val="0"/>
                          <w:marRight w:val="0"/>
                          <w:marTop w:val="0"/>
                          <w:marBottom w:val="0"/>
                          <w:divBdr>
                            <w:top w:val="none" w:sz="0" w:space="0" w:color="auto"/>
                            <w:left w:val="none" w:sz="0" w:space="0" w:color="auto"/>
                            <w:bottom w:val="none" w:sz="0" w:space="0" w:color="auto"/>
                            <w:right w:val="none" w:sz="0" w:space="0" w:color="auto"/>
                          </w:divBdr>
                        </w:div>
                        <w:div w:id="779956218">
                          <w:marLeft w:val="0"/>
                          <w:marRight w:val="0"/>
                          <w:marTop w:val="0"/>
                          <w:marBottom w:val="0"/>
                          <w:divBdr>
                            <w:top w:val="none" w:sz="0" w:space="0" w:color="auto"/>
                            <w:left w:val="none" w:sz="0" w:space="0" w:color="auto"/>
                            <w:bottom w:val="none" w:sz="0" w:space="0" w:color="auto"/>
                            <w:right w:val="none" w:sz="0" w:space="0" w:color="auto"/>
                          </w:divBdr>
                        </w:div>
                        <w:div w:id="413091097">
                          <w:marLeft w:val="0"/>
                          <w:marRight w:val="0"/>
                          <w:marTop w:val="0"/>
                          <w:marBottom w:val="0"/>
                          <w:divBdr>
                            <w:top w:val="none" w:sz="0" w:space="0" w:color="auto"/>
                            <w:left w:val="none" w:sz="0" w:space="0" w:color="auto"/>
                            <w:bottom w:val="none" w:sz="0" w:space="0" w:color="auto"/>
                            <w:right w:val="none" w:sz="0" w:space="0" w:color="auto"/>
                          </w:divBdr>
                        </w:div>
                      </w:divsChild>
                    </w:div>
                    <w:div w:id="539779945">
                      <w:marLeft w:val="0"/>
                      <w:marRight w:val="0"/>
                      <w:marTop w:val="0"/>
                      <w:marBottom w:val="0"/>
                      <w:divBdr>
                        <w:top w:val="none" w:sz="0" w:space="0" w:color="auto"/>
                        <w:left w:val="none" w:sz="0" w:space="0" w:color="auto"/>
                        <w:bottom w:val="none" w:sz="0" w:space="0" w:color="auto"/>
                        <w:right w:val="none" w:sz="0" w:space="0" w:color="auto"/>
                      </w:divBdr>
                      <w:divsChild>
                        <w:div w:id="2094620887">
                          <w:marLeft w:val="0"/>
                          <w:marRight w:val="0"/>
                          <w:marTop w:val="0"/>
                          <w:marBottom w:val="0"/>
                          <w:divBdr>
                            <w:top w:val="none" w:sz="0" w:space="0" w:color="auto"/>
                            <w:left w:val="none" w:sz="0" w:space="0" w:color="auto"/>
                            <w:bottom w:val="none" w:sz="0" w:space="0" w:color="auto"/>
                            <w:right w:val="none" w:sz="0" w:space="0" w:color="auto"/>
                          </w:divBdr>
                        </w:div>
                        <w:div w:id="1211765569">
                          <w:marLeft w:val="0"/>
                          <w:marRight w:val="0"/>
                          <w:marTop w:val="0"/>
                          <w:marBottom w:val="0"/>
                          <w:divBdr>
                            <w:top w:val="none" w:sz="0" w:space="0" w:color="auto"/>
                            <w:left w:val="none" w:sz="0" w:space="0" w:color="auto"/>
                            <w:bottom w:val="none" w:sz="0" w:space="0" w:color="auto"/>
                            <w:right w:val="none" w:sz="0" w:space="0" w:color="auto"/>
                          </w:divBdr>
                        </w:div>
                        <w:div w:id="549071814">
                          <w:marLeft w:val="0"/>
                          <w:marRight w:val="0"/>
                          <w:marTop w:val="0"/>
                          <w:marBottom w:val="0"/>
                          <w:divBdr>
                            <w:top w:val="none" w:sz="0" w:space="0" w:color="auto"/>
                            <w:left w:val="none" w:sz="0" w:space="0" w:color="auto"/>
                            <w:bottom w:val="none" w:sz="0" w:space="0" w:color="auto"/>
                            <w:right w:val="none" w:sz="0" w:space="0" w:color="auto"/>
                          </w:divBdr>
                        </w:div>
                        <w:div w:id="1372458795">
                          <w:marLeft w:val="0"/>
                          <w:marRight w:val="0"/>
                          <w:marTop w:val="0"/>
                          <w:marBottom w:val="0"/>
                          <w:divBdr>
                            <w:top w:val="none" w:sz="0" w:space="0" w:color="auto"/>
                            <w:left w:val="none" w:sz="0" w:space="0" w:color="auto"/>
                            <w:bottom w:val="none" w:sz="0" w:space="0" w:color="auto"/>
                            <w:right w:val="none" w:sz="0" w:space="0" w:color="auto"/>
                          </w:divBdr>
                        </w:div>
                        <w:div w:id="37240708">
                          <w:marLeft w:val="0"/>
                          <w:marRight w:val="0"/>
                          <w:marTop w:val="0"/>
                          <w:marBottom w:val="0"/>
                          <w:divBdr>
                            <w:top w:val="none" w:sz="0" w:space="0" w:color="auto"/>
                            <w:left w:val="none" w:sz="0" w:space="0" w:color="auto"/>
                            <w:bottom w:val="none" w:sz="0" w:space="0" w:color="auto"/>
                            <w:right w:val="none" w:sz="0" w:space="0" w:color="auto"/>
                          </w:divBdr>
                        </w:div>
                        <w:div w:id="1327904553">
                          <w:marLeft w:val="0"/>
                          <w:marRight w:val="0"/>
                          <w:marTop w:val="0"/>
                          <w:marBottom w:val="0"/>
                          <w:divBdr>
                            <w:top w:val="none" w:sz="0" w:space="0" w:color="auto"/>
                            <w:left w:val="none" w:sz="0" w:space="0" w:color="auto"/>
                            <w:bottom w:val="none" w:sz="0" w:space="0" w:color="auto"/>
                            <w:right w:val="none" w:sz="0" w:space="0" w:color="auto"/>
                          </w:divBdr>
                        </w:div>
                        <w:div w:id="769814829">
                          <w:marLeft w:val="0"/>
                          <w:marRight w:val="0"/>
                          <w:marTop w:val="0"/>
                          <w:marBottom w:val="0"/>
                          <w:divBdr>
                            <w:top w:val="none" w:sz="0" w:space="0" w:color="auto"/>
                            <w:left w:val="none" w:sz="0" w:space="0" w:color="auto"/>
                            <w:bottom w:val="none" w:sz="0" w:space="0" w:color="auto"/>
                            <w:right w:val="none" w:sz="0" w:space="0" w:color="auto"/>
                          </w:divBdr>
                        </w:div>
                        <w:div w:id="98450900">
                          <w:marLeft w:val="0"/>
                          <w:marRight w:val="0"/>
                          <w:marTop w:val="0"/>
                          <w:marBottom w:val="0"/>
                          <w:divBdr>
                            <w:top w:val="none" w:sz="0" w:space="0" w:color="auto"/>
                            <w:left w:val="none" w:sz="0" w:space="0" w:color="auto"/>
                            <w:bottom w:val="none" w:sz="0" w:space="0" w:color="auto"/>
                            <w:right w:val="none" w:sz="0" w:space="0" w:color="auto"/>
                          </w:divBdr>
                        </w:div>
                        <w:div w:id="171073858">
                          <w:marLeft w:val="0"/>
                          <w:marRight w:val="0"/>
                          <w:marTop w:val="0"/>
                          <w:marBottom w:val="0"/>
                          <w:divBdr>
                            <w:top w:val="none" w:sz="0" w:space="0" w:color="auto"/>
                            <w:left w:val="none" w:sz="0" w:space="0" w:color="auto"/>
                            <w:bottom w:val="none" w:sz="0" w:space="0" w:color="auto"/>
                            <w:right w:val="none" w:sz="0" w:space="0" w:color="auto"/>
                          </w:divBdr>
                        </w:div>
                        <w:div w:id="1144543935">
                          <w:marLeft w:val="0"/>
                          <w:marRight w:val="0"/>
                          <w:marTop w:val="0"/>
                          <w:marBottom w:val="0"/>
                          <w:divBdr>
                            <w:top w:val="none" w:sz="0" w:space="0" w:color="auto"/>
                            <w:left w:val="none" w:sz="0" w:space="0" w:color="auto"/>
                            <w:bottom w:val="none" w:sz="0" w:space="0" w:color="auto"/>
                            <w:right w:val="none" w:sz="0" w:space="0" w:color="auto"/>
                          </w:divBdr>
                        </w:div>
                        <w:div w:id="2015645234">
                          <w:marLeft w:val="0"/>
                          <w:marRight w:val="0"/>
                          <w:marTop w:val="0"/>
                          <w:marBottom w:val="0"/>
                          <w:divBdr>
                            <w:top w:val="none" w:sz="0" w:space="0" w:color="auto"/>
                            <w:left w:val="none" w:sz="0" w:space="0" w:color="auto"/>
                            <w:bottom w:val="none" w:sz="0" w:space="0" w:color="auto"/>
                            <w:right w:val="none" w:sz="0" w:space="0" w:color="auto"/>
                          </w:divBdr>
                        </w:div>
                        <w:div w:id="1687828064">
                          <w:marLeft w:val="0"/>
                          <w:marRight w:val="0"/>
                          <w:marTop w:val="0"/>
                          <w:marBottom w:val="0"/>
                          <w:divBdr>
                            <w:top w:val="none" w:sz="0" w:space="0" w:color="auto"/>
                            <w:left w:val="none" w:sz="0" w:space="0" w:color="auto"/>
                            <w:bottom w:val="none" w:sz="0" w:space="0" w:color="auto"/>
                            <w:right w:val="none" w:sz="0" w:space="0" w:color="auto"/>
                          </w:divBdr>
                        </w:div>
                        <w:div w:id="520356930">
                          <w:marLeft w:val="0"/>
                          <w:marRight w:val="0"/>
                          <w:marTop w:val="0"/>
                          <w:marBottom w:val="0"/>
                          <w:divBdr>
                            <w:top w:val="none" w:sz="0" w:space="0" w:color="auto"/>
                            <w:left w:val="none" w:sz="0" w:space="0" w:color="auto"/>
                            <w:bottom w:val="none" w:sz="0" w:space="0" w:color="auto"/>
                            <w:right w:val="none" w:sz="0" w:space="0" w:color="auto"/>
                          </w:divBdr>
                        </w:div>
                        <w:div w:id="1786149839">
                          <w:marLeft w:val="0"/>
                          <w:marRight w:val="0"/>
                          <w:marTop w:val="0"/>
                          <w:marBottom w:val="0"/>
                          <w:divBdr>
                            <w:top w:val="none" w:sz="0" w:space="0" w:color="auto"/>
                            <w:left w:val="none" w:sz="0" w:space="0" w:color="auto"/>
                            <w:bottom w:val="none" w:sz="0" w:space="0" w:color="auto"/>
                            <w:right w:val="none" w:sz="0" w:space="0" w:color="auto"/>
                          </w:divBdr>
                        </w:div>
                      </w:divsChild>
                    </w:div>
                    <w:div w:id="440952949">
                      <w:marLeft w:val="0"/>
                      <w:marRight w:val="0"/>
                      <w:marTop w:val="0"/>
                      <w:marBottom w:val="0"/>
                      <w:divBdr>
                        <w:top w:val="none" w:sz="0" w:space="0" w:color="auto"/>
                        <w:left w:val="none" w:sz="0" w:space="0" w:color="auto"/>
                        <w:bottom w:val="none" w:sz="0" w:space="0" w:color="auto"/>
                        <w:right w:val="none" w:sz="0" w:space="0" w:color="auto"/>
                      </w:divBdr>
                      <w:divsChild>
                        <w:div w:id="1293751411">
                          <w:marLeft w:val="0"/>
                          <w:marRight w:val="0"/>
                          <w:marTop w:val="0"/>
                          <w:marBottom w:val="0"/>
                          <w:divBdr>
                            <w:top w:val="none" w:sz="0" w:space="0" w:color="auto"/>
                            <w:left w:val="none" w:sz="0" w:space="0" w:color="auto"/>
                            <w:bottom w:val="none" w:sz="0" w:space="0" w:color="auto"/>
                            <w:right w:val="none" w:sz="0" w:space="0" w:color="auto"/>
                          </w:divBdr>
                        </w:div>
                        <w:div w:id="2143885420">
                          <w:marLeft w:val="0"/>
                          <w:marRight w:val="0"/>
                          <w:marTop w:val="0"/>
                          <w:marBottom w:val="0"/>
                          <w:divBdr>
                            <w:top w:val="none" w:sz="0" w:space="0" w:color="auto"/>
                            <w:left w:val="none" w:sz="0" w:space="0" w:color="auto"/>
                            <w:bottom w:val="none" w:sz="0" w:space="0" w:color="auto"/>
                            <w:right w:val="none" w:sz="0" w:space="0" w:color="auto"/>
                          </w:divBdr>
                        </w:div>
                        <w:div w:id="124011364">
                          <w:marLeft w:val="0"/>
                          <w:marRight w:val="0"/>
                          <w:marTop w:val="0"/>
                          <w:marBottom w:val="0"/>
                          <w:divBdr>
                            <w:top w:val="none" w:sz="0" w:space="0" w:color="auto"/>
                            <w:left w:val="none" w:sz="0" w:space="0" w:color="auto"/>
                            <w:bottom w:val="none" w:sz="0" w:space="0" w:color="auto"/>
                            <w:right w:val="none" w:sz="0" w:space="0" w:color="auto"/>
                          </w:divBdr>
                        </w:div>
                        <w:div w:id="1852915052">
                          <w:marLeft w:val="0"/>
                          <w:marRight w:val="0"/>
                          <w:marTop w:val="0"/>
                          <w:marBottom w:val="0"/>
                          <w:divBdr>
                            <w:top w:val="none" w:sz="0" w:space="0" w:color="auto"/>
                            <w:left w:val="none" w:sz="0" w:space="0" w:color="auto"/>
                            <w:bottom w:val="none" w:sz="0" w:space="0" w:color="auto"/>
                            <w:right w:val="none" w:sz="0" w:space="0" w:color="auto"/>
                          </w:divBdr>
                        </w:div>
                        <w:div w:id="1765570561">
                          <w:marLeft w:val="0"/>
                          <w:marRight w:val="0"/>
                          <w:marTop w:val="0"/>
                          <w:marBottom w:val="0"/>
                          <w:divBdr>
                            <w:top w:val="none" w:sz="0" w:space="0" w:color="auto"/>
                            <w:left w:val="none" w:sz="0" w:space="0" w:color="auto"/>
                            <w:bottom w:val="none" w:sz="0" w:space="0" w:color="auto"/>
                            <w:right w:val="none" w:sz="0" w:space="0" w:color="auto"/>
                          </w:divBdr>
                        </w:div>
                        <w:div w:id="1488672841">
                          <w:marLeft w:val="0"/>
                          <w:marRight w:val="0"/>
                          <w:marTop w:val="0"/>
                          <w:marBottom w:val="0"/>
                          <w:divBdr>
                            <w:top w:val="none" w:sz="0" w:space="0" w:color="auto"/>
                            <w:left w:val="none" w:sz="0" w:space="0" w:color="auto"/>
                            <w:bottom w:val="none" w:sz="0" w:space="0" w:color="auto"/>
                            <w:right w:val="none" w:sz="0" w:space="0" w:color="auto"/>
                          </w:divBdr>
                        </w:div>
                        <w:div w:id="423041425">
                          <w:marLeft w:val="0"/>
                          <w:marRight w:val="0"/>
                          <w:marTop w:val="0"/>
                          <w:marBottom w:val="0"/>
                          <w:divBdr>
                            <w:top w:val="none" w:sz="0" w:space="0" w:color="auto"/>
                            <w:left w:val="none" w:sz="0" w:space="0" w:color="auto"/>
                            <w:bottom w:val="none" w:sz="0" w:space="0" w:color="auto"/>
                            <w:right w:val="none" w:sz="0" w:space="0" w:color="auto"/>
                          </w:divBdr>
                        </w:div>
                        <w:div w:id="1654800225">
                          <w:marLeft w:val="0"/>
                          <w:marRight w:val="0"/>
                          <w:marTop w:val="0"/>
                          <w:marBottom w:val="0"/>
                          <w:divBdr>
                            <w:top w:val="none" w:sz="0" w:space="0" w:color="auto"/>
                            <w:left w:val="none" w:sz="0" w:space="0" w:color="auto"/>
                            <w:bottom w:val="none" w:sz="0" w:space="0" w:color="auto"/>
                            <w:right w:val="none" w:sz="0" w:space="0" w:color="auto"/>
                          </w:divBdr>
                        </w:div>
                        <w:div w:id="421071538">
                          <w:marLeft w:val="0"/>
                          <w:marRight w:val="0"/>
                          <w:marTop w:val="0"/>
                          <w:marBottom w:val="0"/>
                          <w:divBdr>
                            <w:top w:val="none" w:sz="0" w:space="0" w:color="auto"/>
                            <w:left w:val="none" w:sz="0" w:space="0" w:color="auto"/>
                            <w:bottom w:val="none" w:sz="0" w:space="0" w:color="auto"/>
                            <w:right w:val="none" w:sz="0" w:space="0" w:color="auto"/>
                          </w:divBdr>
                        </w:div>
                        <w:div w:id="1731808821">
                          <w:marLeft w:val="0"/>
                          <w:marRight w:val="0"/>
                          <w:marTop w:val="0"/>
                          <w:marBottom w:val="0"/>
                          <w:divBdr>
                            <w:top w:val="none" w:sz="0" w:space="0" w:color="auto"/>
                            <w:left w:val="none" w:sz="0" w:space="0" w:color="auto"/>
                            <w:bottom w:val="none" w:sz="0" w:space="0" w:color="auto"/>
                            <w:right w:val="none" w:sz="0" w:space="0" w:color="auto"/>
                          </w:divBdr>
                        </w:div>
                      </w:divsChild>
                    </w:div>
                    <w:div w:id="751195160">
                      <w:marLeft w:val="0"/>
                      <w:marRight w:val="0"/>
                      <w:marTop w:val="0"/>
                      <w:marBottom w:val="0"/>
                      <w:divBdr>
                        <w:top w:val="none" w:sz="0" w:space="0" w:color="auto"/>
                        <w:left w:val="none" w:sz="0" w:space="0" w:color="auto"/>
                        <w:bottom w:val="none" w:sz="0" w:space="0" w:color="auto"/>
                        <w:right w:val="none" w:sz="0" w:space="0" w:color="auto"/>
                      </w:divBdr>
                      <w:divsChild>
                        <w:div w:id="2060861244">
                          <w:marLeft w:val="0"/>
                          <w:marRight w:val="0"/>
                          <w:marTop w:val="0"/>
                          <w:marBottom w:val="0"/>
                          <w:divBdr>
                            <w:top w:val="none" w:sz="0" w:space="0" w:color="auto"/>
                            <w:left w:val="none" w:sz="0" w:space="0" w:color="auto"/>
                            <w:bottom w:val="none" w:sz="0" w:space="0" w:color="auto"/>
                            <w:right w:val="none" w:sz="0" w:space="0" w:color="auto"/>
                          </w:divBdr>
                        </w:div>
                        <w:div w:id="2074500912">
                          <w:marLeft w:val="0"/>
                          <w:marRight w:val="0"/>
                          <w:marTop w:val="0"/>
                          <w:marBottom w:val="0"/>
                          <w:divBdr>
                            <w:top w:val="none" w:sz="0" w:space="0" w:color="auto"/>
                            <w:left w:val="none" w:sz="0" w:space="0" w:color="auto"/>
                            <w:bottom w:val="none" w:sz="0" w:space="0" w:color="auto"/>
                            <w:right w:val="none" w:sz="0" w:space="0" w:color="auto"/>
                          </w:divBdr>
                        </w:div>
                        <w:div w:id="1501962136">
                          <w:marLeft w:val="0"/>
                          <w:marRight w:val="0"/>
                          <w:marTop w:val="0"/>
                          <w:marBottom w:val="0"/>
                          <w:divBdr>
                            <w:top w:val="none" w:sz="0" w:space="0" w:color="auto"/>
                            <w:left w:val="none" w:sz="0" w:space="0" w:color="auto"/>
                            <w:bottom w:val="none" w:sz="0" w:space="0" w:color="auto"/>
                            <w:right w:val="none" w:sz="0" w:space="0" w:color="auto"/>
                          </w:divBdr>
                        </w:div>
                        <w:div w:id="510947729">
                          <w:marLeft w:val="0"/>
                          <w:marRight w:val="0"/>
                          <w:marTop w:val="0"/>
                          <w:marBottom w:val="0"/>
                          <w:divBdr>
                            <w:top w:val="none" w:sz="0" w:space="0" w:color="auto"/>
                            <w:left w:val="none" w:sz="0" w:space="0" w:color="auto"/>
                            <w:bottom w:val="none" w:sz="0" w:space="0" w:color="auto"/>
                            <w:right w:val="none" w:sz="0" w:space="0" w:color="auto"/>
                          </w:divBdr>
                        </w:div>
                        <w:div w:id="1706447622">
                          <w:marLeft w:val="0"/>
                          <w:marRight w:val="0"/>
                          <w:marTop w:val="0"/>
                          <w:marBottom w:val="0"/>
                          <w:divBdr>
                            <w:top w:val="none" w:sz="0" w:space="0" w:color="auto"/>
                            <w:left w:val="none" w:sz="0" w:space="0" w:color="auto"/>
                            <w:bottom w:val="none" w:sz="0" w:space="0" w:color="auto"/>
                            <w:right w:val="none" w:sz="0" w:space="0" w:color="auto"/>
                          </w:divBdr>
                        </w:div>
                        <w:div w:id="697387072">
                          <w:marLeft w:val="0"/>
                          <w:marRight w:val="0"/>
                          <w:marTop w:val="0"/>
                          <w:marBottom w:val="0"/>
                          <w:divBdr>
                            <w:top w:val="none" w:sz="0" w:space="0" w:color="auto"/>
                            <w:left w:val="none" w:sz="0" w:space="0" w:color="auto"/>
                            <w:bottom w:val="none" w:sz="0" w:space="0" w:color="auto"/>
                            <w:right w:val="none" w:sz="0" w:space="0" w:color="auto"/>
                          </w:divBdr>
                        </w:div>
                        <w:div w:id="1411385152">
                          <w:marLeft w:val="0"/>
                          <w:marRight w:val="0"/>
                          <w:marTop w:val="0"/>
                          <w:marBottom w:val="0"/>
                          <w:divBdr>
                            <w:top w:val="none" w:sz="0" w:space="0" w:color="auto"/>
                            <w:left w:val="none" w:sz="0" w:space="0" w:color="auto"/>
                            <w:bottom w:val="none" w:sz="0" w:space="0" w:color="auto"/>
                            <w:right w:val="none" w:sz="0" w:space="0" w:color="auto"/>
                          </w:divBdr>
                        </w:div>
                        <w:div w:id="1028990359">
                          <w:marLeft w:val="0"/>
                          <w:marRight w:val="0"/>
                          <w:marTop w:val="0"/>
                          <w:marBottom w:val="0"/>
                          <w:divBdr>
                            <w:top w:val="none" w:sz="0" w:space="0" w:color="auto"/>
                            <w:left w:val="none" w:sz="0" w:space="0" w:color="auto"/>
                            <w:bottom w:val="none" w:sz="0" w:space="0" w:color="auto"/>
                            <w:right w:val="none" w:sz="0" w:space="0" w:color="auto"/>
                          </w:divBdr>
                        </w:div>
                        <w:div w:id="612136200">
                          <w:marLeft w:val="0"/>
                          <w:marRight w:val="0"/>
                          <w:marTop w:val="0"/>
                          <w:marBottom w:val="0"/>
                          <w:divBdr>
                            <w:top w:val="none" w:sz="0" w:space="0" w:color="auto"/>
                            <w:left w:val="none" w:sz="0" w:space="0" w:color="auto"/>
                            <w:bottom w:val="none" w:sz="0" w:space="0" w:color="auto"/>
                            <w:right w:val="none" w:sz="0" w:space="0" w:color="auto"/>
                          </w:divBdr>
                        </w:div>
                        <w:div w:id="1345328786">
                          <w:marLeft w:val="0"/>
                          <w:marRight w:val="0"/>
                          <w:marTop w:val="0"/>
                          <w:marBottom w:val="0"/>
                          <w:divBdr>
                            <w:top w:val="none" w:sz="0" w:space="0" w:color="auto"/>
                            <w:left w:val="none" w:sz="0" w:space="0" w:color="auto"/>
                            <w:bottom w:val="none" w:sz="0" w:space="0" w:color="auto"/>
                            <w:right w:val="none" w:sz="0" w:space="0" w:color="auto"/>
                          </w:divBdr>
                        </w:div>
                        <w:div w:id="1685791046">
                          <w:marLeft w:val="0"/>
                          <w:marRight w:val="0"/>
                          <w:marTop w:val="0"/>
                          <w:marBottom w:val="0"/>
                          <w:divBdr>
                            <w:top w:val="none" w:sz="0" w:space="0" w:color="auto"/>
                            <w:left w:val="none" w:sz="0" w:space="0" w:color="auto"/>
                            <w:bottom w:val="none" w:sz="0" w:space="0" w:color="auto"/>
                            <w:right w:val="none" w:sz="0" w:space="0" w:color="auto"/>
                          </w:divBdr>
                        </w:div>
                        <w:div w:id="2125079770">
                          <w:marLeft w:val="0"/>
                          <w:marRight w:val="0"/>
                          <w:marTop w:val="0"/>
                          <w:marBottom w:val="0"/>
                          <w:divBdr>
                            <w:top w:val="none" w:sz="0" w:space="0" w:color="auto"/>
                            <w:left w:val="none" w:sz="0" w:space="0" w:color="auto"/>
                            <w:bottom w:val="none" w:sz="0" w:space="0" w:color="auto"/>
                            <w:right w:val="none" w:sz="0" w:space="0" w:color="auto"/>
                          </w:divBdr>
                        </w:div>
                        <w:div w:id="1639651551">
                          <w:marLeft w:val="0"/>
                          <w:marRight w:val="0"/>
                          <w:marTop w:val="0"/>
                          <w:marBottom w:val="0"/>
                          <w:divBdr>
                            <w:top w:val="none" w:sz="0" w:space="0" w:color="auto"/>
                            <w:left w:val="none" w:sz="0" w:space="0" w:color="auto"/>
                            <w:bottom w:val="none" w:sz="0" w:space="0" w:color="auto"/>
                            <w:right w:val="none" w:sz="0" w:space="0" w:color="auto"/>
                          </w:divBdr>
                        </w:div>
                        <w:div w:id="1013188402">
                          <w:marLeft w:val="0"/>
                          <w:marRight w:val="0"/>
                          <w:marTop w:val="0"/>
                          <w:marBottom w:val="0"/>
                          <w:divBdr>
                            <w:top w:val="none" w:sz="0" w:space="0" w:color="auto"/>
                            <w:left w:val="none" w:sz="0" w:space="0" w:color="auto"/>
                            <w:bottom w:val="none" w:sz="0" w:space="0" w:color="auto"/>
                            <w:right w:val="none" w:sz="0" w:space="0" w:color="auto"/>
                          </w:divBdr>
                        </w:div>
                        <w:div w:id="271322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542938288">
      <w:bodyDiv w:val="1"/>
      <w:marLeft w:val="0"/>
      <w:marRight w:val="0"/>
      <w:marTop w:val="0"/>
      <w:marBottom w:val="0"/>
      <w:divBdr>
        <w:top w:val="none" w:sz="0" w:space="0" w:color="auto"/>
        <w:left w:val="none" w:sz="0" w:space="0" w:color="auto"/>
        <w:bottom w:val="none" w:sz="0" w:space="0" w:color="auto"/>
        <w:right w:val="none" w:sz="0" w:space="0" w:color="auto"/>
      </w:divBdr>
      <w:divsChild>
        <w:div w:id="401955372">
          <w:marLeft w:val="0"/>
          <w:marRight w:val="0"/>
          <w:marTop w:val="0"/>
          <w:marBottom w:val="0"/>
          <w:divBdr>
            <w:top w:val="none" w:sz="0" w:space="0" w:color="auto"/>
            <w:left w:val="none" w:sz="0" w:space="0" w:color="auto"/>
            <w:bottom w:val="none" w:sz="0" w:space="0" w:color="auto"/>
            <w:right w:val="none" w:sz="0" w:space="0" w:color="auto"/>
          </w:divBdr>
          <w:divsChild>
            <w:div w:id="421995216">
              <w:marLeft w:val="0"/>
              <w:marRight w:val="0"/>
              <w:marTop w:val="0"/>
              <w:marBottom w:val="0"/>
              <w:divBdr>
                <w:top w:val="none" w:sz="0" w:space="0" w:color="auto"/>
                <w:left w:val="none" w:sz="0" w:space="0" w:color="auto"/>
                <w:bottom w:val="none" w:sz="0" w:space="0" w:color="auto"/>
                <w:right w:val="none" w:sz="0" w:space="0" w:color="auto"/>
              </w:divBdr>
              <w:divsChild>
                <w:div w:id="1426683269">
                  <w:marLeft w:val="0"/>
                  <w:marRight w:val="0"/>
                  <w:marTop w:val="0"/>
                  <w:marBottom w:val="0"/>
                  <w:divBdr>
                    <w:top w:val="none" w:sz="0" w:space="0" w:color="auto"/>
                    <w:left w:val="none" w:sz="0" w:space="0" w:color="auto"/>
                    <w:bottom w:val="none" w:sz="0" w:space="0" w:color="auto"/>
                    <w:right w:val="none" w:sz="0" w:space="0" w:color="auto"/>
                  </w:divBdr>
                  <w:divsChild>
                    <w:div w:id="2096128540">
                      <w:marLeft w:val="0"/>
                      <w:marRight w:val="0"/>
                      <w:marTop w:val="0"/>
                      <w:marBottom w:val="0"/>
                      <w:divBdr>
                        <w:top w:val="none" w:sz="0" w:space="0" w:color="auto"/>
                        <w:left w:val="none" w:sz="0" w:space="0" w:color="auto"/>
                        <w:bottom w:val="none" w:sz="0" w:space="0" w:color="auto"/>
                        <w:right w:val="none" w:sz="0" w:space="0" w:color="auto"/>
                      </w:divBdr>
                      <w:divsChild>
                        <w:div w:id="1312906742">
                          <w:marLeft w:val="0"/>
                          <w:marRight w:val="0"/>
                          <w:marTop w:val="0"/>
                          <w:marBottom w:val="0"/>
                          <w:divBdr>
                            <w:top w:val="none" w:sz="0" w:space="0" w:color="auto"/>
                            <w:left w:val="none" w:sz="0" w:space="0" w:color="auto"/>
                            <w:bottom w:val="none" w:sz="0" w:space="0" w:color="auto"/>
                            <w:right w:val="none" w:sz="0" w:space="0" w:color="auto"/>
                          </w:divBdr>
                        </w:div>
                        <w:div w:id="1116221060">
                          <w:marLeft w:val="0"/>
                          <w:marRight w:val="0"/>
                          <w:marTop w:val="0"/>
                          <w:marBottom w:val="0"/>
                          <w:divBdr>
                            <w:top w:val="none" w:sz="0" w:space="0" w:color="auto"/>
                            <w:left w:val="none" w:sz="0" w:space="0" w:color="auto"/>
                            <w:bottom w:val="none" w:sz="0" w:space="0" w:color="auto"/>
                            <w:right w:val="none" w:sz="0" w:space="0" w:color="auto"/>
                          </w:divBdr>
                        </w:div>
                        <w:div w:id="456220374">
                          <w:marLeft w:val="0"/>
                          <w:marRight w:val="0"/>
                          <w:marTop w:val="0"/>
                          <w:marBottom w:val="0"/>
                          <w:divBdr>
                            <w:top w:val="none" w:sz="0" w:space="0" w:color="auto"/>
                            <w:left w:val="none" w:sz="0" w:space="0" w:color="auto"/>
                            <w:bottom w:val="none" w:sz="0" w:space="0" w:color="auto"/>
                            <w:right w:val="none" w:sz="0" w:space="0" w:color="auto"/>
                          </w:divBdr>
                        </w:div>
                        <w:div w:id="1631276863">
                          <w:marLeft w:val="0"/>
                          <w:marRight w:val="0"/>
                          <w:marTop w:val="0"/>
                          <w:marBottom w:val="0"/>
                          <w:divBdr>
                            <w:top w:val="none" w:sz="0" w:space="0" w:color="auto"/>
                            <w:left w:val="none" w:sz="0" w:space="0" w:color="auto"/>
                            <w:bottom w:val="none" w:sz="0" w:space="0" w:color="auto"/>
                            <w:right w:val="none" w:sz="0" w:space="0" w:color="auto"/>
                          </w:divBdr>
                        </w:div>
                        <w:div w:id="1236168489">
                          <w:marLeft w:val="0"/>
                          <w:marRight w:val="0"/>
                          <w:marTop w:val="0"/>
                          <w:marBottom w:val="0"/>
                          <w:divBdr>
                            <w:top w:val="none" w:sz="0" w:space="0" w:color="auto"/>
                            <w:left w:val="none" w:sz="0" w:space="0" w:color="auto"/>
                            <w:bottom w:val="none" w:sz="0" w:space="0" w:color="auto"/>
                            <w:right w:val="none" w:sz="0" w:space="0" w:color="auto"/>
                          </w:divBdr>
                        </w:div>
                        <w:div w:id="675571355">
                          <w:marLeft w:val="0"/>
                          <w:marRight w:val="0"/>
                          <w:marTop w:val="0"/>
                          <w:marBottom w:val="0"/>
                          <w:divBdr>
                            <w:top w:val="none" w:sz="0" w:space="0" w:color="auto"/>
                            <w:left w:val="none" w:sz="0" w:space="0" w:color="auto"/>
                            <w:bottom w:val="none" w:sz="0" w:space="0" w:color="auto"/>
                            <w:right w:val="none" w:sz="0" w:space="0" w:color="auto"/>
                          </w:divBdr>
                        </w:div>
                        <w:div w:id="1768117958">
                          <w:marLeft w:val="0"/>
                          <w:marRight w:val="0"/>
                          <w:marTop w:val="0"/>
                          <w:marBottom w:val="0"/>
                          <w:divBdr>
                            <w:top w:val="none" w:sz="0" w:space="0" w:color="auto"/>
                            <w:left w:val="none" w:sz="0" w:space="0" w:color="auto"/>
                            <w:bottom w:val="none" w:sz="0" w:space="0" w:color="auto"/>
                            <w:right w:val="none" w:sz="0" w:space="0" w:color="auto"/>
                          </w:divBdr>
                        </w:div>
                        <w:div w:id="156654321">
                          <w:marLeft w:val="0"/>
                          <w:marRight w:val="0"/>
                          <w:marTop w:val="0"/>
                          <w:marBottom w:val="0"/>
                          <w:divBdr>
                            <w:top w:val="none" w:sz="0" w:space="0" w:color="auto"/>
                            <w:left w:val="none" w:sz="0" w:space="0" w:color="auto"/>
                            <w:bottom w:val="none" w:sz="0" w:space="0" w:color="auto"/>
                            <w:right w:val="none" w:sz="0" w:space="0" w:color="auto"/>
                          </w:divBdr>
                        </w:div>
                      </w:divsChild>
                    </w:div>
                    <w:div w:id="338386581">
                      <w:marLeft w:val="0"/>
                      <w:marRight w:val="0"/>
                      <w:marTop w:val="0"/>
                      <w:marBottom w:val="0"/>
                      <w:divBdr>
                        <w:top w:val="none" w:sz="0" w:space="0" w:color="auto"/>
                        <w:left w:val="none" w:sz="0" w:space="0" w:color="auto"/>
                        <w:bottom w:val="none" w:sz="0" w:space="0" w:color="auto"/>
                        <w:right w:val="none" w:sz="0" w:space="0" w:color="auto"/>
                      </w:divBdr>
                      <w:divsChild>
                        <w:div w:id="1885290919">
                          <w:marLeft w:val="0"/>
                          <w:marRight w:val="0"/>
                          <w:marTop w:val="0"/>
                          <w:marBottom w:val="0"/>
                          <w:divBdr>
                            <w:top w:val="none" w:sz="0" w:space="0" w:color="auto"/>
                            <w:left w:val="none" w:sz="0" w:space="0" w:color="auto"/>
                            <w:bottom w:val="none" w:sz="0" w:space="0" w:color="auto"/>
                            <w:right w:val="none" w:sz="0" w:space="0" w:color="auto"/>
                          </w:divBdr>
                        </w:div>
                        <w:div w:id="428503313">
                          <w:marLeft w:val="0"/>
                          <w:marRight w:val="0"/>
                          <w:marTop w:val="0"/>
                          <w:marBottom w:val="0"/>
                          <w:divBdr>
                            <w:top w:val="none" w:sz="0" w:space="0" w:color="auto"/>
                            <w:left w:val="none" w:sz="0" w:space="0" w:color="auto"/>
                            <w:bottom w:val="none" w:sz="0" w:space="0" w:color="auto"/>
                            <w:right w:val="none" w:sz="0" w:space="0" w:color="auto"/>
                          </w:divBdr>
                        </w:div>
                        <w:div w:id="1183932065">
                          <w:marLeft w:val="0"/>
                          <w:marRight w:val="0"/>
                          <w:marTop w:val="0"/>
                          <w:marBottom w:val="0"/>
                          <w:divBdr>
                            <w:top w:val="none" w:sz="0" w:space="0" w:color="auto"/>
                            <w:left w:val="none" w:sz="0" w:space="0" w:color="auto"/>
                            <w:bottom w:val="none" w:sz="0" w:space="0" w:color="auto"/>
                            <w:right w:val="none" w:sz="0" w:space="0" w:color="auto"/>
                          </w:divBdr>
                        </w:div>
                        <w:div w:id="1864704659">
                          <w:marLeft w:val="0"/>
                          <w:marRight w:val="0"/>
                          <w:marTop w:val="0"/>
                          <w:marBottom w:val="0"/>
                          <w:divBdr>
                            <w:top w:val="none" w:sz="0" w:space="0" w:color="auto"/>
                            <w:left w:val="none" w:sz="0" w:space="0" w:color="auto"/>
                            <w:bottom w:val="none" w:sz="0" w:space="0" w:color="auto"/>
                            <w:right w:val="none" w:sz="0" w:space="0" w:color="auto"/>
                          </w:divBdr>
                        </w:div>
                        <w:div w:id="1925648666">
                          <w:marLeft w:val="0"/>
                          <w:marRight w:val="0"/>
                          <w:marTop w:val="0"/>
                          <w:marBottom w:val="0"/>
                          <w:divBdr>
                            <w:top w:val="none" w:sz="0" w:space="0" w:color="auto"/>
                            <w:left w:val="none" w:sz="0" w:space="0" w:color="auto"/>
                            <w:bottom w:val="none" w:sz="0" w:space="0" w:color="auto"/>
                            <w:right w:val="none" w:sz="0" w:space="0" w:color="auto"/>
                          </w:divBdr>
                        </w:div>
                        <w:div w:id="476726275">
                          <w:marLeft w:val="0"/>
                          <w:marRight w:val="0"/>
                          <w:marTop w:val="0"/>
                          <w:marBottom w:val="0"/>
                          <w:divBdr>
                            <w:top w:val="none" w:sz="0" w:space="0" w:color="auto"/>
                            <w:left w:val="none" w:sz="0" w:space="0" w:color="auto"/>
                            <w:bottom w:val="none" w:sz="0" w:space="0" w:color="auto"/>
                            <w:right w:val="none" w:sz="0" w:space="0" w:color="auto"/>
                          </w:divBdr>
                        </w:div>
                        <w:div w:id="1238444462">
                          <w:marLeft w:val="0"/>
                          <w:marRight w:val="0"/>
                          <w:marTop w:val="0"/>
                          <w:marBottom w:val="0"/>
                          <w:divBdr>
                            <w:top w:val="none" w:sz="0" w:space="0" w:color="auto"/>
                            <w:left w:val="none" w:sz="0" w:space="0" w:color="auto"/>
                            <w:bottom w:val="none" w:sz="0" w:space="0" w:color="auto"/>
                            <w:right w:val="none" w:sz="0" w:space="0" w:color="auto"/>
                          </w:divBdr>
                        </w:div>
                        <w:div w:id="500703723">
                          <w:marLeft w:val="0"/>
                          <w:marRight w:val="0"/>
                          <w:marTop w:val="0"/>
                          <w:marBottom w:val="0"/>
                          <w:divBdr>
                            <w:top w:val="none" w:sz="0" w:space="0" w:color="auto"/>
                            <w:left w:val="none" w:sz="0" w:space="0" w:color="auto"/>
                            <w:bottom w:val="none" w:sz="0" w:space="0" w:color="auto"/>
                            <w:right w:val="none" w:sz="0" w:space="0" w:color="auto"/>
                          </w:divBdr>
                        </w:div>
                        <w:div w:id="1318846637">
                          <w:marLeft w:val="0"/>
                          <w:marRight w:val="0"/>
                          <w:marTop w:val="0"/>
                          <w:marBottom w:val="0"/>
                          <w:divBdr>
                            <w:top w:val="none" w:sz="0" w:space="0" w:color="auto"/>
                            <w:left w:val="none" w:sz="0" w:space="0" w:color="auto"/>
                            <w:bottom w:val="none" w:sz="0" w:space="0" w:color="auto"/>
                            <w:right w:val="none" w:sz="0" w:space="0" w:color="auto"/>
                          </w:divBdr>
                        </w:div>
                      </w:divsChild>
                    </w:div>
                    <w:div w:id="829103731">
                      <w:marLeft w:val="0"/>
                      <w:marRight w:val="0"/>
                      <w:marTop w:val="0"/>
                      <w:marBottom w:val="0"/>
                      <w:divBdr>
                        <w:top w:val="none" w:sz="0" w:space="0" w:color="auto"/>
                        <w:left w:val="none" w:sz="0" w:space="0" w:color="auto"/>
                        <w:bottom w:val="none" w:sz="0" w:space="0" w:color="auto"/>
                        <w:right w:val="none" w:sz="0" w:space="0" w:color="auto"/>
                      </w:divBdr>
                      <w:divsChild>
                        <w:div w:id="422847231">
                          <w:marLeft w:val="0"/>
                          <w:marRight w:val="0"/>
                          <w:marTop w:val="0"/>
                          <w:marBottom w:val="0"/>
                          <w:divBdr>
                            <w:top w:val="none" w:sz="0" w:space="0" w:color="auto"/>
                            <w:left w:val="none" w:sz="0" w:space="0" w:color="auto"/>
                            <w:bottom w:val="none" w:sz="0" w:space="0" w:color="auto"/>
                            <w:right w:val="none" w:sz="0" w:space="0" w:color="auto"/>
                          </w:divBdr>
                        </w:div>
                        <w:div w:id="721559601">
                          <w:marLeft w:val="0"/>
                          <w:marRight w:val="0"/>
                          <w:marTop w:val="0"/>
                          <w:marBottom w:val="0"/>
                          <w:divBdr>
                            <w:top w:val="none" w:sz="0" w:space="0" w:color="auto"/>
                            <w:left w:val="none" w:sz="0" w:space="0" w:color="auto"/>
                            <w:bottom w:val="none" w:sz="0" w:space="0" w:color="auto"/>
                            <w:right w:val="none" w:sz="0" w:space="0" w:color="auto"/>
                          </w:divBdr>
                        </w:div>
                        <w:div w:id="2008482094">
                          <w:marLeft w:val="0"/>
                          <w:marRight w:val="0"/>
                          <w:marTop w:val="0"/>
                          <w:marBottom w:val="0"/>
                          <w:divBdr>
                            <w:top w:val="none" w:sz="0" w:space="0" w:color="auto"/>
                            <w:left w:val="none" w:sz="0" w:space="0" w:color="auto"/>
                            <w:bottom w:val="none" w:sz="0" w:space="0" w:color="auto"/>
                            <w:right w:val="none" w:sz="0" w:space="0" w:color="auto"/>
                          </w:divBdr>
                        </w:div>
                        <w:div w:id="1256205398">
                          <w:marLeft w:val="0"/>
                          <w:marRight w:val="0"/>
                          <w:marTop w:val="0"/>
                          <w:marBottom w:val="0"/>
                          <w:divBdr>
                            <w:top w:val="none" w:sz="0" w:space="0" w:color="auto"/>
                            <w:left w:val="none" w:sz="0" w:space="0" w:color="auto"/>
                            <w:bottom w:val="none" w:sz="0" w:space="0" w:color="auto"/>
                            <w:right w:val="none" w:sz="0" w:space="0" w:color="auto"/>
                          </w:divBdr>
                        </w:div>
                        <w:div w:id="1794128805">
                          <w:marLeft w:val="0"/>
                          <w:marRight w:val="0"/>
                          <w:marTop w:val="0"/>
                          <w:marBottom w:val="0"/>
                          <w:divBdr>
                            <w:top w:val="none" w:sz="0" w:space="0" w:color="auto"/>
                            <w:left w:val="none" w:sz="0" w:space="0" w:color="auto"/>
                            <w:bottom w:val="none" w:sz="0" w:space="0" w:color="auto"/>
                            <w:right w:val="none" w:sz="0" w:space="0" w:color="auto"/>
                          </w:divBdr>
                        </w:div>
                        <w:div w:id="1367559349">
                          <w:marLeft w:val="0"/>
                          <w:marRight w:val="0"/>
                          <w:marTop w:val="0"/>
                          <w:marBottom w:val="0"/>
                          <w:divBdr>
                            <w:top w:val="none" w:sz="0" w:space="0" w:color="auto"/>
                            <w:left w:val="none" w:sz="0" w:space="0" w:color="auto"/>
                            <w:bottom w:val="none" w:sz="0" w:space="0" w:color="auto"/>
                            <w:right w:val="none" w:sz="0" w:space="0" w:color="auto"/>
                          </w:divBdr>
                        </w:div>
                        <w:div w:id="1208834042">
                          <w:marLeft w:val="0"/>
                          <w:marRight w:val="0"/>
                          <w:marTop w:val="0"/>
                          <w:marBottom w:val="0"/>
                          <w:divBdr>
                            <w:top w:val="none" w:sz="0" w:space="0" w:color="auto"/>
                            <w:left w:val="none" w:sz="0" w:space="0" w:color="auto"/>
                            <w:bottom w:val="none" w:sz="0" w:space="0" w:color="auto"/>
                            <w:right w:val="none" w:sz="0" w:space="0" w:color="auto"/>
                          </w:divBdr>
                        </w:div>
                      </w:divsChild>
                    </w:div>
                    <w:div w:id="1280262465">
                      <w:marLeft w:val="0"/>
                      <w:marRight w:val="0"/>
                      <w:marTop w:val="0"/>
                      <w:marBottom w:val="0"/>
                      <w:divBdr>
                        <w:top w:val="none" w:sz="0" w:space="0" w:color="auto"/>
                        <w:left w:val="none" w:sz="0" w:space="0" w:color="auto"/>
                        <w:bottom w:val="none" w:sz="0" w:space="0" w:color="auto"/>
                        <w:right w:val="none" w:sz="0" w:space="0" w:color="auto"/>
                      </w:divBdr>
                      <w:divsChild>
                        <w:div w:id="658122360">
                          <w:marLeft w:val="0"/>
                          <w:marRight w:val="0"/>
                          <w:marTop w:val="0"/>
                          <w:marBottom w:val="0"/>
                          <w:divBdr>
                            <w:top w:val="none" w:sz="0" w:space="0" w:color="auto"/>
                            <w:left w:val="none" w:sz="0" w:space="0" w:color="auto"/>
                            <w:bottom w:val="none" w:sz="0" w:space="0" w:color="auto"/>
                            <w:right w:val="none" w:sz="0" w:space="0" w:color="auto"/>
                          </w:divBdr>
                        </w:div>
                        <w:div w:id="1358198904">
                          <w:marLeft w:val="0"/>
                          <w:marRight w:val="0"/>
                          <w:marTop w:val="0"/>
                          <w:marBottom w:val="0"/>
                          <w:divBdr>
                            <w:top w:val="none" w:sz="0" w:space="0" w:color="auto"/>
                            <w:left w:val="none" w:sz="0" w:space="0" w:color="auto"/>
                            <w:bottom w:val="none" w:sz="0" w:space="0" w:color="auto"/>
                            <w:right w:val="none" w:sz="0" w:space="0" w:color="auto"/>
                          </w:divBdr>
                        </w:div>
                        <w:div w:id="599067643">
                          <w:marLeft w:val="0"/>
                          <w:marRight w:val="0"/>
                          <w:marTop w:val="0"/>
                          <w:marBottom w:val="0"/>
                          <w:divBdr>
                            <w:top w:val="none" w:sz="0" w:space="0" w:color="auto"/>
                            <w:left w:val="none" w:sz="0" w:space="0" w:color="auto"/>
                            <w:bottom w:val="none" w:sz="0" w:space="0" w:color="auto"/>
                            <w:right w:val="none" w:sz="0" w:space="0" w:color="auto"/>
                          </w:divBdr>
                        </w:div>
                        <w:div w:id="684743858">
                          <w:marLeft w:val="0"/>
                          <w:marRight w:val="0"/>
                          <w:marTop w:val="0"/>
                          <w:marBottom w:val="0"/>
                          <w:divBdr>
                            <w:top w:val="none" w:sz="0" w:space="0" w:color="auto"/>
                            <w:left w:val="none" w:sz="0" w:space="0" w:color="auto"/>
                            <w:bottom w:val="none" w:sz="0" w:space="0" w:color="auto"/>
                            <w:right w:val="none" w:sz="0" w:space="0" w:color="auto"/>
                          </w:divBdr>
                        </w:div>
                        <w:div w:id="854079188">
                          <w:marLeft w:val="0"/>
                          <w:marRight w:val="0"/>
                          <w:marTop w:val="0"/>
                          <w:marBottom w:val="0"/>
                          <w:divBdr>
                            <w:top w:val="none" w:sz="0" w:space="0" w:color="auto"/>
                            <w:left w:val="none" w:sz="0" w:space="0" w:color="auto"/>
                            <w:bottom w:val="none" w:sz="0" w:space="0" w:color="auto"/>
                            <w:right w:val="none" w:sz="0" w:space="0" w:color="auto"/>
                          </w:divBdr>
                        </w:div>
                        <w:div w:id="110436242">
                          <w:marLeft w:val="0"/>
                          <w:marRight w:val="0"/>
                          <w:marTop w:val="0"/>
                          <w:marBottom w:val="0"/>
                          <w:divBdr>
                            <w:top w:val="none" w:sz="0" w:space="0" w:color="auto"/>
                            <w:left w:val="none" w:sz="0" w:space="0" w:color="auto"/>
                            <w:bottom w:val="none" w:sz="0" w:space="0" w:color="auto"/>
                            <w:right w:val="none" w:sz="0" w:space="0" w:color="auto"/>
                          </w:divBdr>
                        </w:div>
                        <w:div w:id="1033069391">
                          <w:marLeft w:val="0"/>
                          <w:marRight w:val="0"/>
                          <w:marTop w:val="0"/>
                          <w:marBottom w:val="0"/>
                          <w:divBdr>
                            <w:top w:val="none" w:sz="0" w:space="0" w:color="auto"/>
                            <w:left w:val="none" w:sz="0" w:space="0" w:color="auto"/>
                            <w:bottom w:val="none" w:sz="0" w:space="0" w:color="auto"/>
                            <w:right w:val="none" w:sz="0" w:space="0" w:color="auto"/>
                          </w:divBdr>
                        </w:div>
                        <w:div w:id="1822194744">
                          <w:marLeft w:val="0"/>
                          <w:marRight w:val="0"/>
                          <w:marTop w:val="0"/>
                          <w:marBottom w:val="0"/>
                          <w:divBdr>
                            <w:top w:val="none" w:sz="0" w:space="0" w:color="auto"/>
                            <w:left w:val="none" w:sz="0" w:space="0" w:color="auto"/>
                            <w:bottom w:val="none" w:sz="0" w:space="0" w:color="auto"/>
                            <w:right w:val="none" w:sz="0" w:space="0" w:color="auto"/>
                          </w:divBdr>
                        </w:div>
                        <w:div w:id="752817756">
                          <w:marLeft w:val="0"/>
                          <w:marRight w:val="0"/>
                          <w:marTop w:val="0"/>
                          <w:marBottom w:val="0"/>
                          <w:divBdr>
                            <w:top w:val="none" w:sz="0" w:space="0" w:color="auto"/>
                            <w:left w:val="none" w:sz="0" w:space="0" w:color="auto"/>
                            <w:bottom w:val="none" w:sz="0" w:space="0" w:color="auto"/>
                            <w:right w:val="none" w:sz="0" w:space="0" w:color="auto"/>
                          </w:divBdr>
                        </w:div>
                        <w:div w:id="1761491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3997231">
      <w:bodyDiv w:val="1"/>
      <w:marLeft w:val="0"/>
      <w:marRight w:val="0"/>
      <w:marTop w:val="0"/>
      <w:marBottom w:val="0"/>
      <w:divBdr>
        <w:top w:val="none" w:sz="0" w:space="0" w:color="auto"/>
        <w:left w:val="none" w:sz="0" w:space="0" w:color="auto"/>
        <w:bottom w:val="none" w:sz="0" w:space="0" w:color="auto"/>
        <w:right w:val="none" w:sz="0" w:space="0" w:color="auto"/>
      </w:divBdr>
      <w:divsChild>
        <w:div w:id="637802180">
          <w:marLeft w:val="0"/>
          <w:marRight w:val="0"/>
          <w:marTop w:val="0"/>
          <w:marBottom w:val="0"/>
          <w:divBdr>
            <w:top w:val="none" w:sz="0" w:space="0" w:color="auto"/>
            <w:left w:val="none" w:sz="0" w:space="0" w:color="auto"/>
            <w:bottom w:val="none" w:sz="0" w:space="0" w:color="auto"/>
            <w:right w:val="none" w:sz="0" w:space="0" w:color="auto"/>
          </w:divBdr>
          <w:divsChild>
            <w:div w:id="1243218875">
              <w:marLeft w:val="0"/>
              <w:marRight w:val="0"/>
              <w:marTop w:val="0"/>
              <w:marBottom w:val="0"/>
              <w:divBdr>
                <w:top w:val="none" w:sz="0" w:space="0" w:color="auto"/>
                <w:left w:val="none" w:sz="0" w:space="0" w:color="auto"/>
                <w:bottom w:val="none" w:sz="0" w:space="0" w:color="auto"/>
                <w:right w:val="none" w:sz="0" w:space="0" w:color="auto"/>
              </w:divBdr>
              <w:divsChild>
                <w:div w:id="918291772">
                  <w:marLeft w:val="0"/>
                  <w:marRight w:val="0"/>
                  <w:marTop w:val="0"/>
                  <w:marBottom w:val="0"/>
                  <w:divBdr>
                    <w:top w:val="none" w:sz="0" w:space="0" w:color="auto"/>
                    <w:left w:val="none" w:sz="0" w:space="0" w:color="auto"/>
                    <w:bottom w:val="none" w:sz="0" w:space="0" w:color="auto"/>
                    <w:right w:val="none" w:sz="0" w:space="0" w:color="auto"/>
                  </w:divBdr>
                  <w:divsChild>
                    <w:div w:id="767432355">
                      <w:marLeft w:val="0"/>
                      <w:marRight w:val="0"/>
                      <w:marTop w:val="0"/>
                      <w:marBottom w:val="0"/>
                      <w:divBdr>
                        <w:top w:val="none" w:sz="0" w:space="0" w:color="auto"/>
                        <w:left w:val="none" w:sz="0" w:space="0" w:color="auto"/>
                        <w:bottom w:val="none" w:sz="0" w:space="0" w:color="auto"/>
                        <w:right w:val="none" w:sz="0" w:space="0" w:color="auto"/>
                      </w:divBdr>
                      <w:divsChild>
                        <w:div w:id="1506626177">
                          <w:marLeft w:val="0"/>
                          <w:marRight w:val="0"/>
                          <w:marTop w:val="0"/>
                          <w:marBottom w:val="0"/>
                          <w:divBdr>
                            <w:top w:val="none" w:sz="0" w:space="0" w:color="auto"/>
                            <w:left w:val="none" w:sz="0" w:space="0" w:color="auto"/>
                            <w:bottom w:val="none" w:sz="0" w:space="0" w:color="auto"/>
                            <w:right w:val="none" w:sz="0" w:space="0" w:color="auto"/>
                          </w:divBdr>
                        </w:div>
                        <w:div w:id="1377118529">
                          <w:marLeft w:val="0"/>
                          <w:marRight w:val="0"/>
                          <w:marTop w:val="0"/>
                          <w:marBottom w:val="0"/>
                          <w:divBdr>
                            <w:top w:val="none" w:sz="0" w:space="0" w:color="auto"/>
                            <w:left w:val="none" w:sz="0" w:space="0" w:color="auto"/>
                            <w:bottom w:val="none" w:sz="0" w:space="0" w:color="auto"/>
                            <w:right w:val="none" w:sz="0" w:space="0" w:color="auto"/>
                          </w:divBdr>
                        </w:div>
                        <w:div w:id="886185595">
                          <w:marLeft w:val="0"/>
                          <w:marRight w:val="0"/>
                          <w:marTop w:val="0"/>
                          <w:marBottom w:val="0"/>
                          <w:divBdr>
                            <w:top w:val="none" w:sz="0" w:space="0" w:color="auto"/>
                            <w:left w:val="none" w:sz="0" w:space="0" w:color="auto"/>
                            <w:bottom w:val="none" w:sz="0" w:space="0" w:color="auto"/>
                            <w:right w:val="none" w:sz="0" w:space="0" w:color="auto"/>
                          </w:divBdr>
                        </w:div>
                      </w:divsChild>
                    </w:div>
                    <w:div w:id="479809192">
                      <w:marLeft w:val="0"/>
                      <w:marRight w:val="0"/>
                      <w:marTop w:val="0"/>
                      <w:marBottom w:val="0"/>
                      <w:divBdr>
                        <w:top w:val="none" w:sz="0" w:space="0" w:color="auto"/>
                        <w:left w:val="none" w:sz="0" w:space="0" w:color="auto"/>
                        <w:bottom w:val="none" w:sz="0" w:space="0" w:color="auto"/>
                        <w:right w:val="none" w:sz="0" w:space="0" w:color="auto"/>
                      </w:divBdr>
                      <w:divsChild>
                        <w:div w:id="199125269">
                          <w:marLeft w:val="0"/>
                          <w:marRight w:val="0"/>
                          <w:marTop w:val="0"/>
                          <w:marBottom w:val="0"/>
                          <w:divBdr>
                            <w:top w:val="none" w:sz="0" w:space="0" w:color="auto"/>
                            <w:left w:val="none" w:sz="0" w:space="0" w:color="auto"/>
                            <w:bottom w:val="none" w:sz="0" w:space="0" w:color="auto"/>
                            <w:right w:val="none" w:sz="0" w:space="0" w:color="auto"/>
                          </w:divBdr>
                        </w:div>
                      </w:divsChild>
                    </w:div>
                    <w:div w:id="1527209183">
                      <w:marLeft w:val="0"/>
                      <w:marRight w:val="0"/>
                      <w:marTop w:val="0"/>
                      <w:marBottom w:val="0"/>
                      <w:divBdr>
                        <w:top w:val="none" w:sz="0" w:space="0" w:color="auto"/>
                        <w:left w:val="none" w:sz="0" w:space="0" w:color="auto"/>
                        <w:bottom w:val="none" w:sz="0" w:space="0" w:color="auto"/>
                        <w:right w:val="none" w:sz="0" w:space="0" w:color="auto"/>
                      </w:divBdr>
                      <w:divsChild>
                        <w:div w:id="351343207">
                          <w:marLeft w:val="0"/>
                          <w:marRight w:val="0"/>
                          <w:marTop w:val="0"/>
                          <w:marBottom w:val="0"/>
                          <w:divBdr>
                            <w:top w:val="none" w:sz="0" w:space="0" w:color="auto"/>
                            <w:left w:val="none" w:sz="0" w:space="0" w:color="auto"/>
                            <w:bottom w:val="none" w:sz="0" w:space="0" w:color="auto"/>
                            <w:right w:val="none" w:sz="0" w:space="0" w:color="auto"/>
                          </w:divBdr>
                        </w:div>
                        <w:div w:id="157498865">
                          <w:marLeft w:val="0"/>
                          <w:marRight w:val="0"/>
                          <w:marTop w:val="0"/>
                          <w:marBottom w:val="0"/>
                          <w:divBdr>
                            <w:top w:val="none" w:sz="0" w:space="0" w:color="auto"/>
                            <w:left w:val="none" w:sz="0" w:space="0" w:color="auto"/>
                            <w:bottom w:val="none" w:sz="0" w:space="0" w:color="auto"/>
                            <w:right w:val="none" w:sz="0" w:space="0" w:color="auto"/>
                          </w:divBdr>
                        </w:div>
                        <w:div w:id="1576282307">
                          <w:marLeft w:val="0"/>
                          <w:marRight w:val="0"/>
                          <w:marTop w:val="0"/>
                          <w:marBottom w:val="0"/>
                          <w:divBdr>
                            <w:top w:val="none" w:sz="0" w:space="0" w:color="auto"/>
                            <w:left w:val="none" w:sz="0" w:space="0" w:color="auto"/>
                            <w:bottom w:val="none" w:sz="0" w:space="0" w:color="auto"/>
                            <w:right w:val="none" w:sz="0" w:space="0" w:color="auto"/>
                          </w:divBdr>
                        </w:div>
                        <w:div w:id="1605844052">
                          <w:marLeft w:val="0"/>
                          <w:marRight w:val="0"/>
                          <w:marTop w:val="0"/>
                          <w:marBottom w:val="0"/>
                          <w:divBdr>
                            <w:top w:val="none" w:sz="0" w:space="0" w:color="auto"/>
                            <w:left w:val="none" w:sz="0" w:space="0" w:color="auto"/>
                            <w:bottom w:val="none" w:sz="0" w:space="0" w:color="auto"/>
                            <w:right w:val="none" w:sz="0" w:space="0" w:color="auto"/>
                          </w:divBdr>
                        </w:div>
                        <w:div w:id="38361646">
                          <w:marLeft w:val="0"/>
                          <w:marRight w:val="0"/>
                          <w:marTop w:val="0"/>
                          <w:marBottom w:val="0"/>
                          <w:divBdr>
                            <w:top w:val="none" w:sz="0" w:space="0" w:color="auto"/>
                            <w:left w:val="none" w:sz="0" w:space="0" w:color="auto"/>
                            <w:bottom w:val="none" w:sz="0" w:space="0" w:color="auto"/>
                            <w:right w:val="none" w:sz="0" w:space="0" w:color="auto"/>
                          </w:divBdr>
                        </w:div>
                        <w:div w:id="791872153">
                          <w:marLeft w:val="0"/>
                          <w:marRight w:val="0"/>
                          <w:marTop w:val="0"/>
                          <w:marBottom w:val="0"/>
                          <w:divBdr>
                            <w:top w:val="none" w:sz="0" w:space="0" w:color="auto"/>
                            <w:left w:val="none" w:sz="0" w:space="0" w:color="auto"/>
                            <w:bottom w:val="none" w:sz="0" w:space="0" w:color="auto"/>
                            <w:right w:val="none" w:sz="0" w:space="0" w:color="auto"/>
                          </w:divBdr>
                        </w:div>
                        <w:div w:id="986125483">
                          <w:marLeft w:val="0"/>
                          <w:marRight w:val="0"/>
                          <w:marTop w:val="0"/>
                          <w:marBottom w:val="0"/>
                          <w:divBdr>
                            <w:top w:val="none" w:sz="0" w:space="0" w:color="auto"/>
                            <w:left w:val="none" w:sz="0" w:space="0" w:color="auto"/>
                            <w:bottom w:val="none" w:sz="0" w:space="0" w:color="auto"/>
                            <w:right w:val="none" w:sz="0" w:space="0" w:color="auto"/>
                          </w:divBdr>
                        </w:div>
                        <w:div w:id="1815025115">
                          <w:marLeft w:val="0"/>
                          <w:marRight w:val="0"/>
                          <w:marTop w:val="0"/>
                          <w:marBottom w:val="0"/>
                          <w:divBdr>
                            <w:top w:val="none" w:sz="0" w:space="0" w:color="auto"/>
                            <w:left w:val="none" w:sz="0" w:space="0" w:color="auto"/>
                            <w:bottom w:val="none" w:sz="0" w:space="0" w:color="auto"/>
                            <w:right w:val="none" w:sz="0" w:space="0" w:color="auto"/>
                          </w:divBdr>
                        </w:div>
                      </w:divsChild>
                    </w:div>
                    <w:div w:id="943659326">
                      <w:marLeft w:val="0"/>
                      <w:marRight w:val="0"/>
                      <w:marTop w:val="0"/>
                      <w:marBottom w:val="0"/>
                      <w:divBdr>
                        <w:top w:val="none" w:sz="0" w:space="0" w:color="auto"/>
                        <w:left w:val="none" w:sz="0" w:space="0" w:color="auto"/>
                        <w:bottom w:val="none" w:sz="0" w:space="0" w:color="auto"/>
                        <w:right w:val="none" w:sz="0" w:space="0" w:color="auto"/>
                      </w:divBdr>
                      <w:divsChild>
                        <w:div w:id="50740363">
                          <w:marLeft w:val="0"/>
                          <w:marRight w:val="0"/>
                          <w:marTop w:val="0"/>
                          <w:marBottom w:val="0"/>
                          <w:divBdr>
                            <w:top w:val="none" w:sz="0" w:space="0" w:color="auto"/>
                            <w:left w:val="none" w:sz="0" w:space="0" w:color="auto"/>
                            <w:bottom w:val="none" w:sz="0" w:space="0" w:color="auto"/>
                            <w:right w:val="none" w:sz="0" w:space="0" w:color="auto"/>
                          </w:divBdr>
                        </w:div>
                        <w:div w:id="971668543">
                          <w:marLeft w:val="0"/>
                          <w:marRight w:val="0"/>
                          <w:marTop w:val="0"/>
                          <w:marBottom w:val="0"/>
                          <w:divBdr>
                            <w:top w:val="none" w:sz="0" w:space="0" w:color="auto"/>
                            <w:left w:val="none" w:sz="0" w:space="0" w:color="auto"/>
                            <w:bottom w:val="none" w:sz="0" w:space="0" w:color="auto"/>
                            <w:right w:val="none" w:sz="0" w:space="0" w:color="auto"/>
                          </w:divBdr>
                        </w:div>
                        <w:div w:id="1010066420">
                          <w:marLeft w:val="0"/>
                          <w:marRight w:val="0"/>
                          <w:marTop w:val="0"/>
                          <w:marBottom w:val="0"/>
                          <w:divBdr>
                            <w:top w:val="none" w:sz="0" w:space="0" w:color="auto"/>
                            <w:left w:val="none" w:sz="0" w:space="0" w:color="auto"/>
                            <w:bottom w:val="none" w:sz="0" w:space="0" w:color="auto"/>
                            <w:right w:val="none" w:sz="0" w:space="0" w:color="auto"/>
                          </w:divBdr>
                        </w:div>
                        <w:div w:id="644623488">
                          <w:marLeft w:val="0"/>
                          <w:marRight w:val="0"/>
                          <w:marTop w:val="0"/>
                          <w:marBottom w:val="0"/>
                          <w:divBdr>
                            <w:top w:val="none" w:sz="0" w:space="0" w:color="auto"/>
                            <w:left w:val="none" w:sz="0" w:space="0" w:color="auto"/>
                            <w:bottom w:val="none" w:sz="0" w:space="0" w:color="auto"/>
                            <w:right w:val="none" w:sz="0" w:space="0" w:color="auto"/>
                          </w:divBdr>
                        </w:div>
                        <w:div w:id="1168641072">
                          <w:marLeft w:val="0"/>
                          <w:marRight w:val="0"/>
                          <w:marTop w:val="0"/>
                          <w:marBottom w:val="0"/>
                          <w:divBdr>
                            <w:top w:val="none" w:sz="0" w:space="0" w:color="auto"/>
                            <w:left w:val="none" w:sz="0" w:space="0" w:color="auto"/>
                            <w:bottom w:val="none" w:sz="0" w:space="0" w:color="auto"/>
                            <w:right w:val="none" w:sz="0" w:space="0" w:color="auto"/>
                          </w:divBdr>
                        </w:div>
                        <w:div w:id="735052549">
                          <w:marLeft w:val="0"/>
                          <w:marRight w:val="0"/>
                          <w:marTop w:val="0"/>
                          <w:marBottom w:val="0"/>
                          <w:divBdr>
                            <w:top w:val="none" w:sz="0" w:space="0" w:color="auto"/>
                            <w:left w:val="none" w:sz="0" w:space="0" w:color="auto"/>
                            <w:bottom w:val="none" w:sz="0" w:space="0" w:color="auto"/>
                            <w:right w:val="none" w:sz="0" w:space="0" w:color="auto"/>
                          </w:divBdr>
                        </w:div>
                        <w:div w:id="1648318147">
                          <w:marLeft w:val="0"/>
                          <w:marRight w:val="0"/>
                          <w:marTop w:val="0"/>
                          <w:marBottom w:val="0"/>
                          <w:divBdr>
                            <w:top w:val="none" w:sz="0" w:space="0" w:color="auto"/>
                            <w:left w:val="none" w:sz="0" w:space="0" w:color="auto"/>
                            <w:bottom w:val="none" w:sz="0" w:space="0" w:color="auto"/>
                            <w:right w:val="none" w:sz="0" w:space="0" w:color="auto"/>
                          </w:divBdr>
                        </w:div>
                        <w:div w:id="651831583">
                          <w:marLeft w:val="0"/>
                          <w:marRight w:val="0"/>
                          <w:marTop w:val="0"/>
                          <w:marBottom w:val="0"/>
                          <w:divBdr>
                            <w:top w:val="none" w:sz="0" w:space="0" w:color="auto"/>
                            <w:left w:val="none" w:sz="0" w:space="0" w:color="auto"/>
                            <w:bottom w:val="none" w:sz="0" w:space="0" w:color="auto"/>
                            <w:right w:val="none" w:sz="0" w:space="0" w:color="auto"/>
                          </w:divBdr>
                        </w:div>
                        <w:div w:id="775825833">
                          <w:marLeft w:val="0"/>
                          <w:marRight w:val="0"/>
                          <w:marTop w:val="0"/>
                          <w:marBottom w:val="0"/>
                          <w:divBdr>
                            <w:top w:val="none" w:sz="0" w:space="0" w:color="auto"/>
                            <w:left w:val="none" w:sz="0" w:space="0" w:color="auto"/>
                            <w:bottom w:val="none" w:sz="0" w:space="0" w:color="auto"/>
                            <w:right w:val="none" w:sz="0" w:space="0" w:color="auto"/>
                          </w:divBdr>
                        </w:div>
                      </w:divsChild>
                    </w:div>
                    <w:div w:id="843857124">
                      <w:marLeft w:val="0"/>
                      <w:marRight w:val="0"/>
                      <w:marTop w:val="0"/>
                      <w:marBottom w:val="0"/>
                      <w:divBdr>
                        <w:top w:val="none" w:sz="0" w:space="0" w:color="auto"/>
                        <w:left w:val="none" w:sz="0" w:space="0" w:color="auto"/>
                        <w:bottom w:val="none" w:sz="0" w:space="0" w:color="auto"/>
                        <w:right w:val="none" w:sz="0" w:space="0" w:color="auto"/>
                      </w:divBdr>
                      <w:divsChild>
                        <w:div w:id="1829055019">
                          <w:marLeft w:val="0"/>
                          <w:marRight w:val="0"/>
                          <w:marTop w:val="0"/>
                          <w:marBottom w:val="0"/>
                          <w:divBdr>
                            <w:top w:val="none" w:sz="0" w:space="0" w:color="auto"/>
                            <w:left w:val="none" w:sz="0" w:space="0" w:color="auto"/>
                            <w:bottom w:val="none" w:sz="0" w:space="0" w:color="auto"/>
                            <w:right w:val="none" w:sz="0" w:space="0" w:color="auto"/>
                          </w:divBdr>
                        </w:div>
                        <w:div w:id="1077631945">
                          <w:marLeft w:val="0"/>
                          <w:marRight w:val="0"/>
                          <w:marTop w:val="0"/>
                          <w:marBottom w:val="0"/>
                          <w:divBdr>
                            <w:top w:val="none" w:sz="0" w:space="0" w:color="auto"/>
                            <w:left w:val="none" w:sz="0" w:space="0" w:color="auto"/>
                            <w:bottom w:val="none" w:sz="0" w:space="0" w:color="auto"/>
                            <w:right w:val="none" w:sz="0" w:space="0" w:color="auto"/>
                          </w:divBdr>
                        </w:div>
                        <w:div w:id="1071075632">
                          <w:marLeft w:val="0"/>
                          <w:marRight w:val="0"/>
                          <w:marTop w:val="0"/>
                          <w:marBottom w:val="0"/>
                          <w:divBdr>
                            <w:top w:val="none" w:sz="0" w:space="0" w:color="auto"/>
                            <w:left w:val="none" w:sz="0" w:space="0" w:color="auto"/>
                            <w:bottom w:val="none" w:sz="0" w:space="0" w:color="auto"/>
                            <w:right w:val="none" w:sz="0" w:space="0" w:color="auto"/>
                          </w:divBdr>
                        </w:div>
                      </w:divsChild>
                    </w:div>
                    <w:div w:id="1203054304">
                      <w:marLeft w:val="0"/>
                      <w:marRight w:val="0"/>
                      <w:marTop w:val="0"/>
                      <w:marBottom w:val="0"/>
                      <w:divBdr>
                        <w:top w:val="none" w:sz="0" w:space="0" w:color="auto"/>
                        <w:left w:val="none" w:sz="0" w:space="0" w:color="auto"/>
                        <w:bottom w:val="none" w:sz="0" w:space="0" w:color="auto"/>
                        <w:right w:val="none" w:sz="0" w:space="0" w:color="auto"/>
                      </w:divBdr>
                      <w:divsChild>
                        <w:div w:id="445782748">
                          <w:marLeft w:val="0"/>
                          <w:marRight w:val="0"/>
                          <w:marTop w:val="0"/>
                          <w:marBottom w:val="0"/>
                          <w:divBdr>
                            <w:top w:val="none" w:sz="0" w:space="0" w:color="auto"/>
                            <w:left w:val="none" w:sz="0" w:space="0" w:color="auto"/>
                            <w:bottom w:val="none" w:sz="0" w:space="0" w:color="auto"/>
                            <w:right w:val="none" w:sz="0" w:space="0" w:color="auto"/>
                          </w:divBdr>
                        </w:div>
                      </w:divsChild>
                    </w:div>
                    <w:div w:id="631180921">
                      <w:marLeft w:val="0"/>
                      <w:marRight w:val="0"/>
                      <w:marTop w:val="0"/>
                      <w:marBottom w:val="0"/>
                      <w:divBdr>
                        <w:top w:val="none" w:sz="0" w:space="0" w:color="auto"/>
                        <w:left w:val="none" w:sz="0" w:space="0" w:color="auto"/>
                        <w:bottom w:val="none" w:sz="0" w:space="0" w:color="auto"/>
                        <w:right w:val="none" w:sz="0" w:space="0" w:color="auto"/>
                      </w:divBdr>
                      <w:divsChild>
                        <w:div w:id="1734233803">
                          <w:marLeft w:val="0"/>
                          <w:marRight w:val="0"/>
                          <w:marTop w:val="0"/>
                          <w:marBottom w:val="0"/>
                          <w:divBdr>
                            <w:top w:val="none" w:sz="0" w:space="0" w:color="auto"/>
                            <w:left w:val="none" w:sz="0" w:space="0" w:color="auto"/>
                            <w:bottom w:val="none" w:sz="0" w:space="0" w:color="auto"/>
                            <w:right w:val="none" w:sz="0" w:space="0" w:color="auto"/>
                          </w:divBdr>
                        </w:div>
                        <w:div w:id="1375228938">
                          <w:marLeft w:val="0"/>
                          <w:marRight w:val="0"/>
                          <w:marTop w:val="0"/>
                          <w:marBottom w:val="0"/>
                          <w:divBdr>
                            <w:top w:val="none" w:sz="0" w:space="0" w:color="auto"/>
                            <w:left w:val="none" w:sz="0" w:space="0" w:color="auto"/>
                            <w:bottom w:val="none" w:sz="0" w:space="0" w:color="auto"/>
                            <w:right w:val="none" w:sz="0" w:space="0" w:color="auto"/>
                          </w:divBdr>
                        </w:div>
                        <w:div w:id="866719076">
                          <w:marLeft w:val="0"/>
                          <w:marRight w:val="0"/>
                          <w:marTop w:val="0"/>
                          <w:marBottom w:val="0"/>
                          <w:divBdr>
                            <w:top w:val="none" w:sz="0" w:space="0" w:color="auto"/>
                            <w:left w:val="none" w:sz="0" w:space="0" w:color="auto"/>
                            <w:bottom w:val="none" w:sz="0" w:space="0" w:color="auto"/>
                            <w:right w:val="none" w:sz="0" w:space="0" w:color="auto"/>
                          </w:divBdr>
                        </w:div>
                        <w:div w:id="515196254">
                          <w:marLeft w:val="0"/>
                          <w:marRight w:val="0"/>
                          <w:marTop w:val="0"/>
                          <w:marBottom w:val="0"/>
                          <w:divBdr>
                            <w:top w:val="none" w:sz="0" w:space="0" w:color="auto"/>
                            <w:left w:val="none" w:sz="0" w:space="0" w:color="auto"/>
                            <w:bottom w:val="none" w:sz="0" w:space="0" w:color="auto"/>
                            <w:right w:val="none" w:sz="0" w:space="0" w:color="auto"/>
                          </w:divBdr>
                        </w:div>
                        <w:div w:id="923416862">
                          <w:marLeft w:val="0"/>
                          <w:marRight w:val="0"/>
                          <w:marTop w:val="0"/>
                          <w:marBottom w:val="0"/>
                          <w:divBdr>
                            <w:top w:val="none" w:sz="0" w:space="0" w:color="auto"/>
                            <w:left w:val="none" w:sz="0" w:space="0" w:color="auto"/>
                            <w:bottom w:val="none" w:sz="0" w:space="0" w:color="auto"/>
                            <w:right w:val="none" w:sz="0" w:space="0" w:color="auto"/>
                          </w:divBdr>
                        </w:div>
                        <w:div w:id="1605918738">
                          <w:marLeft w:val="0"/>
                          <w:marRight w:val="0"/>
                          <w:marTop w:val="0"/>
                          <w:marBottom w:val="0"/>
                          <w:divBdr>
                            <w:top w:val="none" w:sz="0" w:space="0" w:color="auto"/>
                            <w:left w:val="none" w:sz="0" w:space="0" w:color="auto"/>
                            <w:bottom w:val="none" w:sz="0" w:space="0" w:color="auto"/>
                            <w:right w:val="none" w:sz="0" w:space="0" w:color="auto"/>
                          </w:divBdr>
                        </w:div>
                        <w:div w:id="631327061">
                          <w:marLeft w:val="0"/>
                          <w:marRight w:val="0"/>
                          <w:marTop w:val="0"/>
                          <w:marBottom w:val="0"/>
                          <w:divBdr>
                            <w:top w:val="none" w:sz="0" w:space="0" w:color="auto"/>
                            <w:left w:val="none" w:sz="0" w:space="0" w:color="auto"/>
                            <w:bottom w:val="none" w:sz="0" w:space="0" w:color="auto"/>
                            <w:right w:val="none" w:sz="0" w:space="0" w:color="auto"/>
                          </w:divBdr>
                        </w:div>
                        <w:div w:id="1331179369">
                          <w:marLeft w:val="0"/>
                          <w:marRight w:val="0"/>
                          <w:marTop w:val="0"/>
                          <w:marBottom w:val="0"/>
                          <w:divBdr>
                            <w:top w:val="none" w:sz="0" w:space="0" w:color="auto"/>
                            <w:left w:val="none" w:sz="0" w:space="0" w:color="auto"/>
                            <w:bottom w:val="none" w:sz="0" w:space="0" w:color="auto"/>
                            <w:right w:val="none" w:sz="0" w:space="0" w:color="auto"/>
                          </w:divBdr>
                        </w:div>
                      </w:divsChild>
                    </w:div>
                    <w:div w:id="193662081">
                      <w:marLeft w:val="0"/>
                      <w:marRight w:val="0"/>
                      <w:marTop w:val="0"/>
                      <w:marBottom w:val="0"/>
                      <w:divBdr>
                        <w:top w:val="none" w:sz="0" w:space="0" w:color="auto"/>
                        <w:left w:val="none" w:sz="0" w:space="0" w:color="auto"/>
                        <w:bottom w:val="none" w:sz="0" w:space="0" w:color="auto"/>
                        <w:right w:val="none" w:sz="0" w:space="0" w:color="auto"/>
                      </w:divBdr>
                      <w:divsChild>
                        <w:div w:id="1323703972">
                          <w:marLeft w:val="0"/>
                          <w:marRight w:val="0"/>
                          <w:marTop w:val="0"/>
                          <w:marBottom w:val="0"/>
                          <w:divBdr>
                            <w:top w:val="none" w:sz="0" w:space="0" w:color="auto"/>
                            <w:left w:val="none" w:sz="0" w:space="0" w:color="auto"/>
                            <w:bottom w:val="none" w:sz="0" w:space="0" w:color="auto"/>
                            <w:right w:val="none" w:sz="0" w:space="0" w:color="auto"/>
                          </w:divBdr>
                        </w:div>
                        <w:div w:id="139426384">
                          <w:marLeft w:val="0"/>
                          <w:marRight w:val="0"/>
                          <w:marTop w:val="0"/>
                          <w:marBottom w:val="0"/>
                          <w:divBdr>
                            <w:top w:val="none" w:sz="0" w:space="0" w:color="auto"/>
                            <w:left w:val="none" w:sz="0" w:space="0" w:color="auto"/>
                            <w:bottom w:val="none" w:sz="0" w:space="0" w:color="auto"/>
                            <w:right w:val="none" w:sz="0" w:space="0" w:color="auto"/>
                          </w:divBdr>
                        </w:div>
                        <w:div w:id="2061510685">
                          <w:marLeft w:val="0"/>
                          <w:marRight w:val="0"/>
                          <w:marTop w:val="0"/>
                          <w:marBottom w:val="0"/>
                          <w:divBdr>
                            <w:top w:val="none" w:sz="0" w:space="0" w:color="auto"/>
                            <w:left w:val="none" w:sz="0" w:space="0" w:color="auto"/>
                            <w:bottom w:val="none" w:sz="0" w:space="0" w:color="auto"/>
                            <w:right w:val="none" w:sz="0" w:space="0" w:color="auto"/>
                          </w:divBdr>
                        </w:div>
                        <w:div w:id="1907178178">
                          <w:marLeft w:val="0"/>
                          <w:marRight w:val="0"/>
                          <w:marTop w:val="0"/>
                          <w:marBottom w:val="0"/>
                          <w:divBdr>
                            <w:top w:val="none" w:sz="0" w:space="0" w:color="auto"/>
                            <w:left w:val="none" w:sz="0" w:space="0" w:color="auto"/>
                            <w:bottom w:val="none" w:sz="0" w:space="0" w:color="auto"/>
                            <w:right w:val="none" w:sz="0" w:space="0" w:color="auto"/>
                          </w:divBdr>
                        </w:div>
                        <w:div w:id="1072003682">
                          <w:marLeft w:val="0"/>
                          <w:marRight w:val="0"/>
                          <w:marTop w:val="0"/>
                          <w:marBottom w:val="0"/>
                          <w:divBdr>
                            <w:top w:val="none" w:sz="0" w:space="0" w:color="auto"/>
                            <w:left w:val="none" w:sz="0" w:space="0" w:color="auto"/>
                            <w:bottom w:val="none" w:sz="0" w:space="0" w:color="auto"/>
                            <w:right w:val="none" w:sz="0" w:space="0" w:color="auto"/>
                          </w:divBdr>
                        </w:div>
                        <w:div w:id="756363505">
                          <w:marLeft w:val="0"/>
                          <w:marRight w:val="0"/>
                          <w:marTop w:val="0"/>
                          <w:marBottom w:val="0"/>
                          <w:divBdr>
                            <w:top w:val="none" w:sz="0" w:space="0" w:color="auto"/>
                            <w:left w:val="none" w:sz="0" w:space="0" w:color="auto"/>
                            <w:bottom w:val="none" w:sz="0" w:space="0" w:color="auto"/>
                            <w:right w:val="none" w:sz="0" w:space="0" w:color="auto"/>
                          </w:divBdr>
                        </w:div>
                        <w:div w:id="539784983">
                          <w:marLeft w:val="0"/>
                          <w:marRight w:val="0"/>
                          <w:marTop w:val="0"/>
                          <w:marBottom w:val="0"/>
                          <w:divBdr>
                            <w:top w:val="none" w:sz="0" w:space="0" w:color="auto"/>
                            <w:left w:val="none" w:sz="0" w:space="0" w:color="auto"/>
                            <w:bottom w:val="none" w:sz="0" w:space="0" w:color="auto"/>
                            <w:right w:val="none" w:sz="0" w:space="0" w:color="auto"/>
                          </w:divBdr>
                        </w:div>
                        <w:div w:id="1577402935">
                          <w:marLeft w:val="0"/>
                          <w:marRight w:val="0"/>
                          <w:marTop w:val="0"/>
                          <w:marBottom w:val="0"/>
                          <w:divBdr>
                            <w:top w:val="none" w:sz="0" w:space="0" w:color="auto"/>
                            <w:left w:val="none" w:sz="0" w:space="0" w:color="auto"/>
                            <w:bottom w:val="none" w:sz="0" w:space="0" w:color="auto"/>
                            <w:right w:val="none" w:sz="0" w:space="0" w:color="auto"/>
                          </w:divBdr>
                        </w:div>
                        <w:div w:id="1628703074">
                          <w:marLeft w:val="0"/>
                          <w:marRight w:val="0"/>
                          <w:marTop w:val="0"/>
                          <w:marBottom w:val="0"/>
                          <w:divBdr>
                            <w:top w:val="none" w:sz="0" w:space="0" w:color="auto"/>
                            <w:left w:val="none" w:sz="0" w:space="0" w:color="auto"/>
                            <w:bottom w:val="none" w:sz="0" w:space="0" w:color="auto"/>
                            <w:right w:val="none" w:sz="0" w:space="0" w:color="auto"/>
                          </w:divBdr>
                        </w:div>
                        <w:div w:id="137915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2055229154">
      <w:bodyDiv w:val="1"/>
      <w:marLeft w:val="0"/>
      <w:marRight w:val="0"/>
      <w:marTop w:val="0"/>
      <w:marBottom w:val="0"/>
      <w:divBdr>
        <w:top w:val="none" w:sz="0" w:space="0" w:color="auto"/>
        <w:left w:val="none" w:sz="0" w:space="0" w:color="auto"/>
        <w:bottom w:val="none" w:sz="0" w:space="0" w:color="auto"/>
        <w:right w:val="none" w:sz="0" w:space="0" w:color="auto"/>
      </w:divBdr>
      <w:divsChild>
        <w:div w:id="224873867">
          <w:marLeft w:val="0"/>
          <w:marRight w:val="0"/>
          <w:marTop w:val="0"/>
          <w:marBottom w:val="0"/>
          <w:divBdr>
            <w:top w:val="none" w:sz="0" w:space="0" w:color="auto"/>
            <w:left w:val="none" w:sz="0" w:space="0" w:color="auto"/>
            <w:bottom w:val="none" w:sz="0" w:space="0" w:color="auto"/>
            <w:right w:val="none" w:sz="0" w:space="0" w:color="auto"/>
          </w:divBdr>
          <w:divsChild>
            <w:div w:id="1711344181">
              <w:marLeft w:val="0"/>
              <w:marRight w:val="0"/>
              <w:marTop w:val="0"/>
              <w:marBottom w:val="0"/>
              <w:divBdr>
                <w:top w:val="none" w:sz="0" w:space="0" w:color="auto"/>
                <w:left w:val="none" w:sz="0" w:space="0" w:color="auto"/>
                <w:bottom w:val="none" w:sz="0" w:space="0" w:color="auto"/>
                <w:right w:val="none" w:sz="0" w:space="0" w:color="auto"/>
              </w:divBdr>
              <w:divsChild>
                <w:div w:id="1172792350">
                  <w:marLeft w:val="0"/>
                  <w:marRight w:val="0"/>
                  <w:marTop w:val="0"/>
                  <w:marBottom w:val="0"/>
                  <w:divBdr>
                    <w:top w:val="none" w:sz="0" w:space="0" w:color="auto"/>
                    <w:left w:val="none" w:sz="0" w:space="0" w:color="auto"/>
                    <w:bottom w:val="none" w:sz="0" w:space="0" w:color="auto"/>
                    <w:right w:val="none" w:sz="0" w:space="0" w:color="auto"/>
                  </w:divBdr>
                  <w:divsChild>
                    <w:div w:id="1503936922">
                      <w:marLeft w:val="0"/>
                      <w:marRight w:val="0"/>
                      <w:marTop w:val="0"/>
                      <w:marBottom w:val="0"/>
                      <w:divBdr>
                        <w:top w:val="none" w:sz="0" w:space="0" w:color="auto"/>
                        <w:left w:val="none" w:sz="0" w:space="0" w:color="auto"/>
                        <w:bottom w:val="none" w:sz="0" w:space="0" w:color="auto"/>
                        <w:right w:val="none" w:sz="0" w:space="0" w:color="auto"/>
                      </w:divBdr>
                      <w:divsChild>
                        <w:div w:id="1493835878">
                          <w:marLeft w:val="0"/>
                          <w:marRight w:val="0"/>
                          <w:marTop w:val="0"/>
                          <w:marBottom w:val="0"/>
                          <w:divBdr>
                            <w:top w:val="none" w:sz="0" w:space="0" w:color="auto"/>
                            <w:left w:val="none" w:sz="0" w:space="0" w:color="auto"/>
                            <w:bottom w:val="none" w:sz="0" w:space="0" w:color="auto"/>
                            <w:right w:val="none" w:sz="0" w:space="0" w:color="auto"/>
                          </w:divBdr>
                        </w:div>
                      </w:divsChild>
                    </w:div>
                    <w:div w:id="1286736074">
                      <w:marLeft w:val="0"/>
                      <w:marRight w:val="0"/>
                      <w:marTop w:val="0"/>
                      <w:marBottom w:val="0"/>
                      <w:divBdr>
                        <w:top w:val="none" w:sz="0" w:space="0" w:color="auto"/>
                        <w:left w:val="none" w:sz="0" w:space="0" w:color="auto"/>
                        <w:bottom w:val="none" w:sz="0" w:space="0" w:color="auto"/>
                        <w:right w:val="none" w:sz="0" w:space="0" w:color="auto"/>
                      </w:divBdr>
                      <w:divsChild>
                        <w:div w:id="1343389615">
                          <w:marLeft w:val="0"/>
                          <w:marRight w:val="0"/>
                          <w:marTop w:val="0"/>
                          <w:marBottom w:val="0"/>
                          <w:divBdr>
                            <w:top w:val="none" w:sz="0" w:space="0" w:color="auto"/>
                            <w:left w:val="none" w:sz="0" w:space="0" w:color="auto"/>
                            <w:bottom w:val="none" w:sz="0" w:space="0" w:color="auto"/>
                            <w:right w:val="none" w:sz="0" w:space="0" w:color="auto"/>
                          </w:divBdr>
                        </w:div>
                        <w:div w:id="94908632">
                          <w:marLeft w:val="0"/>
                          <w:marRight w:val="0"/>
                          <w:marTop w:val="0"/>
                          <w:marBottom w:val="0"/>
                          <w:divBdr>
                            <w:top w:val="none" w:sz="0" w:space="0" w:color="auto"/>
                            <w:left w:val="none" w:sz="0" w:space="0" w:color="auto"/>
                            <w:bottom w:val="none" w:sz="0" w:space="0" w:color="auto"/>
                            <w:right w:val="none" w:sz="0" w:space="0" w:color="auto"/>
                          </w:divBdr>
                        </w:div>
                        <w:div w:id="1782452685">
                          <w:marLeft w:val="0"/>
                          <w:marRight w:val="0"/>
                          <w:marTop w:val="0"/>
                          <w:marBottom w:val="0"/>
                          <w:divBdr>
                            <w:top w:val="none" w:sz="0" w:space="0" w:color="auto"/>
                            <w:left w:val="none" w:sz="0" w:space="0" w:color="auto"/>
                            <w:bottom w:val="none" w:sz="0" w:space="0" w:color="auto"/>
                            <w:right w:val="none" w:sz="0" w:space="0" w:color="auto"/>
                          </w:divBdr>
                        </w:div>
                        <w:div w:id="2013948839">
                          <w:marLeft w:val="0"/>
                          <w:marRight w:val="0"/>
                          <w:marTop w:val="0"/>
                          <w:marBottom w:val="0"/>
                          <w:divBdr>
                            <w:top w:val="none" w:sz="0" w:space="0" w:color="auto"/>
                            <w:left w:val="none" w:sz="0" w:space="0" w:color="auto"/>
                            <w:bottom w:val="none" w:sz="0" w:space="0" w:color="auto"/>
                            <w:right w:val="none" w:sz="0" w:space="0" w:color="auto"/>
                          </w:divBdr>
                        </w:div>
                      </w:divsChild>
                    </w:div>
                    <w:div w:id="1015308851">
                      <w:marLeft w:val="0"/>
                      <w:marRight w:val="0"/>
                      <w:marTop w:val="0"/>
                      <w:marBottom w:val="0"/>
                      <w:divBdr>
                        <w:top w:val="none" w:sz="0" w:space="0" w:color="auto"/>
                        <w:left w:val="none" w:sz="0" w:space="0" w:color="auto"/>
                        <w:bottom w:val="none" w:sz="0" w:space="0" w:color="auto"/>
                        <w:right w:val="none" w:sz="0" w:space="0" w:color="auto"/>
                      </w:divBdr>
                      <w:divsChild>
                        <w:div w:id="819540363">
                          <w:marLeft w:val="0"/>
                          <w:marRight w:val="0"/>
                          <w:marTop w:val="0"/>
                          <w:marBottom w:val="0"/>
                          <w:divBdr>
                            <w:top w:val="none" w:sz="0" w:space="0" w:color="auto"/>
                            <w:left w:val="none" w:sz="0" w:space="0" w:color="auto"/>
                            <w:bottom w:val="none" w:sz="0" w:space="0" w:color="auto"/>
                            <w:right w:val="none" w:sz="0" w:space="0" w:color="auto"/>
                          </w:divBdr>
                        </w:div>
                        <w:div w:id="634918146">
                          <w:marLeft w:val="0"/>
                          <w:marRight w:val="0"/>
                          <w:marTop w:val="0"/>
                          <w:marBottom w:val="0"/>
                          <w:divBdr>
                            <w:top w:val="none" w:sz="0" w:space="0" w:color="auto"/>
                            <w:left w:val="none" w:sz="0" w:space="0" w:color="auto"/>
                            <w:bottom w:val="none" w:sz="0" w:space="0" w:color="auto"/>
                            <w:right w:val="none" w:sz="0" w:space="0" w:color="auto"/>
                          </w:divBdr>
                        </w:div>
                        <w:div w:id="2092657526">
                          <w:marLeft w:val="0"/>
                          <w:marRight w:val="0"/>
                          <w:marTop w:val="0"/>
                          <w:marBottom w:val="0"/>
                          <w:divBdr>
                            <w:top w:val="none" w:sz="0" w:space="0" w:color="auto"/>
                            <w:left w:val="none" w:sz="0" w:space="0" w:color="auto"/>
                            <w:bottom w:val="none" w:sz="0" w:space="0" w:color="auto"/>
                            <w:right w:val="none" w:sz="0" w:space="0" w:color="auto"/>
                          </w:divBdr>
                        </w:div>
                        <w:div w:id="700324581">
                          <w:marLeft w:val="0"/>
                          <w:marRight w:val="0"/>
                          <w:marTop w:val="0"/>
                          <w:marBottom w:val="0"/>
                          <w:divBdr>
                            <w:top w:val="none" w:sz="0" w:space="0" w:color="auto"/>
                            <w:left w:val="none" w:sz="0" w:space="0" w:color="auto"/>
                            <w:bottom w:val="none" w:sz="0" w:space="0" w:color="auto"/>
                            <w:right w:val="none" w:sz="0" w:space="0" w:color="auto"/>
                          </w:divBdr>
                        </w:div>
                        <w:div w:id="1520898396">
                          <w:marLeft w:val="0"/>
                          <w:marRight w:val="0"/>
                          <w:marTop w:val="0"/>
                          <w:marBottom w:val="0"/>
                          <w:divBdr>
                            <w:top w:val="none" w:sz="0" w:space="0" w:color="auto"/>
                            <w:left w:val="none" w:sz="0" w:space="0" w:color="auto"/>
                            <w:bottom w:val="none" w:sz="0" w:space="0" w:color="auto"/>
                            <w:right w:val="none" w:sz="0" w:space="0" w:color="auto"/>
                          </w:divBdr>
                        </w:div>
                      </w:divsChild>
                    </w:div>
                    <w:div w:id="1402871035">
                      <w:marLeft w:val="0"/>
                      <w:marRight w:val="0"/>
                      <w:marTop w:val="0"/>
                      <w:marBottom w:val="0"/>
                      <w:divBdr>
                        <w:top w:val="none" w:sz="0" w:space="0" w:color="auto"/>
                        <w:left w:val="none" w:sz="0" w:space="0" w:color="auto"/>
                        <w:bottom w:val="none" w:sz="0" w:space="0" w:color="auto"/>
                        <w:right w:val="none" w:sz="0" w:space="0" w:color="auto"/>
                      </w:divBdr>
                      <w:divsChild>
                        <w:div w:id="1397050273">
                          <w:marLeft w:val="0"/>
                          <w:marRight w:val="0"/>
                          <w:marTop w:val="0"/>
                          <w:marBottom w:val="0"/>
                          <w:divBdr>
                            <w:top w:val="none" w:sz="0" w:space="0" w:color="auto"/>
                            <w:left w:val="none" w:sz="0" w:space="0" w:color="auto"/>
                            <w:bottom w:val="none" w:sz="0" w:space="0" w:color="auto"/>
                            <w:right w:val="none" w:sz="0" w:space="0" w:color="auto"/>
                          </w:divBdr>
                        </w:div>
                      </w:divsChild>
                    </w:div>
                    <w:div w:id="1609772215">
                      <w:marLeft w:val="0"/>
                      <w:marRight w:val="0"/>
                      <w:marTop w:val="0"/>
                      <w:marBottom w:val="0"/>
                      <w:divBdr>
                        <w:top w:val="none" w:sz="0" w:space="0" w:color="auto"/>
                        <w:left w:val="none" w:sz="0" w:space="0" w:color="auto"/>
                        <w:bottom w:val="none" w:sz="0" w:space="0" w:color="auto"/>
                        <w:right w:val="none" w:sz="0" w:space="0" w:color="auto"/>
                      </w:divBdr>
                      <w:divsChild>
                        <w:div w:id="1385833066">
                          <w:marLeft w:val="0"/>
                          <w:marRight w:val="0"/>
                          <w:marTop w:val="0"/>
                          <w:marBottom w:val="0"/>
                          <w:divBdr>
                            <w:top w:val="none" w:sz="0" w:space="0" w:color="auto"/>
                            <w:left w:val="none" w:sz="0" w:space="0" w:color="auto"/>
                            <w:bottom w:val="none" w:sz="0" w:space="0" w:color="auto"/>
                            <w:right w:val="none" w:sz="0" w:space="0" w:color="auto"/>
                          </w:divBdr>
                        </w:div>
                        <w:div w:id="1399665235">
                          <w:marLeft w:val="0"/>
                          <w:marRight w:val="0"/>
                          <w:marTop w:val="0"/>
                          <w:marBottom w:val="0"/>
                          <w:divBdr>
                            <w:top w:val="none" w:sz="0" w:space="0" w:color="auto"/>
                            <w:left w:val="none" w:sz="0" w:space="0" w:color="auto"/>
                            <w:bottom w:val="none" w:sz="0" w:space="0" w:color="auto"/>
                            <w:right w:val="none" w:sz="0" w:space="0" w:color="auto"/>
                          </w:divBdr>
                        </w:div>
                        <w:div w:id="1063599072">
                          <w:marLeft w:val="0"/>
                          <w:marRight w:val="0"/>
                          <w:marTop w:val="0"/>
                          <w:marBottom w:val="0"/>
                          <w:divBdr>
                            <w:top w:val="none" w:sz="0" w:space="0" w:color="auto"/>
                            <w:left w:val="none" w:sz="0" w:space="0" w:color="auto"/>
                            <w:bottom w:val="none" w:sz="0" w:space="0" w:color="auto"/>
                            <w:right w:val="none" w:sz="0" w:space="0" w:color="auto"/>
                          </w:divBdr>
                        </w:div>
                        <w:div w:id="312369323">
                          <w:marLeft w:val="0"/>
                          <w:marRight w:val="0"/>
                          <w:marTop w:val="0"/>
                          <w:marBottom w:val="0"/>
                          <w:divBdr>
                            <w:top w:val="none" w:sz="0" w:space="0" w:color="auto"/>
                            <w:left w:val="none" w:sz="0" w:space="0" w:color="auto"/>
                            <w:bottom w:val="none" w:sz="0" w:space="0" w:color="auto"/>
                            <w:right w:val="none" w:sz="0" w:space="0" w:color="auto"/>
                          </w:divBdr>
                        </w:div>
                      </w:divsChild>
                    </w:div>
                    <w:div w:id="9836325">
                      <w:marLeft w:val="0"/>
                      <w:marRight w:val="0"/>
                      <w:marTop w:val="0"/>
                      <w:marBottom w:val="0"/>
                      <w:divBdr>
                        <w:top w:val="none" w:sz="0" w:space="0" w:color="auto"/>
                        <w:left w:val="none" w:sz="0" w:space="0" w:color="auto"/>
                        <w:bottom w:val="none" w:sz="0" w:space="0" w:color="auto"/>
                        <w:right w:val="none" w:sz="0" w:space="0" w:color="auto"/>
                      </w:divBdr>
                      <w:divsChild>
                        <w:div w:id="1920209348">
                          <w:marLeft w:val="0"/>
                          <w:marRight w:val="0"/>
                          <w:marTop w:val="0"/>
                          <w:marBottom w:val="0"/>
                          <w:divBdr>
                            <w:top w:val="none" w:sz="0" w:space="0" w:color="auto"/>
                            <w:left w:val="none" w:sz="0" w:space="0" w:color="auto"/>
                            <w:bottom w:val="none" w:sz="0" w:space="0" w:color="auto"/>
                            <w:right w:val="none" w:sz="0" w:space="0" w:color="auto"/>
                          </w:divBdr>
                        </w:div>
                        <w:div w:id="175268417">
                          <w:marLeft w:val="0"/>
                          <w:marRight w:val="0"/>
                          <w:marTop w:val="0"/>
                          <w:marBottom w:val="0"/>
                          <w:divBdr>
                            <w:top w:val="none" w:sz="0" w:space="0" w:color="auto"/>
                            <w:left w:val="none" w:sz="0" w:space="0" w:color="auto"/>
                            <w:bottom w:val="none" w:sz="0" w:space="0" w:color="auto"/>
                            <w:right w:val="none" w:sz="0" w:space="0" w:color="auto"/>
                          </w:divBdr>
                        </w:div>
                        <w:div w:id="1999576325">
                          <w:marLeft w:val="0"/>
                          <w:marRight w:val="0"/>
                          <w:marTop w:val="0"/>
                          <w:marBottom w:val="0"/>
                          <w:divBdr>
                            <w:top w:val="none" w:sz="0" w:space="0" w:color="auto"/>
                            <w:left w:val="none" w:sz="0" w:space="0" w:color="auto"/>
                            <w:bottom w:val="none" w:sz="0" w:space="0" w:color="auto"/>
                            <w:right w:val="none" w:sz="0" w:space="0" w:color="auto"/>
                          </w:divBdr>
                        </w:div>
                        <w:div w:id="1476987984">
                          <w:marLeft w:val="0"/>
                          <w:marRight w:val="0"/>
                          <w:marTop w:val="0"/>
                          <w:marBottom w:val="0"/>
                          <w:divBdr>
                            <w:top w:val="none" w:sz="0" w:space="0" w:color="auto"/>
                            <w:left w:val="none" w:sz="0" w:space="0" w:color="auto"/>
                            <w:bottom w:val="none" w:sz="0" w:space="0" w:color="auto"/>
                            <w:right w:val="none" w:sz="0" w:space="0" w:color="auto"/>
                          </w:divBdr>
                        </w:div>
                        <w:div w:id="1763527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40.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1.png"/>
  <Relationship Id="rId19" Type="http://schemas.openxmlformats.org/officeDocument/2006/relationships/header" Target="header85.xml"/>
  <Relationship Id="rId2" Type="http://schemas.openxmlformats.org/officeDocument/2006/relationships/header" Target="header41.xml"/>
  <Relationship Id="rId20" Type="http://schemas.openxmlformats.org/officeDocument/2006/relationships/header" Target="header86.xml"/>
  <Relationship Id="rId21" Type="http://schemas.openxmlformats.org/officeDocument/2006/relationships/footer" Target="footer85.xml"/>
  <Relationship Id="rId22" Type="http://schemas.openxmlformats.org/officeDocument/2006/relationships/footer" Target="footer86.xml"/>
  <Relationship Id="rId23" Type="http://schemas.openxmlformats.org/officeDocument/2006/relationships/header" Target="header87.xml"/>
  <Relationship Id="rId24" Type="http://schemas.openxmlformats.org/officeDocument/2006/relationships/footer" Target="footer87.xml"/>
  <Relationship Id="rId25" Type="http://schemas.openxmlformats.org/officeDocument/2006/relationships/customXml" Target="../customXml/item4.xml"/>
  <Relationship Id="rId3" Type="http://schemas.openxmlformats.org/officeDocument/2006/relationships/footer" Target="footer40.xml"/>
  <Relationship Id="rId4" Type="http://schemas.openxmlformats.org/officeDocument/2006/relationships/footer" Target="footer41.xml"/>
  <Relationship Id="rId5" Type="http://schemas.openxmlformats.org/officeDocument/2006/relationships/header" Target="header42.xml"/>
  <Relationship Id="rId6" Type="http://schemas.openxmlformats.org/officeDocument/2006/relationships/footer" Target="footer42.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b152c8b88a2e4ae4b4392e065d9216b2" PartId="1a47d8a356f14b92b652045843265b65">
    <Part Type="preambule" DocPartId="5e770628ece148bc8ca7d0da0a0f5f8d" PartId="1446f74c56424906a1bcc07b00192777"/>
    <Part Type="pastraipa" DocPartId="dc1681e6a6b84ccdbb45dc4482bb2935" PartId="1420b5faeaa74003b44ca6285582c7b3"/>
    <Part Type="signatura" DocPartId="a86183da6fed4186b624d2c16a601cbb" PartId="cb724fd6616044e2a23c5602d9105b54"/>
  </Part>
  <Part Type="patvirtinta" Title="2022–2030 METŲ PLĖTROS PROGRAMOS VALDYTOJOS LIETUVOS RESPUBLIKOS ŠVIETIMO, MOKSLO IR SPORTO MINISTERIJOS MOKSLO PLĖTROS PROGRAMOS PAŽANGOS PRIEMONĖS NR. 12-001-01-02-01 „STIPRINTI INOVACIJŲ EKOSISTEMAS MOKSLO CENTRUOSE“ APRAŠAS" DocPartId="9a23410f343a47f3b2ae8fdbdf91fede" PartId="7909b7209d474123ae8ca74d262ecc4a">
    <Part Type="skyrius" Nr="1" Title="PLĖTROS PROGRAMOS PAŽANGOS PRIEMONĖS SIEKIAMI REZULTATAI" DocPartId="14be2984e7cb4e46a7caf3e3ab87722d" PartId="9f8290f50eae42afa7e3510d001595d5">
      <Part Type="poskyris" Title="Pastaba." DocPartId="5d5862df87794cff9ee91cf2c993d0b5" PartId="29f43474d38b4b2ca2850b5878ee0865"/>
      <Part Type="poskyris" Title="Paaiškinimai:" DocPartId="1a91b5926a7244598e88fc85920b24cd" PartId="035cb37b46f7493398fad660f3be91ad">
        <Part Type="punktas" Nr="1" Abbr="1 p." DocPartId="15506526a66a408589159782d0efab61" PartId="a6d268e38118479f8ecdd02f4e810d42"/>
        <Part Type="punktas" Nr="2" Abbr="2 p." DocPartId="5a182afded354f04b8f946fc80d6ff53" PartId="ca2c9d8ac43741f48f752778bdc1acd8"/>
        <Part Type="punktas" Nr="3" Abbr="3 p." DocPartId="5faaa3f2af6242908fde5308ced6973a" PartId="b93ec03fb5c848419c5350b7d3cd45d1"/>
        <Part Type="punktas" Nr="4" Abbr="4 p." DocPartId="7917c781f46f4a22b7ce5767c409e5ec" PartId="81507d032b58456db325b27ec01b3546"/>
        <Part Type="punktas" Nr="5" Abbr="5 p." DocPartId="046aa5cd8db7493abe3f6d3b5128b63c" PartId="e7f9a915605c442d89dcec2cca77681c"/>
      </Part>
    </Part>
    <Part Type="skyrius" Nr="2" Title="PLĖTROS PROGRAMOS PAŽANGOS PRIEMONĖS FINANSAVIMO ŠALTINIAI" DocPartId="593ea9bf19d44d7089792235ad497395" PartId="ca46f63dc94b463f8ddc85444a93ae92">
      <Part Type="poskyris" Title="*Pastaba." DocPartId="81133ce624654169ad9005e58a2fd787" PartId="0ce73739512e4ce591cabb6d8cd20a92"/>
      <Part Type="poskyris" Title="Paaiškinimai:" DocPartId="4a3ba481740946539a0148896e33aa87" PartId="4f340fe3328e4bf2aa5b880edbcb695a">
        <Part Type="punktas" Nr="1" Abbr="1 p." DocPartId="86a9b8c1924f4376aa7e0e7a70a9becb" PartId="e4f754b5f6234b3686358c14ba751861"/>
        <Part Type="punktas" Nr="2" Abbr="2 p." DocPartId="28454e813d6d4a77a518f784c601f314" PartId="4f4e8ac16818468db0ceb3ac6c9bdfbb"/>
        <Part Type="punktas" Nr="3" Abbr="3 p." DocPartId="e0d90391e412486a82b10eb6e9746998" PartId="a16d880ae9654639a72bf7e99bccad5a"/>
      </Part>
    </Part>
    <Part Type="skyrius" Nr="3" Title="PLĖTROS PROGRAMOS PAŽANGOS PRIEMONĖS VEIKLŲ SUVESTINĖ" DocPartId="a4b054442e584e91975ea5160cdc199d" PartId="ba88408f54d546fcafde160488c0d7fa">
      <Part Type="poskyris" Title="Pastaba." DocPartId="7031e72a394944d1af5322bb0d868fa9" PartId="ab077803a87e42af9a1825f5d9a793c9"/>
      <Part Type="poskyris" Title="Paaiškinimai:" DocPartId="731cd216eed345568ac7a155fee2d56e" PartId="b068cd381abc443186fe0fdefec027ae">
        <Part Type="punktas" Nr="1" Abbr="1 p." DocPartId="9851f0fb001f4f11a0c1c3c83b12defc" PartId="8c9e622658ae4740a0ff38e8f80855c7"/>
        <Part Type="punktas" Nr="2" Abbr="2 p." DocPartId="1880cd0403164533be0970e783b0dbc5" PartId="08a6784e8d3b427c8986f2d8dfff9e40"/>
        <Part Type="punktas" Nr="3" Abbr="3 p." DocPartId="8b0a59af3bb24347bfac2a2028cc09c7" PartId="51e9f57e98b94ef0b2ea1f2855d2964b"/>
        <Part Type="punktas" Nr="4" Abbr="4 p." DocPartId="40599ea6e69849e09666ac6f5f72ccdb" PartId="1e1e404c6a7642f6b684b64d709ec8fd"/>
        <Part Type="punktas" Nr="5" Abbr="5 p." DocPartId="57c34803dad1456fb2f38459266e885a" PartId="2d2d2b3beb924c02b33e7fb816e00a97"/>
        <Part Type="punktas" Nr="6" Abbr="6 p." DocPartId="bb5d611d669f44088e4ce517a54d38ca" PartId="ada9f1a77d6a432fb2fd0ee0adc0ca98"/>
        <Part Type="punktas" Nr="7" Abbr="7 p." DocPartId="e19f2a81c95b4119bd2a8762d220c1a0" PartId="69239eb18fb64475a4c87c4f09ef2adb"/>
        <Part Type="punktas" Nr="8" Abbr="8 p." DocPartId="06a1ac80ea5043febc10b295c13bf5b9" PartId="b6f9d65153d0443e9a0d4909706d02b8"/>
        <Part Type="punktas" Nr="9" Abbr="9 p." DocPartId="729931c793fe49a2ae457f934db0d161" PartId="42a95f767f664f46b69aa5de1e6442c6"/>
        <Part Type="punktas" Nr="10" Abbr="10 p." DocPartId="ac4e1689e8e14cd2bf92079084dde7c6" PartId="88e2ab6e3f1d4e1386924a523c5c7a68"/>
        <Part Type="punktas" Nr="11" Abbr="11 p." DocPartId="6f32b2a1003940f28fbfb4d1c107b446" PartId="e629e70741744c2f9cffe7c604a533b0"/>
        <Part Type="punktas" Nr="12" Abbr="12 p." DocPartId="9f4acb27eccd462fbdb6f96f0fabee22" PartId="293db1d7bb4d44cca4b481df0c195c29"/>
      </Part>
    </Part>
    <Part Type="pabaiga" DocPartId="d054188cae054845bce68c44c8e9c4c8" PartId="042a0ee2723d44128ba61a817046903c"/>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92B3800-4575-4091-B01A-4A20435F3A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3.xml><?xml version="1.0" encoding="utf-8"?>
<ds:datastoreItem xmlns:ds="http://schemas.openxmlformats.org/officeDocument/2006/customXml" ds:itemID="{57F4D2F3-C2DF-4CFB-8D0C-301D7558AB2D}">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7E225127-2FCB-41D9-9366-A2368888C98C}">
  <ds:schemaRefs>
    <ds:schemaRef ds:uri="http://lrs.lt/TAIS/DocParts"/>
  </ds:schemaRefs>
</ds:datastoreItem>
</file>

<file path=customXml/itemProps5.xml><?xml version="1.0" encoding="utf-8"?>
<ds:datastoreItem xmlns:ds="http://schemas.openxmlformats.org/officeDocument/2006/customXml" ds:itemID="{E817C031-63FB-4513-B133-3841A88B799F}">
  <ds:schemaRefs>
    <ds:schemaRef ds:uri="http://schemas.openxmlformats.org/officeDocument/2006/bibliography"/>
  </ds:schemaRefs>
</ds:datastoreItem>
</file>

<file path=customXml/itemProps6.xml><?xml version="1.0" encoding="utf-8"?>
<ds:datastoreItem xmlns:ds="http://schemas.openxmlformats.org/officeDocument/2006/customXml" ds:itemID="{82B81528-DEA3-4A70-93C1-48B12EB2D19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TotalTime>
  <Pages>23</Pages>
  <Words>4808</Words>
  <Characters>31292</Characters>
  <Application>Microsoft Office Word</Application>
  <DocSecurity>0</DocSecurity>
  <Lines>260</Lines>
  <Paragraphs>72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fe69c5f0-abde-4659-b7b0-7bf5776808a5</vt:lpstr>
      <vt:lpstr>f9da65df-1248-49f0-ae42-8568aa4b840c</vt:lpstr>
    </vt:vector>
  </TitlesOfParts>
  <Company>VKS</Company>
  <LinksUpToDate>false</LinksUpToDate>
  <CharactersWithSpaces>36028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2023-01-04T08:34:00Z</dcterms:created>
  <dc:creator>arazmantiene</dc:creator>
  <lastModifiedBy>DRAZDAUSKIENĖ Nijolė</lastModifiedBy>
  <lastPrinted>2018-09-10T12:13:00Z</lastPrinted>
  <dcterms:modified xsi:type="dcterms:W3CDTF">2023-03-17T07:44:00Z</dcterms:modified>
  <revision>7</revision>
  <dc:title>c3f1f6dd-b70c-4449-8761-b4562aedea84</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kai dokumentas užregistruotas</vt:lpwstr>
  </property>
</Properties>
</file>