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43a0249a3bd421d8bc9746932d552ab"/>
        <w:lock w:val="sdtLocked"/>
        <w:richText/>
      </w:sdtPr>
      <w:sdtContent>
        <w:p>
          <w:pPr>
            <w:jc w:val="both"/>
            <w:rPr>
              <w:rFonts w:ascii="Times New Roman" w:hAnsi="Times New Roman"/>
            </w:rPr>
          </w:pPr>
          <w:r>
            <w:rPr>
              <w:rFonts w:ascii="Times New Roman" w:hAnsi="Times New Roman"/>
              <w:b/>
              <w:i/>
            </w:rPr>
            <w:t>Suvestinė redakcija nuo 2023-02-24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2022-12-30, i. k. 2022-27646</w:t>
          </w:r>
        </w:p>
        <w:p>
          <w:pPr>
            <w:jc w:val="both"/>
            <w:rPr>
              <w:rFonts w:ascii="Times New Roman" w:hAnsi="Times New Roman"/>
              <w:sz w:val="20"/>
            </w:rPr>
          </w:pPr>
        </w:p>
        <w:p>
          <w:pPr>
            <w:spacing w:line="276" w:lineRule="auto"/>
            <w:jc w:val="center"/>
            <w:rPr>
              <w:b/>
              <w:szCs w:val="24"/>
              <w:lang w:eastAsia="lt-LT"/>
            </w:rPr>
          </w:pPr>
          <w:r>
            <w:rPr>
              <w:lang w:eastAsia="lt-LT"/>
            </w:rPr>
            <w:drawing>
              <wp:inline distT="0" distB="0" distL="0" distR="0">
                <wp:extent cx="548640" cy="597535"/>
                <wp:effectExtent l="0" t="0" r="3810" b="0"/>
                <wp:docPr id="2" name="Picture 2"/>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48640" cy="597535"/>
                        </a:xfrm>
                        <a:prstGeom prst="rect">
                          <a:avLst/>
                        </a:prstGeom>
                        <a:noFill/>
                      </pic:spPr>
                    </pic:pic>
                  </a:graphicData>
                </a:graphic>
              </wp:inline>
            </w:drawing>
          </w:r>
        </w:p>
        <w:p>
          <w:pPr>
            <w:spacing w:line="276" w:lineRule="auto"/>
            <w:jc w:val="center"/>
            <w:rPr>
              <w:b/>
              <w:szCs w:val="24"/>
              <w:lang w:eastAsia="lt-LT"/>
            </w:rPr>
          </w:pPr>
        </w:p>
        <w:p>
          <w:pPr>
            <w:spacing w:line="276" w:lineRule="auto"/>
            <w:jc w:val="center"/>
            <w:rPr>
              <w:b/>
              <w:szCs w:val="24"/>
            </w:rPr>
          </w:pPr>
          <w:r>
            <w:rPr>
              <w:b/>
              <w:szCs w:val="24"/>
              <w:lang w:eastAsia="lt-LT"/>
            </w:rPr>
            <w:drawing>
              <wp:anchor distT="0" distB="0" distL="114300" distR="114300" simplePos="0" relativeHeight="251658240" behindDoc="0" locked="0" layoutInCell="1" allowOverlap="1">
                <wp:simplePos x="0" y="0"/>
                <wp:positionH relativeFrom="column">
                  <wp:posOffset>0</wp:posOffset>
                </wp:positionH>
                <wp:positionV relativeFrom="paragraph">
                  <wp:posOffset>0</wp:posOffset>
                </wp:positionV>
                <wp:extent cx="9525" cy="9525"/>
                <wp:effectExtent l="0" t="0" r="0" b="0"/>
                <wp:wrapNone/>
                <wp:docPr id="1" name="Picture 1"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hidden="1"/>
                        <pic:cNvPicPr preferRelativeResize="0">
                          <a:picLocks noChangeArrowheads="1" noChangeShapeType="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szCs w:val="24"/>
            </w:rPr>
            <w:t>VALSTYBINĖ ENERGETIKOS REGULIAVIMO TARYBA</w:t>
          </w:r>
        </w:p>
        <w:p>
          <w:pPr>
            <w:spacing w:line="276" w:lineRule="auto"/>
            <w:jc w:val="center"/>
            <w:rPr>
              <w:b/>
              <w:szCs w:val="24"/>
            </w:rPr>
          </w:pPr>
        </w:p>
        <w:p>
          <w:pPr>
            <w:spacing w:line="276" w:lineRule="auto"/>
            <w:jc w:val="center"/>
            <w:rPr>
              <w:b/>
              <w:szCs w:val="24"/>
            </w:rPr>
          </w:pPr>
          <w:r>
            <w:rPr>
              <w:b/>
              <w:szCs w:val="24"/>
            </w:rPr>
            <w:t>NUTARIMAS</w:t>
          </w:r>
        </w:p>
        <w:p>
          <w:pPr>
            <w:spacing w:line="276" w:lineRule="auto"/>
            <w:jc w:val="center"/>
            <w:rPr>
              <w:b/>
              <w:szCs w:val="24"/>
            </w:rPr>
          </w:pPr>
          <w:r>
            <w:rPr>
              <w:b/>
              <w:szCs w:val="24"/>
            </w:rPr>
            <w:t>DĖL RINKOS PAJAMŲ NUSTATYMO IR PAJAMŲ PERVIRŠIO SKAIČIAVIMO METODIKOS PATVIRTINIMO</w:t>
          </w:r>
        </w:p>
        <w:p>
          <w:pPr>
            <w:spacing w:line="276" w:lineRule="auto"/>
            <w:ind w:firstLine="720"/>
            <w:jc w:val="center"/>
            <w:rPr>
              <w:b/>
              <w:szCs w:val="24"/>
              <w:lang w:eastAsia="lt-LT"/>
            </w:rPr>
          </w:pPr>
        </w:p>
        <w:p>
          <w:pPr>
            <w:spacing w:line="276" w:lineRule="auto"/>
            <w:jc w:val="center"/>
            <w:rPr>
              <w:szCs w:val="24"/>
              <w:lang w:val="en-US"/>
            </w:rPr>
          </w:pPr>
          <w:r>
            <w:rPr>
              <w:szCs w:val="24"/>
            </w:rPr>
            <w:t>2022 m. gruodžio 30 d. Nr. O</w:t>
          </w:r>
          <w:r>
            <w:rPr>
              <w:szCs w:val="24"/>
              <w:lang w:val="en-US"/>
            </w:rPr>
            <w:t>3E-1811</w:t>
          </w:r>
        </w:p>
        <w:p>
          <w:pPr>
            <w:spacing w:line="276" w:lineRule="auto"/>
            <w:jc w:val="center"/>
            <w:rPr>
              <w:b/>
              <w:szCs w:val="24"/>
              <w:lang w:eastAsia="lt-LT"/>
            </w:rPr>
          </w:pPr>
          <w:r>
            <w:rPr>
              <w:szCs w:val="24"/>
            </w:rPr>
            <w:t>Vilnius</w:t>
          </w:r>
        </w:p>
        <w:p>
          <w:pPr>
            <w:widowControl w:val="0"/>
            <w:suppressAutoHyphens/>
            <w:spacing w:line="276" w:lineRule="auto"/>
            <w:ind w:firstLine="720"/>
            <w:jc w:val="both"/>
            <w:rPr>
              <w:szCs w:val="24"/>
            </w:rPr>
          </w:pPr>
        </w:p>
        <w:sdt>
          <w:sdtPr>
            <w:alias w:val="preambule"/>
            <w:tag w:val="part_238328ad9a1b4e108b66dcc250596d1e"/>
            <w:lock w:val="sdtLocked"/>
            <w:richText/>
          </w:sdtPr>
          <w:sdtContent>
            <w:p>
              <w:pPr>
                <w:widowControl w:val="0"/>
                <w:tabs>
                  <w:tab w:val="left" w:pos="567"/>
                  <w:tab w:val="right" w:pos="9071"/>
                </w:tabs>
                <w:suppressAutoHyphens/>
                <w:spacing w:line="276" w:lineRule="auto"/>
                <w:ind w:firstLine="709"/>
                <w:jc w:val="both"/>
                <w:rPr>
                  <w:szCs w:val="24"/>
                </w:rPr>
              </w:pPr>
              <w:r>
                <w:rPr>
                  <w:szCs w:val="24"/>
                </w:rPr>
                <w:t xml:space="preserve">Vadovaudamasi Lietuvos Respublikos įstatymo dėl Reglamento (ES) 2022/1854 įgyvendinimo 4 straipsnio 1 dalies 2 punktu bei atsižvelgdama į Valstybinės energetikos reguliavimo tarybos (toliau – Taryba) Dujų ir elektros departamento Rinkos plėtros ir stebėsenos skyriaus 2022 m. gruodžio 30 d. pažymą Nr. O5E-1476 „Dėl Rinkos pajamų nustatymo ir pajamų perviršio skaičiavimo metodikos patvirtinimo“, Taryba </w:t>
              </w:r>
              <w:r>
                <w:rPr>
                  <w:spacing w:val="60"/>
                  <w:szCs w:val="24"/>
                </w:rPr>
                <w:t>nutari</w:t>
              </w:r>
              <w:r>
                <w:rPr>
                  <w:szCs w:val="24"/>
                </w:rPr>
                <w:t>a:</w:t>
              </w:r>
            </w:p>
          </w:sdtContent>
        </w:sdt>
        <w:sdt>
          <w:sdtPr>
            <w:alias w:val="pastraipa"/>
            <w:tag w:val="part_bb3d424a6ca44fb08e34b3f8b5c10358"/>
            <w:lock w:val="sdtLocked"/>
            <w:richText/>
          </w:sdtPr>
          <w:sdtContent>
            <w:p>
              <w:pPr>
                <w:widowControl w:val="0"/>
                <w:tabs>
                  <w:tab w:val="right" w:pos="9071"/>
                </w:tabs>
                <w:suppressAutoHyphens/>
                <w:spacing w:line="276" w:lineRule="auto"/>
                <w:ind w:firstLine="709"/>
                <w:jc w:val="both"/>
                <w:rPr>
                  <w:szCs w:val="24"/>
                </w:rPr>
              </w:pPr>
              <w:r>
                <w:rPr>
                  <w:szCs w:val="24"/>
                </w:rPr>
                <w:t>Patvirtinti Rinkos pajamų nustatymo ir pajamų perviršio skaičiavimo metodiką.</w:t>
              </w:r>
            </w:p>
          </w:sdtContent>
        </w:sdt>
        <w:sdt>
          <w:sdtPr>
            <w:alias w:val="signatura"/>
            <w:tag w:val="part_3e9380ef69cc4fada8c598095968aa74"/>
            <w:lock w:val="sdtLocked"/>
            <w:richText/>
          </w:sdtPr>
          <w:sdtContent>
            <w:p>
              <w:pPr>
                <w:widowControl w:val="0"/>
                <w:tabs>
                  <w:tab w:val="right" w:pos="9639"/>
                </w:tabs>
                <w:suppressAutoHyphens/>
                <w:spacing w:line="276" w:lineRule="auto"/>
                <w:jc w:val="both"/>
              </w:pPr>
            </w:p>
            <w:p>
              <w:pPr>
                <w:widowControl w:val="0"/>
                <w:tabs>
                  <w:tab w:val="right" w:pos="9639"/>
                </w:tabs>
                <w:suppressAutoHyphens/>
                <w:spacing w:line="276" w:lineRule="auto"/>
                <w:jc w:val="both"/>
              </w:pPr>
            </w:p>
            <w:p>
              <w:pPr>
                <w:widowControl w:val="0"/>
                <w:tabs>
                  <w:tab w:val="right" w:pos="9639"/>
                </w:tabs>
                <w:suppressAutoHyphens/>
                <w:spacing w:line="276" w:lineRule="auto"/>
                <w:jc w:val="both"/>
              </w:pPr>
            </w:p>
            <w:p>
              <w:pPr>
                <w:widowControl w:val="0"/>
                <w:tabs>
                  <w:tab w:val="right" w:pos="9639"/>
                </w:tabs>
                <w:suppressAutoHyphens/>
                <w:spacing w:line="276" w:lineRule="auto"/>
                <w:jc w:val="both"/>
                <w:rPr>
                  <w:szCs w:val="24"/>
                </w:rPr>
              </w:pPr>
              <w:r>
                <w:rPr>
                  <w:szCs w:val="24"/>
                </w:rPr>
                <w:t>Tarybos pirmininkas</w:t>
                <w:tab/>
                <w:t>Renatas Pocius</w:t>
              </w:r>
            </w:p>
            <w:p>
              <w:pPr>
                <w:spacing w:line="276" w:lineRule="auto"/>
                <w:rPr>
                  <w:szCs w:val="24"/>
                </w:rPr>
              </w:pPr>
            </w:p>
          </w:sdtContent>
        </w:sdt>
      </w:sdtContent>
    </w:sdt>
    <w:sdt>
      <w:sdtPr>
        <w:alias w:val="patvirtinta"/>
        <w:tag w:val="part_56e4bf5e019b414cb81983479262092d"/>
        <w:lock w:val="sdtLocked"/>
        <w:richText/>
      </w:sdtPr>
      <w:sdtContent>
        <w:p>
          <w:pPr>
            <w:widowControl w:val="0"/>
            <w:tabs>
              <w:tab w:val="right" w:pos="9071"/>
            </w:tabs>
            <w:suppressAutoHyphens/>
            <w:spacing w:line="276" w:lineRule="auto"/>
            <w:ind w:firstLine="4990"/>
            <w:sectPr>
              <w:headerReference w:type="even" r:id="rId14"/>
              <w:headerReference w:type="default" r:id="rId15"/>
              <w:footerReference w:type="even" r:id="rId16"/>
              <w:footerReference w:type="default" r:id="rId17"/>
              <w:headerReference w:type="first" r:id="rId18"/>
              <w:footerReference w:type="first" r:id="rId19"/>
              <w:pgSz w:w="11907" w:h="16840" w:code="9"/>
              <w:pgMar w:top="568" w:right="1134" w:bottom="851" w:left="1134" w:header="567" w:footer="284" w:gutter="0"/>
              <w:pgNumType w:start="1"/>
              <w:cols w:space="1296"/>
              <w:titlePg/>
              <w:docGrid w:linePitch="360"/>
            </w:sectPr>
          </w:pPr>
        </w:p>
        <w:p>
          <w:pPr>
            <w:widowControl w:val="0"/>
            <w:tabs>
              <w:tab w:val="right" w:pos="9071"/>
            </w:tabs>
            <w:suppressAutoHyphens/>
            <w:spacing w:line="276" w:lineRule="auto"/>
            <w:ind w:firstLine="4990"/>
            <w:rPr>
              <w:szCs w:val="24"/>
            </w:rPr>
          </w:pPr>
          <w:r>
            <w:rPr>
              <w:szCs w:val="24"/>
            </w:rPr>
            <w:t>PATVIRTINTA</w:t>
          </w:r>
        </w:p>
        <w:p>
          <w:pPr>
            <w:suppressAutoHyphens/>
            <w:spacing w:line="276" w:lineRule="auto"/>
            <w:ind w:firstLine="4990"/>
            <w:textAlignment w:val="baseline"/>
            <w:rPr>
              <w:szCs w:val="24"/>
              <w:lang w:eastAsia="lt-LT"/>
            </w:rPr>
          </w:pPr>
          <w:r>
            <w:rPr>
              <w:szCs w:val="24"/>
              <w:lang w:eastAsia="lt-LT"/>
            </w:rPr>
            <w:t>Valstybinės energetikos reguliavimo tarybos</w:t>
          </w:r>
        </w:p>
        <w:p>
          <w:pPr>
            <w:suppressAutoHyphens/>
            <w:spacing w:line="276" w:lineRule="auto"/>
            <w:ind w:firstLine="4990"/>
            <w:textAlignment w:val="baseline"/>
            <w:rPr>
              <w:szCs w:val="24"/>
              <w:lang w:val="en-US" w:eastAsia="lt-LT"/>
            </w:rPr>
          </w:pPr>
          <w:r>
            <w:rPr>
              <w:szCs w:val="24"/>
              <w:lang w:eastAsia="lt-LT"/>
            </w:rPr>
            <w:t>2022 m. gruodžio 30 d. nutarimu Nr. O3E-</w:t>
          </w:r>
          <w:r>
            <w:rPr>
              <w:szCs w:val="24"/>
              <w:lang w:val="en-US" w:eastAsia="lt-LT"/>
            </w:rPr>
            <w:t>1811</w:t>
          </w:r>
        </w:p>
        <w:p>
          <w:pPr>
            <w:spacing w:line="276" w:lineRule="auto"/>
            <w:ind w:firstLine="720"/>
            <w:jc w:val="center"/>
            <w:rPr>
              <w:szCs w:val="24"/>
              <w:lang w:eastAsia="lt-LT"/>
            </w:rPr>
          </w:pPr>
        </w:p>
        <w:p>
          <w:pPr>
            <w:spacing w:line="276" w:lineRule="auto"/>
            <w:jc w:val="center"/>
            <w:rPr>
              <w:b/>
              <w:szCs w:val="24"/>
              <w:lang w:eastAsia="lt-LT"/>
            </w:rPr>
          </w:pPr>
          <w:sdt>
            <w:sdtPr>
              <w:alias w:val="Pavadinimas"/>
              <w:tag w:val="title_56e4bf5e019b414cb81983479262092d"/>
              <w:lock w:val="sdtLocked"/>
              <w:richText/>
            </w:sdtPr>
            <w:sdtContent>
              <w:r>
                <w:rPr>
                  <w:b/>
                  <w:szCs w:val="24"/>
                  <w:lang w:eastAsia="lt-LT"/>
                </w:rPr>
                <w:t xml:space="preserve">RINKOS PAJAMŲ NUSTATYMO IR PAJAMŲ PERVIRŠIO SKAIČIAVIMO METODIKA </w:t>
              </w:r>
            </w:sdtContent>
          </w:sdt>
        </w:p>
        <w:p>
          <w:pPr>
            <w:spacing w:line="276" w:lineRule="auto"/>
            <w:jc w:val="center"/>
            <w:rPr>
              <w:szCs w:val="24"/>
            </w:rPr>
          </w:pPr>
        </w:p>
        <w:sdt>
          <w:sdtPr>
            <w:alias w:val="skyrius"/>
            <w:tag w:val="part_ee4f406c782d41a1a5ffd51bfbbeefb7"/>
            <w:lock w:val="sdtLocked"/>
            <w:richText/>
          </w:sdtPr>
          <w:sdtContent>
            <w:p>
              <w:pPr>
                <w:spacing w:line="276" w:lineRule="auto"/>
                <w:ind w:firstLine="720"/>
                <w:jc w:val="center"/>
                <w:rPr>
                  <w:b/>
                  <w:szCs w:val="24"/>
                  <w:lang w:eastAsia="lt-LT"/>
                </w:rPr>
              </w:pPr>
              <w:sdt>
                <w:sdtPr>
                  <w:alias w:val="Numeris"/>
                  <w:tag w:val="nr_ee4f406c782d41a1a5ffd51bfbbeefb7"/>
                  <w:lock w:val="sdtLocked"/>
                  <w:richText/>
                </w:sdtPr>
                <w:sdtContent>
                  <w:r>
                    <w:rPr>
                      <w:b/>
                      <w:szCs w:val="24"/>
                      <w:lang w:eastAsia="lt-LT"/>
                    </w:rPr>
                    <w:t>I</w:t>
                  </w:r>
                </w:sdtContent>
              </w:sdt>
              <w:r>
                <w:rPr>
                  <w:b/>
                  <w:szCs w:val="24"/>
                  <w:lang w:eastAsia="lt-LT"/>
                </w:rPr>
                <w:t xml:space="preserve"> SKYRIUS</w:t>
              </w:r>
            </w:p>
            <w:p>
              <w:pPr>
                <w:spacing w:line="276" w:lineRule="auto"/>
                <w:ind w:firstLine="720"/>
                <w:jc w:val="center"/>
                <w:rPr>
                  <w:b/>
                  <w:szCs w:val="24"/>
                  <w:lang w:eastAsia="lt-LT"/>
                </w:rPr>
              </w:pPr>
              <w:sdt>
                <w:sdtPr>
                  <w:alias w:val="Pavadinimas"/>
                  <w:tag w:val="title_ee4f406c782d41a1a5ffd51bfbbeefb7"/>
                  <w:lock w:val="sdtLocked"/>
                  <w:richText/>
                </w:sdtPr>
                <w:sdtContent>
                  <w:r>
                    <w:rPr>
                      <w:b/>
                      <w:szCs w:val="24"/>
                      <w:lang w:eastAsia="lt-LT"/>
                    </w:rPr>
                    <w:t>BENDROSIOS NUOSTATOS</w:t>
                  </w:r>
                </w:sdtContent>
              </w:sdt>
            </w:p>
            <w:p>
              <w:pPr>
                <w:tabs>
                  <w:tab w:val="left" w:pos="475"/>
                </w:tabs>
                <w:spacing w:line="276" w:lineRule="auto"/>
                <w:jc w:val="both"/>
                <w:rPr>
                  <w:szCs w:val="24"/>
                  <w:lang w:eastAsia="lt-LT"/>
                </w:rPr>
              </w:pPr>
            </w:p>
            <w:sdt>
              <w:sdtPr>
                <w:alias w:val="1 p."/>
                <w:tag w:val="part_44312d0662f64791b67eb7600a7911bf"/>
                <w:lock w:val="sdtLocked"/>
                <w:richText/>
              </w:sdtPr>
              <w:sdtContent>
                <w:p>
                  <w:pPr>
                    <w:widowControl w:val="0"/>
                    <w:spacing w:line="276" w:lineRule="auto"/>
                    <w:ind w:firstLine="709"/>
                    <w:jc w:val="both"/>
                    <w:rPr>
                      <w:szCs w:val="24"/>
                      <w:lang w:eastAsia="lt-LT"/>
                    </w:rPr>
                  </w:pPr>
                  <w:sdt>
                    <w:sdtPr>
                      <w:alias w:val="Numeris"/>
                      <w:tag w:val="nr_44312d0662f64791b67eb7600a7911bf"/>
                      <w:lock w:val="sdtLocked"/>
                      <w:richText/>
                    </w:sdtPr>
                    <w:sdtContent>
                      <w:r>
                        <w:rPr>
                          <w:szCs w:val="24"/>
                          <w:lang w:eastAsia="lt-LT"/>
                        </w:rPr>
                        <w:t>1</w:t>
                      </w:r>
                    </w:sdtContent>
                  </w:sdt>
                  <w:r>
                    <w:rPr>
                      <w:szCs w:val="24"/>
                      <w:lang w:eastAsia="lt-LT"/>
                    </w:rPr>
                    <w:t>. Rinkos pajamų nustatymo ir pajamų perviršio skaičiavimo metodika (toliau – Metodika) reglamentuoja rinkos pajamų nustatymo ir pajamų perviršio nustatymo tvarką.</w:t>
                  </w:r>
                </w:p>
              </w:sdtContent>
            </w:sdt>
            <w:sdt>
              <w:sdtPr>
                <w:alias w:val="2 p."/>
                <w:tag w:val="part_3ef451eaa54e4081aec454f4d5c52d01"/>
                <w:lock w:val="sdtLocked"/>
                <w:richText/>
              </w:sdtPr>
              <w:sdtContent>
                <w:p>
                  <w:pPr>
                    <w:widowControl w:val="0"/>
                    <w:spacing w:line="276" w:lineRule="auto"/>
                    <w:ind w:firstLine="709"/>
                    <w:jc w:val="both"/>
                    <w:rPr>
                      <w:szCs w:val="24"/>
                      <w:lang w:eastAsia="lt-LT"/>
                    </w:rPr>
                  </w:pPr>
                  <w:sdt>
                    <w:sdtPr>
                      <w:alias w:val="Numeris"/>
                      <w:tag w:val="nr_3ef451eaa54e4081aec454f4d5c52d01"/>
                      <w:lock w:val="sdtLocked"/>
                      <w:richText/>
                    </w:sdtPr>
                    <w:sdtContent>
                      <w:r>
                        <w:rPr>
                          <w:szCs w:val="24"/>
                          <w:lang w:eastAsia="lt-LT"/>
                        </w:rPr>
                        <w:t>2</w:t>
                      </w:r>
                    </w:sdtContent>
                  </w:sdt>
                  <w:r>
                    <w:rPr>
                      <w:szCs w:val="24"/>
                      <w:lang w:eastAsia="lt-LT"/>
                    </w:rPr>
                    <w:t>. Metodika nustato rinkos pajamų nustatymo ir pajamų perviršio nustatymo tvarką iš elektros energijos gamintojų, gaminančių elektros energiją iš 2022 m. spalio 6 d. Tarybos reglamento (ES) 2022/1854 dėl skubios intervencijos, skirtos didelėms energijos kainoms mažinti (toliau – Reglamentas) 7 straipsnio 1 dalyje nurodytų išteklių (toliau – subjektai) per Reglamento 22 straipsnio 2 dalies c punkte nurodytą laikotarpį (toliau – pajamų perviršio taikymo laikotarpis).</w:t>
                  </w:r>
                </w:p>
              </w:sdtContent>
            </w:sdt>
            <w:sdt>
              <w:sdtPr>
                <w:alias w:val="3 p."/>
                <w:tag w:val="part_1cbcb6e1cd814ab9817785d49b98038d"/>
                <w:lock w:val="sdtLocked"/>
                <w:richText/>
              </w:sdtPr>
              <w:sdtContent>
                <w:p>
                  <w:pPr>
                    <w:widowControl w:val="0"/>
                    <w:tabs>
                      <w:tab w:val="left" w:pos="709"/>
                    </w:tabs>
                    <w:spacing w:line="276" w:lineRule="auto"/>
                    <w:ind w:firstLine="709"/>
                    <w:jc w:val="both"/>
                    <w:rPr>
                      <w:szCs w:val="24"/>
                    </w:rPr>
                  </w:pPr>
                  <w:sdt>
                    <w:sdtPr>
                      <w:alias w:val="Numeris"/>
                      <w:tag w:val="nr_1cbcb6e1cd814ab9817785d49b98038d"/>
                      <w:lock w:val="sdtLocked"/>
                      <w:richText/>
                    </w:sdtPr>
                    <w:sdtContent>
                      <w:r>
                        <w:rPr>
                          <w:szCs w:val="24"/>
                        </w:rPr>
                        <w:t>3</w:t>
                      </w:r>
                    </w:sdtContent>
                  </w:sdt>
                  <w:r>
                    <w:rPr>
                      <w:szCs w:val="24"/>
                    </w:rPr>
                    <w:t>. Metodika taikoma Lietuvos Respublikos įstatyme dėl Reglamento (ES) 2022/1854 įgyvendinimo (toliau – Įstatymas) nurodytiems asmenims:</w:t>
                  </w:r>
                </w:p>
                <w:sdt>
                  <w:sdtPr>
                    <w:alias w:val="3.1 pp."/>
                    <w:tag w:val="part_02d4d071bb7743cfa8333f0bdd9e4970"/>
                    <w:lock w:val="sdtLocked"/>
                    <w:richText/>
                  </w:sdtPr>
                  <w:sdtContent>
                    <w:p>
                      <w:pPr>
                        <w:widowControl w:val="0"/>
                        <w:tabs>
                          <w:tab w:val="left" w:pos="709"/>
                        </w:tabs>
                        <w:spacing w:line="276" w:lineRule="auto"/>
                        <w:ind w:firstLine="709"/>
                        <w:jc w:val="both"/>
                        <w:rPr>
                          <w:szCs w:val="24"/>
                        </w:rPr>
                      </w:pPr>
                      <w:sdt>
                        <w:sdtPr>
                          <w:alias w:val="Numeris"/>
                          <w:tag w:val="nr_02d4d071bb7743cfa8333f0bdd9e4970"/>
                          <w:lock w:val="sdtLocked"/>
                          <w:richText/>
                        </w:sdtPr>
                        <w:sdtContent>
                          <w:r>
                            <w:rPr>
                              <w:szCs w:val="24"/>
                            </w:rPr>
                            <w:t>3.1</w:t>
                          </w:r>
                        </w:sdtContent>
                      </w:sdt>
                      <w:r>
                        <w:rPr>
                          <w:szCs w:val="24"/>
                        </w:rPr>
                        <w:t>. subjektams;</w:t>
                      </w:r>
                    </w:p>
                  </w:sdtContent>
                </w:sdt>
                <w:sdt>
                  <w:sdtPr>
                    <w:alias w:val="3.2 pp."/>
                    <w:tag w:val="part_9e1c0d6ecc57449faf12ad4efc80b3a3"/>
                    <w:lock w:val="sdtLocked"/>
                    <w:richText/>
                  </w:sdtPr>
                  <w:sdtContent>
                    <w:p>
                      <w:pPr>
                        <w:widowControl w:val="0"/>
                        <w:tabs>
                          <w:tab w:val="left" w:pos="709"/>
                        </w:tabs>
                        <w:spacing w:line="276" w:lineRule="auto"/>
                        <w:ind w:firstLine="709"/>
                        <w:jc w:val="both"/>
                        <w:rPr>
                          <w:szCs w:val="24"/>
                        </w:rPr>
                      </w:pPr>
                      <w:sdt>
                        <w:sdtPr>
                          <w:alias w:val="Numeris"/>
                          <w:tag w:val="nr_9e1c0d6ecc57449faf12ad4efc80b3a3"/>
                          <w:lock w:val="sdtLocked"/>
                          <w:richText/>
                        </w:sdtPr>
                        <w:sdtContent>
                          <w:r>
                            <w:rPr>
                              <w:szCs w:val="24"/>
                            </w:rPr>
                            <w:t>3.2</w:t>
                          </w:r>
                        </w:sdtContent>
                      </w:sdt>
                      <w:r>
                        <w:rPr>
                          <w:szCs w:val="24"/>
                        </w:rPr>
                        <w:t>. su subjektais susijusiems asmenims;</w:t>
                      </w:r>
                    </w:p>
                  </w:sdtContent>
                </w:sdt>
                <w:sdt>
                  <w:sdtPr>
                    <w:alias w:val="3.3 pp."/>
                    <w:tag w:val="part_5b209bb454be4025b46fc71eb229405f"/>
                    <w:lock w:val="sdtLocked"/>
                    <w:richText/>
                  </w:sdtPr>
                  <w:sdtContent>
                    <w:p>
                      <w:pPr>
                        <w:widowControl w:val="0"/>
                        <w:tabs>
                          <w:tab w:val="left" w:pos="709"/>
                        </w:tabs>
                        <w:spacing w:line="276" w:lineRule="auto"/>
                        <w:ind w:firstLine="709"/>
                        <w:jc w:val="both"/>
                        <w:rPr>
                          <w:szCs w:val="24"/>
                        </w:rPr>
                      </w:pPr>
                      <w:sdt>
                        <w:sdtPr>
                          <w:alias w:val="Numeris"/>
                          <w:tag w:val="nr_5b209bb454be4025b46fc71eb229405f"/>
                          <w:lock w:val="sdtLocked"/>
                          <w:richText/>
                        </w:sdtPr>
                        <w:sdtContent>
                          <w:r>
                            <w:rPr>
                              <w:szCs w:val="24"/>
                            </w:rPr>
                            <w:t>3.3</w:t>
                          </w:r>
                        </w:sdtContent>
                      </w:sdt>
                      <w:r>
                        <w:rPr>
                          <w:szCs w:val="24"/>
                        </w:rPr>
                        <w:t>. Lietuvos Respublikos elektros energetikos įstatymo 74 straipsnyje nustatytomis sąlygomis ir tvarka Lietuvos Respublikos Vyriausybės paskirtam viešuosius interesus atitinkančių paslaugų lėšų administratoriui (toliau – administratorius);</w:t>
                      </w:r>
                    </w:p>
                  </w:sdtContent>
                </w:sdt>
                <w:sdt>
                  <w:sdtPr>
                    <w:alias w:val="3.4 pp."/>
                    <w:tag w:val="part_b97157926ca54dd59da6d257815bce91"/>
                    <w:lock w:val="sdtLocked"/>
                    <w:richText/>
                  </w:sdtPr>
                  <w:sdtContent>
                    <w:p>
                      <w:pPr>
                        <w:widowControl w:val="0"/>
                        <w:tabs>
                          <w:tab w:val="left" w:pos="709"/>
                        </w:tabs>
                        <w:spacing w:line="276" w:lineRule="auto"/>
                        <w:ind w:firstLine="709"/>
                        <w:jc w:val="both"/>
                        <w:rPr>
                          <w:szCs w:val="24"/>
                        </w:rPr>
                      </w:pPr>
                      <w:sdt>
                        <w:sdtPr>
                          <w:alias w:val="Numeris"/>
                          <w:tag w:val="nr_b97157926ca54dd59da6d257815bce91"/>
                          <w:lock w:val="sdtLocked"/>
                          <w:richText/>
                        </w:sdtPr>
                        <w:sdtContent>
                          <w:r>
                            <w:rPr>
                              <w:szCs w:val="24"/>
                            </w:rPr>
                            <w:t>3.4</w:t>
                          </w:r>
                        </w:sdtContent>
                      </w:sdt>
                      <w:r>
                        <w:rPr>
                          <w:szCs w:val="24"/>
                        </w:rPr>
                        <w:t>. elektros energijos perdavimo sistemos operatoriui;</w:t>
                      </w:r>
                    </w:p>
                  </w:sdtContent>
                </w:sdt>
                <w:sdt>
                  <w:sdtPr>
                    <w:alias w:val="3.5 pp."/>
                    <w:tag w:val="part_3627fa215342450691e218f10927181a"/>
                    <w:lock w:val="sdtLocked"/>
                    <w:richText/>
                  </w:sdtPr>
                  <w:sdtContent>
                    <w:p>
                      <w:pPr>
                        <w:widowControl w:val="0"/>
                        <w:tabs>
                          <w:tab w:val="left" w:pos="709"/>
                        </w:tabs>
                        <w:spacing w:line="276" w:lineRule="auto"/>
                        <w:ind w:firstLine="709"/>
                        <w:jc w:val="both"/>
                        <w:rPr>
                          <w:szCs w:val="24"/>
                        </w:rPr>
                      </w:pPr>
                      <w:sdt>
                        <w:sdtPr>
                          <w:alias w:val="Numeris"/>
                          <w:tag w:val="nr_3627fa215342450691e218f10927181a"/>
                          <w:lock w:val="sdtLocked"/>
                          <w:richText/>
                        </w:sdtPr>
                        <w:sdtContent>
                          <w:r>
                            <w:rPr>
                              <w:szCs w:val="24"/>
                            </w:rPr>
                            <w:t>3.5</w:t>
                          </w:r>
                        </w:sdtContent>
                      </w:sdt>
                      <w:r>
                        <w:rPr>
                          <w:szCs w:val="24"/>
                        </w:rPr>
                        <w:t>. elektros energijos skirstomųjų tinklų operatoriui;</w:t>
                      </w:r>
                    </w:p>
                  </w:sdtContent>
                </w:sdt>
                <w:sdt>
                  <w:sdtPr>
                    <w:alias w:val="3.6 pp."/>
                    <w:tag w:val="part_561903985ab2484db34c1c831bae4363"/>
                    <w:lock w:val="sdtLocked"/>
                    <w:richText/>
                  </w:sdtPr>
                  <w:sdtContent>
                    <w:p>
                      <w:pPr>
                        <w:widowControl w:val="0"/>
                        <w:tabs>
                          <w:tab w:val="left" w:pos="709"/>
                        </w:tabs>
                        <w:spacing w:line="276" w:lineRule="auto"/>
                        <w:ind w:firstLine="709"/>
                        <w:jc w:val="both"/>
                        <w:rPr>
                          <w:szCs w:val="24"/>
                        </w:rPr>
                      </w:pPr>
                      <w:sdt>
                        <w:sdtPr>
                          <w:alias w:val="Numeris"/>
                          <w:tag w:val="nr_561903985ab2484db34c1c831bae4363"/>
                          <w:lock w:val="sdtLocked"/>
                          <w:richText/>
                        </w:sdtPr>
                        <w:sdtContent>
                          <w:r>
                            <w:rPr>
                              <w:szCs w:val="24"/>
                            </w:rPr>
                            <w:t>3.6</w:t>
                          </w:r>
                        </w:sdtContent>
                      </w:sdt>
                      <w:r>
                        <w:rPr>
                          <w:szCs w:val="24"/>
                        </w:rPr>
                        <w:t>. paskirtajam elektros energijos rinkos operatoriui;</w:t>
                      </w:r>
                    </w:p>
                  </w:sdtContent>
                </w:sdt>
                <w:sdt>
                  <w:sdtPr>
                    <w:alias w:val="3.7 pp."/>
                    <w:tag w:val="part_c67ef16dc87c450dbf6889601d46dc06"/>
                    <w:lock w:val="sdtLocked"/>
                    <w:richText/>
                  </w:sdtPr>
                  <w:sdtContent>
                    <w:p>
                      <w:pPr>
                        <w:widowControl w:val="0"/>
                        <w:tabs>
                          <w:tab w:val="left" w:pos="709"/>
                        </w:tabs>
                        <w:spacing w:line="276" w:lineRule="auto"/>
                        <w:ind w:firstLine="709"/>
                        <w:jc w:val="both"/>
                        <w:rPr>
                          <w:szCs w:val="24"/>
                          <w:lang w:eastAsia="lt-LT"/>
                        </w:rPr>
                      </w:pPr>
                      <w:sdt>
                        <w:sdtPr>
                          <w:alias w:val="Numeris"/>
                          <w:tag w:val="nr_c67ef16dc87c450dbf6889601d46dc06"/>
                          <w:lock w:val="sdtLocked"/>
                          <w:richText/>
                        </w:sdtPr>
                        <w:sdtContent>
                          <w:r>
                            <w:rPr>
                              <w:szCs w:val="24"/>
                              <w:lang w:eastAsia="lt-LT"/>
                            </w:rPr>
                            <w:t>3.7</w:t>
                          </w:r>
                        </w:sdtContent>
                      </w:sdt>
                      <w:r>
                        <w:rPr>
                          <w:szCs w:val="24"/>
                          <w:lang w:eastAsia="lt-LT"/>
                        </w:rPr>
                        <w:t xml:space="preserve">. </w:t>
                      </w:r>
                      <w:r>
                        <w:rPr>
                          <w:szCs w:val="24"/>
                        </w:rPr>
                        <w:t>reguliuojamai rinkai, organizuotai prekybos sistemai, daugiašalei prekybos sistemai.</w:t>
                      </w:r>
                    </w:p>
                  </w:sdtContent>
                </w:sdt>
              </w:sdtContent>
            </w:sdt>
            <w:sdt>
              <w:sdtPr>
                <w:alias w:val="4 p."/>
                <w:tag w:val="part_f2aa865b269e4f099e76ddd53d325b18"/>
                <w:lock w:val="sdtLocked"/>
                <w:richText/>
              </w:sdtPr>
              <w:sdtContent>
                <w:p>
                  <w:pPr>
                    <w:tabs>
                      <w:tab w:val="left" w:pos="993"/>
                    </w:tabs>
                    <w:spacing w:line="276" w:lineRule="auto"/>
                    <w:ind w:firstLine="709"/>
                    <w:jc w:val="both"/>
                    <w:rPr>
                      <w:szCs w:val="24"/>
                      <w:lang w:eastAsia="lt-LT"/>
                    </w:rPr>
                  </w:pPr>
                  <w:sdt>
                    <w:sdtPr>
                      <w:alias w:val="Numeris"/>
                      <w:tag w:val="nr_f2aa865b269e4f099e76ddd53d325b18"/>
                      <w:lock w:val="sdtLocked"/>
                      <w:richText/>
                    </w:sdtPr>
                    <w:sdtContent>
                      <w:r>
                        <w:rPr>
                          <w:szCs w:val="24"/>
                          <w:lang w:eastAsia="lt-LT"/>
                        </w:rPr>
                        <w:t>4</w:t>
                      </w:r>
                    </w:sdtContent>
                  </w:sdt>
                  <w:r>
                    <w:rPr>
                      <w:szCs w:val="24"/>
                      <w:lang w:eastAsia="lt-LT"/>
                    </w:rPr>
                    <w:t>. Pagrindinės Metodikos sąvokos:</w:t>
                  </w:r>
                </w:p>
                <w:sdt>
                  <w:sdtPr>
                    <w:alias w:val="4.1 pp."/>
                    <w:tag w:val="part_71d63ce6d216462498786a48dd812e96"/>
                    <w:lock w:val="sdtLocked"/>
                    <w:richText/>
                  </w:sdtPr>
                  <w:sdtContent>
                    <w:p>
                      <w:pPr>
                        <w:tabs>
                          <w:tab w:val="left" w:pos="993"/>
                        </w:tabs>
                        <w:spacing w:line="276" w:lineRule="auto"/>
                        <w:ind w:firstLine="709"/>
                        <w:jc w:val="both"/>
                        <w:rPr>
                          <w:szCs w:val="24"/>
                          <w:lang w:eastAsia="lt-LT"/>
                        </w:rPr>
                      </w:pPr>
                      <w:sdt>
                        <w:sdtPr>
                          <w:alias w:val="Numeris"/>
                          <w:tag w:val="nr_71d63ce6d216462498786a48dd812e96"/>
                          <w:lock w:val="sdtLocked"/>
                          <w:richText/>
                        </w:sdtPr>
                        <w:sdtContent>
                          <w:r>
                            <w:rPr>
                              <w:szCs w:val="24"/>
                              <w:lang w:eastAsia="lt-LT"/>
                            </w:rPr>
                            <w:t>4.1</w:t>
                          </w:r>
                        </w:sdtContent>
                      </w:sdt>
                      <w:r>
                        <w:rPr>
                          <w:szCs w:val="24"/>
                          <w:lang w:eastAsia="lt-LT"/>
                        </w:rPr>
                        <w:t>. „</w:t>
                      </w:r>
                      <w:r>
                        <w:rPr>
                          <w:b/>
                          <w:bCs/>
                          <w:szCs w:val="24"/>
                          <w:lang w:eastAsia="lt-LT"/>
                        </w:rPr>
                        <w:t>Mokėk, kiek pagaminta“ pirkimo–pardavimo sutartis dėl elektros energijos</w:t>
                      </w:r>
                      <w:r>
                        <w:rPr>
                          <w:szCs w:val="24"/>
                          <w:lang w:eastAsia="lt-LT"/>
                        </w:rPr>
                        <w:t xml:space="preserve"> (toliau – PPA PAP) – sutarties tipas, pagal kurios nuostatas gamintojas faktiškai elektrinės pagamintą elektros energijos kiekį parduoda kitai sandorio šaliai (angl. </w:t>
                      </w:r>
                      <w:r>
                        <w:rPr>
                          <w:i/>
                          <w:iCs/>
                          <w:szCs w:val="24"/>
                          <w:lang w:eastAsia="lt-LT"/>
                        </w:rPr>
                        <w:t>pay-as-produced power-purchase agreement</w:t>
                      </w:r>
                      <w:r>
                        <w:rPr>
                          <w:szCs w:val="24"/>
                          <w:lang w:eastAsia="lt-LT"/>
                        </w:rPr>
                        <w:t>) pagal su kita sandorio šalimi sutartą fiksuotą arba kintamą kainą.</w:t>
                      </w:r>
                    </w:p>
                  </w:sdtContent>
                </w:sdt>
                <w:sdt>
                  <w:sdtPr>
                    <w:alias w:val="4.2 pp."/>
                    <w:tag w:val="part_0f5f6bb189934388a1e92f467bf9dab8"/>
                    <w:lock w:val="sdtLocked"/>
                    <w:richText/>
                  </w:sdtPr>
                  <w:sdtContent>
                    <w:p>
                      <w:pPr>
                        <w:tabs>
                          <w:tab w:val="left" w:pos="993"/>
                        </w:tabs>
                        <w:spacing w:line="276" w:lineRule="auto"/>
                        <w:ind w:firstLine="709"/>
                        <w:jc w:val="both"/>
                        <w:rPr>
                          <w:szCs w:val="24"/>
                          <w:lang w:eastAsia="lt-LT"/>
                        </w:rPr>
                      </w:pPr>
                      <w:sdt>
                        <w:sdtPr>
                          <w:alias w:val="Numeris"/>
                          <w:tag w:val="nr_0f5f6bb189934388a1e92f467bf9dab8"/>
                          <w:lock w:val="sdtLocked"/>
                          <w:richText/>
                        </w:sdtPr>
                        <w:sdtContent>
                          <w:r>
                            <w:rPr>
                              <w:szCs w:val="24"/>
                              <w:lang w:eastAsia="lt-LT"/>
                            </w:rPr>
                            <w:t>4.2</w:t>
                          </w:r>
                        </w:sdtContent>
                      </w:sdt>
                      <w:r>
                        <w:rPr>
                          <w:szCs w:val="24"/>
                          <w:lang w:eastAsia="lt-LT"/>
                        </w:rPr>
                        <w:t xml:space="preserve">. </w:t>
                      </w:r>
                      <w:r>
                        <w:rPr>
                          <w:b/>
                          <w:szCs w:val="24"/>
                          <w:lang w:eastAsia="lt-LT"/>
                        </w:rPr>
                        <w:t>Bazinės apkrovos kiekio pirkimo–pardavimo sutartis dėl elektros energijos</w:t>
                      </w:r>
                      <w:r>
                        <w:rPr>
                          <w:szCs w:val="24"/>
                          <w:lang w:eastAsia="lt-LT"/>
                        </w:rPr>
                        <w:t xml:space="preserve"> (toliau – PPA BL) – sutarties tipas, pagal kurios nuostatas gamintojas, naudojantis nevaldomus (angl. </w:t>
                      </w:r>
                      <w:r>
                        <w:rPr>
                          <w:i/>
                          <w:szCs w:val="24"/>
                          <w:lang w:eastAsia="lt-LT"/>
                        </w:rPr>
                        <w:t>non dispatchable</w:t>
                      </w:r>
                      <w:r>
                        <w:rPr>
                          <w:szCs w:val="24"/>
                          <w:lang w:eastAsia="lt-LT"/>
                        </w:rPr>
                        <w:t xml:space="preserve">) elektros energijos šaltinius, kiekvieną pristatymo laikotarpį parduoda pastovų elektros energijos kiekį kitai sandorio šaliai, nepriklausantį nuo faktinės elektrinės pagamintos elektros energijos kiekio elektros energijos gamybos įrenginiais </w:t>
                      </w:r>
                      <w:r>
                        <w:rPr>
                          <w:rFonts w:eastAsia="Calibri"/>
                          <w:szCs w:val="24"/>
                        </w:rPr>
                        <w:t>(angl.</w:t>
                      </w:r>
                      <w:r>
                        <w:rPr>
                          <w:i/>
                          <w:szCs w:val="24"/>
                          <w:lang w:eastAsia="lt-LT"/>
                        </w:rPr>
                        <w:t xml:space="preserve"> baseload power-purchase agreement</w:t>
                      </w:r>
                      <w:r>
                        <w:rPr>
                          <w:rFonts w:eastAsia="Calibri"/>
                          <w:szCs w:val="24"/>
                        </w:rPr>
                        <w:t xml:space="preserve">). Subjektas, siekdamas užtikrinti įsipareigojimus pagal šio tipo sutartį, papildomai atlieka perteklinio elektros energijos kiekio pardavimą ir </w:t>
                      </w:r>
                      <w:r>
                        <w:rPr>
                          <w:szCs w:val="24"/>
                          <w:lang w:eastAsia="lt-LT"/>
                        </w:rPr>
                        <w:t xml:space="preserve">elektros energijos atpirkimą </w:t>
                      </w:r>
                      <w:r>
                        <w:rPr>
                          <w:rFonts w:eastAsia="Calibri"/>
                          <w:szCs w:val="24"/>
                        </w:rPr>
                        <w:t>kituose elektros energijos rinkos segmentuose (kitoms sandorio šalims)</w:t>
                      </w:r>
                      <w:r>
                        <w:rPr>
                          <w:szCs w:val="24"/>
                          <w:lang w:eastAsia="lt-LT"/>
                        </w:rPr>
                        <w:t>. Taikant šį sutarties tipą vertinamos tiek elektros energijos pardavimo pajamos, tiek elektros energijos įsigijimo išlaidos, skirtos užtikrinti pastovaus elektros energijos kiekio tiekimą kitai sandorio šaliai pagal sudarytą sutartį.</w:t>
                      </w:r>
                    </w:p>
                  </w:sdtContent>
                </w:sdt>
                <w:sdt>
                  <w:sdtPr>
                    <w:alias w:val="4.3 pp."/>
                    <w:tag w:val="part_d5083964b1c94893bca0e324d5305bf2"/>
                    <w:lock w:val="sdtLocked"/>
                    <w:richText/>
                  </w:sdtPr>
                  <w:sdtContent>
                    <w:p>
                      <w:pPr>
                        <w:tabs>
                          <w:tab w:val="left" w:pos="993"/>
                        </w:tabs>
                        <w:spacing w:line="276" w:lineRule="auto"/>
                        <w:ind w:firstLine="709"/>
                        <w:jc w:val="both"/>
                        <w:rPr>
                          <w:szCs w:val="24"/>
                          <w:lang w:eastAsia="lt-LT"/>
                        </w:rPr>
                      </w:pPr>
                      <w:sdt>
                        <w:sdtPr>
                          <w:alias w:val="Numeris"/>
                          <w:tag w:val="nr_d5083964b1c94893bca0e324d5305bf2"/>
                          <w:lock w:val="sdtLocked"/>
                          <w:richText/>
                        </w:sdtPr>
                        <w:sdtContent>
                          <w:r>
                            <w:rPr>
                              <w:szCs w:val="24"/>
                              <w:lang w:eastAsia="lt-LT"/>
                            </w:rPr>
                            <w:t>4.3</w:t>
                          </w:r>
                        </w:sdtContent>
                      </w:sdt>
                      <w:r>
                        <w:rPr>
                          <w:szCs w:val="24"/>
                          <w:lang w:eastAsia="lt-LT"/>
                        </w:rPr>
                        <w:t xml:space="preserve">. </w:t>
                      </w:r>
                      <w:r>
                        <w:rPr>
                          <w:b/>
                          <w:bCs/>
                          <w:szCs w:val="24"/>
                          <w:lang w:eastAsia="lt-LT"/>
                        </w:rPr>
                        <w:t>Elektros energijos atpirkimas</w:t>
                      </w:r>
                      <w:r>
                        <w:rPr>
                          <w:szCs w:val="24"/>
                          <w:lang w:eastAsia="lt-LT"/>
                        </w:rPr>
                        <w:t xml:space="preserve"> (angl. </w:t>
                      </w:r>
                      <w:r>
                        <w:rPr>
                          <w:i/>
                          <w:iCs/>
                          <w:szCs w:val="24"/>
                          <w:lang w:eastAsia="lt-LT"/>
                        </w:rPr>
                        <w:t>buyback</w:t>
                      </w:r>
                      <w:r>
                        <w:rPr>
                          <w:szCs w:val="24"/>
                          <w:lang w:eastAsia="lt-LT"/>
                        </w:rPr>
                        <w:t>) – situacija, kai vadovaujantis PPA BL nuostatomis, gamintojas atlieka elektros energijos trūkumo papildomą pirkimą iš elektros energijos rinkos segmentų (iš kitų sandorio šalių), siekiant užtikrinti pastovaus elektros energijos kiekio tiekimą sandorio šaliai pagal sudarytą sutartį.</w:t>
                      </w:r>
                    </w:p>
                  </w:sdtContent>
                </w:sdt>
              </w:sdtContent>
            </w:sdt>
            <w:sdt>
              <w:sdtPr>
                <w:alias w:val="5 p."/>
                <w:tag w:val="part_9d85169475a7427798b8a256e203b3cd"/>
                <w:lock w:val="sdtLocked"/>
                <w:richText/>
              </w:sdtPr>
              <w:sdtContent>
                <w:p>
                  <w:pPr>
                    <w:tabs>
                      <w:tab w:val="left" w:pos="993"/>
                    </w:tabs>
                    <w:spacing w:line="276" w:lineRule="auto"/>
                    <w:ind w:firstLine="709"/>
                    <w:jc w:val="both"/>
                    <w:rPr>
                      <w:szCs w:val="24"/>
                      <w:lang w:eastAsia="lt-LT"/>
                    </w:rPr>
                  </w:pPr>
                  <w:sdt>
                    <w:sdtPr>
                      <w:alias w:val="Numeris"/>
                      <w:tag w:val="nr_9d85169475a7427798b8a256e203b3cd"/>
                      <w:lock w:val="sdtLocked"/>
                      <w:richText/>
                    </w:sdtPr>
                    <w:sdtContent>
                      <w:r>
                        <w:rPr>
                          <w:szCs w:val="24"/>
                          <w:lang w:eastAsia="lt-LT"/>
                        </w:rPr>
                        <w:t>5</w:t>
                      </w:r>
                    </w:sdtContent>
                  </w:sdt>
                  <w:r>
                    <w:rPr>
                      <w:szCs w:val="24"/>
                      <w:lang w:eastAsia="lt-LT"/>
                    </w:rPr>
                    <w:t>. Kitos Metodikoje vartojamos sąvokos suprantamos taip, kaip jos apibrėžtos Reglamente ir Įstatyme.</w:t>
                  </w:r>
                </w:p>
                <w:p>
                  <w:pPr>
                    <w:spacing w:line="276" w:lineRule="auto"/>
                    <w:rPr>
                      <w:rFonts w:eastAsia="Calibri"/>
                      <w:szCs w:val="24"/>
                    </w:rPr>
                  </w:pPr>
                </w:p>
              </w:sdtContent>
            </w:sdt>
          </w:sdtContent>
        </w:sdt>
        <w:sdt>
          <w:sdtPr>
            <w:alias w:val="skyrius"/>
            <w:tag w:val="part_57769163665549328312d7881c337aea"/>
            <w:lock w:val="sdtLocked"/>
            <w:richText/>
          </w:sdtPr>
          <w:sdtContent>
            <w:p>
              <w:pPr>
                <w:spacing w:line="276" w:lineRule="auto"/>
                <w:ind w:firstLine="720"/>
                <w:jc w:val="center"/>
                <w:rPr>
                  <w:b/>
                  <w:szCs w:val="24"/>
                  <w:lang w:eastAsia="lt-LT"/>
                </w:rPr>
              </w:pPr>
              <w:sdt>
                <w:sdtPr>
                  <w:alias w:val="Numeris"/>
                  <w:tag w:val="nr_57769163665549328312d7881c337aea"/>
                  <w:lock w:val="sdtLocked"/>
                  <w:richText/>
                </w:sdtPr>
                <w:sdtContent>
                  <w:r>
                    <w:rPr>
                      <w:b/>
                      <w:szCs w:val="24"/>
                      <w:lang w:eastAsia="lt-LT"/>
                    </w:rPr>
                    <w:t>II</w:t>
                  </w:r>
                </w:sdtContent>
              </w:sdt>
              <w:r>
                <w:rPr>
                  <w:b/>
                  <w:szCs w:val="24"/>
                  <w:lang w:eastAsia="lt-LT"/>
                </w:rPr>
                <w:t xml:space="preserve"> SKYRIUS</w:t>
              </w:r>
            </w:p>
            <w:p>
              <w:pPr>
                <w:spacing w:line="276" w:lineRule="auto"/>
                <w:ind w:firstLine="720"/>
                <w:jc w:val="center"/>
                <w:rPr>
                  <w:b/>
                  <w:szCs w:val="24"/>
                  <w:lang w:eastAsia="lt-LT"/>
                </w:rPr>
              </w:pPr>
              <w:sdt>
                <w:sdtPr>
                  <w:alias w:val="Pavadinimas"/>
                  <w:tag w:val="title_57769163665549328312d7881c337aea"/>
                  <w:lock w:val="sdtLocked"/>
                  <w:richText/>
                </w:sdtPr>
                <w:sdtContent>
                  <w:r>
                    <w:rPr>
                      <w:b/>
                      <w:szCs w:val="24"/>
                      <w:lang w:eastAsia="lt-LT"/>
                    </w:rPr>
                    <w:t>RINKOS PAJAMŲ IR PAJAMŲ PERVIRŠIO NUSTATYMO TAIKYMAS</w:t>
                  </w:r>
                </w:sdtContent>
              </w:sdt>
            </w:p>
            <w:p>
              <w:pPr>
                <w:spacing w:line="276" w:lineRule="auto"/>
                <w:rPr>
                  <w:rFonts w:eastAsia="Calibri"/>
                  <w:szCs w:val="24"/>
                </w:rPr>
              </w:pPr>
            </w:p>
            <w:sdt>
              <w:sdtPr>
                <w:alias w:val="6 p."/>
                <w:tag w:val="part_380d4bc075044c3abf3c601059529f1c"/>
                <w:lock w:val="sdtLocked"/>
                <w:richText/>
              </w:sdtPr>
              <w:sdtContent>
                <w:p>
                  <w:pPr>
                    <w:widowControl w:val="0"/>
                    <w:spacing w:line="276" w:lineRule="auto"/>
                    <w:ind w:firstLine="709"/>
                    <w:jc w:val="both"/>
                    <w:rPr>
                      <w:szCs w:val="24"/>
                      <w:lang w:eastAsia="lt-LT"/>
                    </w:rPr>
                  </w:pPr>
                  <w:sdt>
                    <w:sdtPr>
                      <w:alias w:val="Numeris"/>
                      <w:tag w:val="nr_380d4bc075044c3abf3c601059529f1c"/>
                      <w:lock w:val="sdtLocked"/>
                      <w:richText/>
                    </w:sdtPr>
                    <w:sdtContent>
                      <w:r>
                        <w:rPr>
                          <w:szCs w:val="24"/>
                          <w:lang w:eastAsia="lt-LT"/>
                        </w:rPr>
                        <w:t>6</w:t>
                      </w:r>
                    </w:sdtContent>
                  </w:sdt>
                  <w:r>
                    <w:rPr>
                      <w:szCs w:val="24"/>
                      <w:lang w:eastAsia="lt-LT"/>
                    </w:rPr>
                    <w:t>. Subjektams taikoma 180 EUR už pagamintos elektros energijos MWh, pajamų viršutinė riba, kuri taikoma rinkos pajamoms, gautoms pardavus elektros energiją, pagamintą naudojant šiuos išteklius:</w:t>
                  </w:r>
                </w:p>
                <w:sdt>
                  <w:sdtPr>
                    <w:alias w:val="6.1 pp."/>
                    <w:tag w:val="part_b655850935734f29b12664fa7a1b1e9f"/>
                    <w:lock w:val="sdtLocked"/>
                    <w:richText/>
                  </w:sdtPr>
                  <w:sdtContent>
                    <w:p>
                      <w:pPr>
                        <w:widowControl w:val="0"/>
                        <w:spacing w:line="276" w:lineRule="auto"/>
                        <w:ind w:firstLine="709"/>
                        <w:jc w:val="both"/>
                        <w:rPr>
                          <w:szCs w:val="24"/>
                          <w:lang w:eastAsia="lt-LT"/>
                        </w:rPr>
                      </w:pPr>
                      <w:sdt>
                        <w:sdtPr>
                          <w:alias w:val="Numeris"/>
                          <w:tag w:val="nr_b655850935734f29b12664fa7a1b1e9f"/>
                          <w:lock w:val="sdtLocked"/>
                          <w:richText/>
                        </w:sdtPr>
                        <w:sdtContent>
                          <w:r>
                            <w:rPr>
                              <w:szCs w:val="24"/>
                              <w:lang w:eastAsia="lt-LT"/>
                            </w:rPr>
                            <w:t>6.1</w:t>
                          </w:r>
                        </w:sdtContent>
                      </w:sdt>
                      <w:r>
                        <w:rPr>
                          <w:szCs w:val="24"/>
                          <w:lang w:eastAsia="lt-LT"/>
                        </w:rPr>
                        <w:t>. vėjo energiją;</w:t>
                      </w:r>
                    </w:p>
                  </w:sdtContent>
                </w:sdt>
                <w:sdt>
                  <w:sdtPr>
                    <w:alias w:val="6.2 pp."/>
                    <w:tag w:val="part_70a309c48296412c9d776f0a9d1d5ec6"/>
                    <w:lock w:val="sdtLocked"/>
                    <w:richText/>
                  </w:sdtPr>
                  <w:sdtContent>
                    <w:p>
                      <w:pPr>
                        <w:widowControl w:val="0"/>
                        <w:spacing w:line="276" w:lineRule="auto"/>
                        <w:ind w:firstLine="709"/>
                        <w:jc w:val="both"/>
                        <w:rPr>
                          <w:szCs w:val="24"/>
                          <w:lang w:eastAsia="lt-LT"/>
                        </w:rPr>
                      </w:pPr>
                      <w:sdt>
                        <w:sdtPr>
                          <w:alias w:val="Numeris"/>
                          <w:tag w:val="nr_70a309c48296412c9d776f0a9d1d5ec6"/>
                          <w:lock w:val="sdtLocked"/>
                          <w:richText/>
                        </w:sdtPr>
                        <w:sdtContent>
                          <w:r>
                            <w:rPr>
                              <w:szCs w:val="24"/>
                              <w:lang w:eastAsia="lt-LT"/>
                            </w:rPr>
                            <w:t>6.2</w:t>
                          </w:r>
                        </w:sdtContent>
                      </w:sdt>
                      <w:r>
                        <w:rPr>
                          <w:szCs w:val="24"/>
                          <w:lang w:eastAsia="lt-LT"/>
                        </w:rPr>
                        <w:t>. saulės energiją (saulės šiluminę ir fotovoltinę saulės energiją);</w:t>
                      </w:r>
                    </w:p>
                  </w:sdtContent>
                </w:sdt>
                <w:sdt>
                  <w:sdtPr>
                    <w:alias w:val="6.3 pp."/>
                    <w:tag w:val="part_cc7bb9c5fc4f4861921be29e782eac76"/>
                    <w:lock w:val="sdtLocked"/>
                    <w:richText/>
                  </w:sdtPr>
                  <w:sdtContent>
                    <w:p>
                      <w:pPr>
                        <w:widowControl w:val="0"/>
                        <w:spacing w:line="276" w:lineRule="auto"/>
                        <w:ind w:firstLine="709"/>
                        <w:jc w:val="both"/>
                        <w:rPr>
                          <w:szCs w:val="24"/>
                          <w:lang w:eastAsia="lt-LT"/>
                        </w:rPr>
                      </w:pPr>
                      <w:sdt>
                        <w:sdtPr>
                          <w:alias w:val="Numeris"/>
                          <w:tag w:val="nr_cc7bb9c5fc4f4861921be29e782eac76"/>
                          <w:lock w:val="sdtLocked"/>
                          <w:richText/>
                        </w:sdtPr>
                        <w:sdtContent>
                          <w:r>
                            <w:rPr>
                              <w:szCs w:val="24"/>
                              <w:lang w:eastAsia="lt-LT"/>
                            </w:rPr>
                            <w:t>6.3</w:t>
                          </w:r>
                        </w:sdtContent>
                      </w:sdt>
                      <w:r>
                        <w:rPr>
                          <w:szCs w:val="24"/>
                          <w:lang w:eastAsia="lt-LT"/>
                        </w:rPr>
                        <w:t>. geoterminę energiją;</w:t>
                      </w:r>
                    </w:p>
                  </w:sdtContent>
                </w:sdt>
                <w:sdt>
                  <w:sdtPr>
                    <w:alias w:val="6.4 pp."/>
                    <w:tag w:val="part_058f6703e4d344fca95ad85b7a908af1"/>
                    <w:lock w:val="sdtLocked"/>
                    <w:richText/>
                  </w:sdtPr>
                  <w:sdtContent>
                    <w:p>
                      <w:pPr>
                        <w:widowControl w:val="0"/>
                        <w:spacing w:line="276" w:lineRule="auto"/>
                        <w:ind w:firstLine="709"/>
                        <w:jc w:val="both"/>
                        <w:rPr>
                          <w:szCs w:val="24"/>
                          <w:lang w:eastAsia="lt-LT"/>
                        </w:rPr>
                      </w:pPr>
                      <w:sdt>
                        <w:sdtPr>
                          <w:alias w:val="Numeris"/>
                          <w:tag w:val="nr_058f6703e4d344fca95ad85b7a908af1"/>
                          <w:lock w:val="sdtLocked"/>
                          <w:richText/>
                        </w:sdtPr>
                        <w:sdtContent>
                          <w:r>
                            <w:rPr>
                              <w:szCs w:val="24"/>
                              <w:lang w:eastAsia="lt-LT"/>
                            </w:rPr>
                            <w:t>6.4</w:t>
                          </w:r>
                        </w:sdtContent>
                      </w:sdt>
                      <w:r>
                        <w:rPr>
                          <w:szCs w:val="24"/>
                          <w:lang w:eastAsia="lt-LT"/>
                        </w:rPr>
                        <w:t>. hidroenergiją be rezervuaro;</w:t>
                      </w:r>
                    </w:p>
                  </w:sdtContent>
                </w:sdt>
                <w:sdt>
                  <w:sdtPr>
                    <w:alias w:val="6.5 pp."/>
                    <w:tag w:val="part_d6c702a8e3e849899fc2a6ce251a42fd"/>
                    <w:lock w:val="sdtLocked"/>
                    <w:richText/>
                  </w:sdtPr>
                  <w:sdtContent>
                    <w:p>
                      <w:pPr>
                        <w:widowControl w:val="0"/>
                        <w:spacing w:line="276" w:lineRule="auto"/>
                        <w:ind w:firstLine="709"/>
                        <w:jc w:val="both"/>
                        <w:rPr>
                          <w:szCs w:val="24"/>
                          <w:lang w:eastAsia="lt-LT"/>
                        </w:rPr>
                      </w:pPr>
                      <w:sdt>
                        <w:sdtPr>
                          <w:alias w:val="Numeris"/>
                          <w:tag w:val="nr_d6c702a8e3e849899fc2a6ce251a42fd"/>
                          <w:lock w:val="sdtLocked"/>
                          <w:richText/>
                        </w:sdtPr>
                        <w:sdtContent>
                          <w:r>
                            <w:rPr>
                              <w:szCs w:val="24"/>
                              <w:lang w:eastAsia="lt-LT"/>
                            </w:rPr>
                            <w:t>6.5</w:t>
                          </w:r>
                        </w:sdtContent>
                      </w:sdt>
                      <w:r>
                        <w:rPr>
                          <w:szCs w:val="24"/>
                          <w:lang w:eastAsia="lt-LT"/>
                        </w:rPr>
                        <w:t>. biomasės kurą (kietąjį arba dujinį biomasės kurą), išskyrus biometaną;</w:t>
                      </w:r>
                    </w:p>
                  </w:sdtContent>
                </w:sdt>
                <w:sdt>
                  <w:sdtPr>
                    <w:alias w:val="6.6 pp."/>
                    <w:tag w:val="part_81683d12d3bb4b1a8fe7bba28d3df768"/>
                    <w:lock w:val="sdtLocked"/>
                    <w:richText/>
                  </w:sdtPr>
                  <w:sdtContent>
                    <w:p>
                      <w:pPr>
                        <w:widowControl w:val="0"/>
                        <w:spacing w:line="276" w:lineRule="auto"/>
                        <w:ind w:firstLine="709"/>
                        <w:jc w:val="both"/>
                        <w:rPr>
                          <w:szCs w:val="24"/>
                          <w:lang w:eastAsia="lt-LT"/>
                        </w:rPr>
                      </w:pPr>
                      <w:sdt>
                        <w:sdtPr>
                          <w:alias w:val="Numeris"/>
                          <w:tag w:val="nr_81683d12d3bb4b1a8fe7bba28d3df768"/>
                          <w:lock w:val="sdtLocked"/>
                          <w:richText/>
                        </w:sdtPr>
                        <w:sdtContent>
                          <w:r>
                            <w:rPr>
                              <w:szCs w:val="24"/>
                              <w:lang w:eastAsia="lt-LT"/>
                            </w:rPr>
                            <w:t>6.6</w:t>
                          </w:r>
                        </w:sdtContent>
                      </w:sdt>
                      <w:r>
                        <w:rPr>
                          <w:szCs w:val="24"/>
                          <w:lang w:eastAsia="lt-LT"/>
                        </w:rPr>
                        <w:t>. atliekas;</w:t>
                      </w:r>
                    </w:p>
                  </w:sdtContent>
                </w:sdt>
                <w:sdt>
                  <w:sdtPr>
                    <w:alias w:val="6.7 pp."/>
                    <w:tag w:val="part_0129f143d17c49b3944e5aad50d71939"/>
                    <w:lock w:val="sdtLocked"/>
                    <w:richText/>
                  </w:sdtPr>
                  <w:sdtContent>
                    <w:p>
                      <w:pPr>
                        <w:widowControl w:val="0"/>
                        <w:spacing w:line="276" w:lineRule="auto"/>
                        <w:ind w:firstLine="709"/>
                        <w:jc w:val="both"/>
                        <w:rPr>
                          <w:szCs w:val="24"/>
                          <w:lang w:eastAsia="lt-LT"/>
                        </w:rPr>
                      </w:pPr>
                      <w:sdt>
                        <w:sdtPr>
                          <w:alias w:val="Numeris"/>
                          <w:tag w:val="nr_0129f143d17c49b3944e5aad50d71939"/>
                          <w:lock w:val="sdtLocked"/>
                          <w:richText/>
                        </w:sdtPr>
                        <w:sdtContent>
                          <w:r>
                            <w:rPr>
                              <w:szCs w:val="24"/>
                              <w:lang w:eastAsia="lt-LT"/>
                            </w:rPr>
                            <w:t>6.7</w:t>
                          </w:r>
                        </w:sdtContent>
                      </w:sdt>
                      <w:r>
                        <w:rPr>
                          <w:szCs w:val="24"/>
                          <w:lang w:eastAsia="lt-LT"/>
                        </w:rPr>
                        <w:t>. branduolinę energiją;</w:t>
                      </w:r>
                    </w:p>
                  </w:sdtContent>
                </w:sdt>
                <w:sdt>
                  <w:sdtPr>
                    <w:alias w:val="6.8 pp."/>
                    <w:tag w:val="part_57ced6ad98754504b6d11036c9ac7883"/>
                    <w:lock w:val="sdtLocked"/>
                    <w:richText/>
                  </w:sdtPr>
                  <w:sdtContent>
                    <w:p>
                      <w:pPr>
                        <w:widowControl w:val="0"/>
                        <w:spacing w:line="276" w:lineRule="auto"/>
                        <w:ind w:firstLine="709"/>
                        <w:jc w:val="both"/>
                        <w:rPr>
                          <w:szCs w:val="24"/>
                          <w:lang w:eastAsia="lt-LT"/>
                        </w:rPr>
                      </w:pPr>
                      <w:sdt>
                        <w:sdtPr>
                          <w:alias w:val="Numeris"/>
                          <w:tag w:val="nr_57ced6ad98754504b6d11036c9ac7883"/>
                          <w:lock w:val="sdtLocked"/>
                          <w:richText/>
                        </w:sdtPr>
                        <w:sdtContent>
                          <w:r>
                            <w:rPr>
                              <w:szCs w:val="24"/>
                              <w:lang w:eastAsia="lt-LT"/>
                            </w:rPr>
                            <w:t>6.8</w:t>
                          </w:r>
                        </w:sdtContent>
                      </w:sdt>
                      <w:r>
                        <w:rPr>
                          <w:szCs w:val="24"/>
                          <w:lang w:eastAsia="lt-LT"/>
                        </w:rPr>
                        <w:t>. lignitą;</w:t>
                      </w:r>
                    </w:p>
                  </w:sdtContent>
                </w:sdt>
                <w:sdt>
                  <w:sdtPr>
                    <w:alias w:val="6.9 pp."/>
                    <w:tag w:val="part_7dc4051011434f3ba6a23178cfc14174"/>
                    <w:lock w:val="sdtLocked"/>
                    <w:richText/>
                  </w:sdtPr>
                  <w:sdtContent>
                    <w:p>
                      <w:pPr>
                        <w:widowControl w:val="0"/>
                        <w:spacing w:line="276" w:lineRule="auto"/>
                        <w:ind w:firstLine="709"/>
                        <w:jc w:val="both"/>
                        <w:rPr>
                          <w:szCs w:val="24"/>
                          <w:lang w:eastAsia="lt-LT"/>
                        </w:rPr>
                      </w:pPr>
                      <w:sdt>
                        <w:sdtPr>
                          <w:alias w:val="Numeris"/>
                          <w:tag w:val="nr_7dc4051011434f3ba6a23178cfc14174"/>
                          <w:lock w:val="sdtLocked"/>
                          <w:richText/>
                        </w:sdtPr>
                        <w:sdtContent>
                          <w:r>
                            <w:rPr>
                              <w:szCs w:val="24"/>
                              <w:lang w:eastAsia="lt-LT"/>
                            </w:rPr>
                            <w:t>6.9</w:t>
                          </w:r>
                        </w:sdtContent>
                      </w:sdt>
                      <w:r>
                        <w:rPr>
                          <w:szCs w:val="24"/>
                          <w:lang w:eastAsia="lt-LT"/>
                        </w:rPr>
                        <w:t>. žalios naftos produktus, išskyrus išteklius, kuriems taikoma Įstatymo 11 straipsnio 10 dalis;</w:t>
                      </w:r>
                    </w:p>
                  </w:sdtContent>
                </w:sdt>
                <w:sdt>
                  <w:sdtPr>
                    <w:alias w:val="6.10 pp."/>
                    <w:tag w:val="part_7308c6109eea4580b00a5c9f09b6f4c4"/>
                    <w:lock w:val="sdtLocked"/>
                    <w:richText/>
                  </w:sdtPr>
                  <w:sdtContent>
                    <w:p>
                      <w:pPr>
                        <w:widowControl w:val="0"/>
                        <w:spacing w:line="276" w:lineRule="auto"/>
                        <w:ind w:firstLine="709"/>
                        <w:jc w:val="both"/>
                        <w:rPr>
                          <w:szCs w:val="24"/>
                          <w:lang w:eastAsia="lt-LT"/>
                        </w:rPr>
                      </w:pPr>
                      <w:sdt>
                        <w:sdtPr>
                          <w:alias w:val="Numeris"/>
                          <w:tag w:val="nr_7308c6109eea4580b00a5c9f09b6f4c4"/>
                          <w:lock w:val="sdtLocked"/>
                          <w:richText/>
                        </w:sdtPr>
                        <w:sdtContent>
                          <w:r>
                            <w:rPr>
                              <w:szCs w:val="24"/>
                              <w:lang w:eastAsia="lt-LT"/>
                            </w:rPr>
                            <w:t>6.10</w:t>
                          </w:r>
                        </w:sdtContent>
                      </w:sdt>
                      <w:r>
                        <w:rPr>
                          <w:szCs w:val="24"/>
                          <w:lang w:eastAsia="lt-LT"/>
                        </w:rPr>
                        <w:t>. durpes.</w:t>
                      </w:r>
                    </w:p>
                  </w:sdtContent>
                </w:sdt>
              </w:sdtContent>
            </w:sdt>
            <w:sdt>
              <w:sdtPr>
                <w:alias w:val="7 p."/>
                <w:tag w:val="part_2e28b00688cf48989d4b3e91dbbc4256"/>
                <w:lock w:val="sdtLocked"/>
                <w:richText/>
              </w:sdtPr>
              <w:sdtContent>
                <w:p>
                  <w:pPr>
                    <w:widowControl w:val="0"/>
                    <w:spacing w:line="276" w:lineRule="auto"/>
                    <w:ind w:firstLine="709"/>
                    <w:jc w:val="both"/>
                    <w:rPr>
                      <w:szCs w:val="24"/>
                      <w:lang w:eastAsia="lt-LT"/>
                    </w:rPr>
                  </w:pPr>
                  <w:sdt>
                    <w:sdtPr>
                      <w:alias w:val="Numeris"/>
                      <w:tag w:val="nr_2e28b00688cf48989d4b3e91dbbc4256"/>
                      <w:lock w:val="sdtLocked"/>
                      <w:richText/>
                    </w:sdtPr>
                    <w:sdtContent>
                      <w:r>
                        <w:rPr>
                          <w:szCs w:val="24"/>
                          <w:lang w:eastAsia="lt-LT"/>
                        </w:rPr>
                        <w:t>7</w:t>
                      </w:r>
                    </w:sdtContent>
                  </w:sdt>
                  <w:r>
                    <w:rPr>
                      <w:szCs w:val="24"/>
                      <w:lang w:eastAsia="lt-LT"/>
                    </w:rPr>
                    <w:t>. Pajamų perviršio taikymo laikotarpis – 2022 m. gruodžio 1 d. – 2023 m. birželio 30 d. Atitinkamai, Metodikoje numatyti įpareigojimai ir pareigos susijusios su pajamų perviršio taikymo tvarka ir sąlygomis, subjektams galioja už šį laikotarpį. Ataskaitinis laikotarpis yra vienas kalendorinis mėnesis, išskyrus atvejus, kai yra sudaryta PPA BL. PPA BL atveju ataskaitinis laikotarpis yra 2022 m. gruodžio 1 d. – 2023 m. birželio 30 d.</w:t>
                  </w:r>
                </w:p>
              </w:sdtContent>
            </w:sdt>
            <w:sdt>
              <w:sdtPr>
                <w:alias w:val="8 p."/>
                <w:tag w:val="part_e1547a512abd45f3a11b191822237f35"/>
                <w:lock w:val="sdtLocked"/>
                <w:richText/>
              </w:sdtPr>
              <w:sdtContent>
                <w:p>
                  <w:pPr>
                    <w:widowControl w:val="0"/>
                    <w:spacing w:line="276" w:lineRule="auto"/>
                    <w:ind w:firstLine="709"/>
                    <w:jc w:val="both"/>
                    <w:rPr>
                      <w:szCs w:val="24"/>
                      <w:lang w:eastAsia="lt-LT"/>
                    </w:rPr>
                  </w:pPr>
                  <w:sdt>
                    <w:sdtPr>
                      <w:alias w:val="Numeris"/>
                      <w:tag w:val="nr_e1547a512abd45f3a11b191822237f35"/>
                      <w:lock w:val="sdtLocked"/>
                      <w:richText/>
                    </w:sdtPr>
                    <w:sdtContent>
                      <w:r>
                        <w:rPr>
                          <w:szCs w:val="24"/>
                          <w:lang w:eastAsia="lt-LT"/>
                        </w:rPr>
                        <w:t>8</w:t>
                      </w:r>
                    </w:sdtContent>
                  </w:sdt>
                  <w:r>
                    <w:rPr>
                      <w:szCs w:val="24"/>
                      <w:lang w:eastAsia="lt-LT"/>
                    </w:rPr>
                    <w:t>. Pareiga deklaruoti pajamų perviršį prasideda tik tada, kai subjektas pradeda gaminti elektros energiją ir turi leidimą arba teisę vykdyti šią veiklą be leidimo. Atitinkamai, Metodika nėra taikoma dar neįgyvendintiems projektams ir gamybos įrenginių paleidimo derinimo darbų metu.</w:t>
                  </w:r>
                </w:p>
              </w:sdtContent>
            </w:sdt>
            <w:sdt>
              <w:sdtPr>
                <w:alias w:val="9 p."/>
                <w:tag w:val="part_86dd6c49d2bf48f8b4730449a9d48509"/>
                <w:lock w:val="sdtLocked"/>
                <w:richText/>
              </w:sdtPr>
              <w:sdtContent>
                <w:p>
                  <w:pPr>
                    <w:widowControl w:val="0"/>
                    <w:spacing w:line="276" w:lineRule="auto"/>
                    <w:ind w:firstLine="709"/>
                    <w:jc w:val="both"/>
                    <w:rPr>
                      <w:szCs w:val="24"/>
                      <w:lang w:eastAsia="lt-LT"/>
                    </w:rPr>
                  </w:pPr>
                  <w:sdt>
                    <w:sdtPr>
                      <w:alias w:val="Numeris"/>
                      <w:tag w:val="nr_86dd6c49d2bf48f8b4730449a9d48509"/>
                      <w:lock w:val="sdtLocked"/>
                      <w:richText/>
                    </w:sdtPr>
                    <w:sdtContent>
                      <w:r>
                        <w:rPr>
                          <w:szCs w:val="24"/>
                          <w:lang w:eastAsia="lt-LT"/>
                        </w:rPr>
                        <w:t>9</w:t>
                      </w:r>
                    </w:sdtContent>
                  </w:sdt>
                  <w:r>
                    <w:rPr>
                      <w:szCs w:val="24"/>
                      <w:lang w:eastAsia="lt-LT"/>
                    </w:rPr>
                    <w:t>. Vadovaujantis Įstatymo 11 straipsnio 3 dalimi pajamų perviršio skaičiavimas grindžiamas elektros energijos sandorio kaina kiekvieną atsiskaitymo už disbalansą laikotarpį, kuris apibrėžtas 2019 m. birželio 5 d. Europos Parlamento ir Tarybos reglamente (ES) 2019/943 dėl elektros energijos vidaus rinkos. Atsiskaitymo už disbalansą laikotarpis Lietuvoje – vienos valandos laikotarpis.</w:t>
                  </w:r>
                </w:p>
              </w:sdtContent>
            </w:sdt>
            <w:sdt>
              <w:sdtPr>
                <w:alias w:val="10 p."/>
                <w:tag w:val="part_e8ecc769bfb74d2b973d97f48e62d3ba"/>
                <w:lock w:val="sdtLocked"/>
                <w:richText/>
              </w:sdtPr>
              <w:sdtContent>
                <w:p>
                  <w:pPr>
                    <w:widowControl w:val="0"/>
                    <w:spacing w:line="276" w:lineRule="auto"/>
                    <w:ind w:firstLine="709"/>
                    <w:jc w:val="both"/>
                    <w:rPr>
                      <w:szCs w:val="24"/>
                      <w:lang w:eastAsia="lt-LT"/>
                    </w:rPr>
                  </w:pPr>
                  <w:sdt>
                    <w:sdtPr>
                      <w:alias w:val="Numeris"/>
                      <w:tag w:val="nr_e8ecc769bfb74d2b973d97f48e62d3ba"/>
                      <w:lock w:val="sdtLocked"/>
                      <w:richText/>
                    </w:sdtPr>
                    <w:sdtContent>
                      <w:r>
                        <w:rPr>
                          <w:szCs w:val="24"/>
                          <w:lang w:eastAsia="lt-LT"/>
                        </w:rPr>
                        <w:t>10</w:t>
                      </w:r>
                    </w:sdtContent>
                  </w:sdt>
                  <w:r>
                    <w:rPr>
                      <w:szCs w:val="24"/>
                      <w:lang w:eastAsia="lt-LT"/>
                    </w:rPr>
                    <w:t>. Pajamų perviršio skaičiavimas yra grįstas skaičiavimu pagal kiekvieną sudarytą sandorį, t. y. atliekant skaičiavimus nėra skaičiuojamos vidutinės vertės per tam tikrą laikotarpį.</w:t>
                  </w:r>
                </w:p>
              </w:sdtContent>
            </w:sdt>
            <w:sdt>
              <w:sdtPr>
                <w:alias w:val="11 p."/>
                <w:tag w:val="part_8d57104f01f448f084b706a9c949c2e2"/>
                <w:lock w:val="sdtLocked"/>
                <w:richText/>
              </w:sdtPr>
              <w:sdtContent>
                <w:p>
                  <w:pPr>
                    <w:widowControl w:val="0"/>
                    <w:spacing w:line="276" w:lineRule="auto"/>
                    <w:ind w:firstLine="709"/>
                    <w:jc w:val="both"/>
                    <w:rPr>
                      <w:szCs w:val="24"/>
                      <w:lang w:eastAsia="lt-LT"/>
                    </w:rPr>
                  </w:pPr>
                  <w:sdt>
                    <w:sdtPr>
                      <w:alias w:val="Numeris"/>
                      <w:tag w:val="nr_8d57104f01f448f084b706a9c949c2e2"/>
                      <w:lock w:val="sdtLocked"/>
                      <w:richText/>
                    </w:sdtPr>
                    <w:sdtContent>
                      <w:r>
                        <w:rPr>
                          <w:szCs w:val="24"/>
                          <w:lang w:eastAsia="lt-LT"/>
                        </w:rPr>
                        <w:t>11</w:t>
                      </w:r>
                    </w:sdtContent>
                  </w:sdt>
                  <w:r>
                    <w:rPr>
                      <w:szCs w:val="24"/>
                      <w:lang w:eastAsia="lt-LT"/>
                    </w:rPr>
                    <w:t xml:space="preserve">. Vadovaujantis Įstatymo 11 straipsnio 4 dalimi, </w:t>
                  </w:r>
                  <w:r>
                    <w:rPr>
                      <w:rFonts w:eastAsia="Calibri"/>
                      <w:szCs w:val="24"/>
                    </w:rPr>
                    <w:t>tuo atveju, kai rinkos pajamos gaunamos gaminant elektros energiją pagal esamas arba būsimas sutartines prievoles pagal dvišales pirkimo–pardavimo sutartis dėl elektros energijos arba elektros energijos rinkos išvestines finansines priemones ar kitas išvestines finansines priemones, kurios yra didmeniniai energetikos produktai (toliau – bet kuri iš dviejų – išvestinė finansinė priemonė), rinkos pajamos, taip pat sąnaudos, susijusios su šiomis sutartimis ir (ar) sandoriais nustatytais įsipareigojimais, vertinamos ir pajamų perviršis skaičiuojamas pajamų perviršio taikymo laikotarpiu. Skaičiuojant pajamų perviršį subjektų įsipareigojimai ir su jais susijęs elektros energijos įsigijimas pagal išvardytas sutartis įvertinami kaip su sandoriu susijusios sąnaudos. Šioje dalyje nurodytos sąnaudos neapima sąnaudų, susijusių su atsakomybės už disbalansą elektros energijos rinkoje, įgyvendinimu dėl šioje dalyje nurodytų sutarčių. Nuostata dėl su sandorio sudarymu susijusių sąnaudų taikoma susijusiems asmenims. Sąnaudomis susijusiomis su atsakomybės už disbalansą elektros energijos rinkoje, įgyvendinimu laikomos sąnaudos ir pajamos mokamos arba gaunamos iš už balansą atsakingos šalies, tuo atveju, jeigu subjektas perduoda savo atsakomybę už disbalansą, už disbalansą atsakingai šaliai. Arba sąnaudos ar pajamos mokamos arba gaunamos iš perdavimo sistemos operatoriaus, jeigu pats subjektas yra už balansą atsakinga šalis.</w:t>
                  </w:r>
                </w:p>
              </w:sdtContent>
            </w:sdt>
            <w:sdt>
              <w:sdtPr>
                <w:alias w:val="12 p."/>
                <w:tag w:val="part_af66c4a802a44d8a9a9b51e6c7c7530f"/>
                <w:lock w:val="sdtLocked"/>
                <w:richText/>
              </w:sdtPr>
              <w:sdtContent>
                <w:p>
                  <w:pPr>
                    <w:widowControl w:val="0"/>
                    <w:spacing w:line="276" w:lineRule="auto"/>
                    <w:ind w:firstLine="709"/>
                    <w:jc w:val="both"/>
                    <w:rPr>
                      <w:szCs w:val="24"/>
                      <w:lang w:eastAsia="lt-LT"/>
                    </w:rPr>
                  </w:pPr>
                  <w:sdt>
                    <w:sdtPr>
                      <w:alias w:val="Numeris"/>
                      <w:tag w:val="nr_af66c4a802a44d8a9a9b51e6c7c7530f"/>
                      <w:lock w:val="sdtLocked"/>
                      <w:richText/>
                    </w:sdtPr>
                    <w:sdtContent>
                      <w:r>
                        <w:rPr>
                          <w:szCs w:val="24"/>
                          <w:lang w:eastAsia="lt-LT"/>
                        </w:rPr>
                        <w:t>12</w:t>
                      </w:r>
                    </w:sdtContent>
                  </w:sdt>
                  <w:r>
                    <w:rPr>
                      <w:szCs w:val="24"/>
                      <w:lang w:eastAsia="lt-LT"/>
                    </w:rPr>
                    <w:t>. Vadovaujantis Įstatymo 11 straipsnio 5 dalimi,</w:t>
                  </w:r>
                  <w:r>
                    <w:rPr>
                      <w:rFonts w:eastAsia="Calibri"/>
                      <w:szCs w:val="24"/>
                    </w:rPr>
                    <w:t xml:space="preserve"> Valstybinė energetikos reguliavimo taryba (toliau – Taryba), atlikdama pajamų perviršio skaičiavimą, Metodikos III skyriuje nustatyta tvarka įvertina:</w:t>
                  </w:r>
                </w:p>
                <w:sdt>
                  <w:sdtPr>
                    <w:alias w:val="12.1 pp."/>
                    <w:tag w:val="part_040ed0ddce82486f8456aeee2470b5dc"/>
                    <w:lock w:val="sdtLocked"/>
                    <w:richText/>
                  </w:sdtPr>
                  <w:sdtContent>
                    <w:p>
                      <w:pPr>
                        <w:widowControl w:val="0"/>
                        <w:spacing w:line="276" w:lineRule="auto"/>
                        <w:ind w:firstLine="709"/>
                        <w:jc w:val="both"/>
                        <w:rPr>
                          <w:szCs w:val="24"/>
                          <w:lang w:eastAsia="lt-LT"/>
                        </w:rPr>
                      </w:pPr>
                      <w:sdt>
                        <w:sdtPr>
                          <w:alias w:val="Numeris"/>
                          <w:tag w:val="nr_040ed0ddce82486f8456aeee2470b5dc"/>
                          <w:lock w:val="sdtLocked"/>
                          <w:richText/>
                        </w:sdtPr>
                        <w:sdtContent>
                          <w:r>
                            <w:rPr>
                              <w:szCs w:val="24"/>
                              <w:lang w:eastAsia="lt-LT"/>
                            </w:rPr>
                            <w:t>12.1</w:t>
                          </w:r>
                        </w:sdtContent>
                      </w:sdt>
                      <w:r>
                        <w:rPr>
                          <w:szCs w:val="24"/>
                          <w:lang w:eastAsia="lt-LT"/>
                        </w:rPr>
                        <w:t xml:space="preserve">. </w:t>
                      </w:r>
                      <w:r>
                        <w:rPr>
                          <w:rFonts w:eastAsia="Calibri"/>
                          <w:szCs w:val="24"/>
                          <w:lang w:eastAsia="lt-LT"/>
                        </w:rPr>
                        <w:t>elektros energijos biržoje sudarytus sandorius;</w:t>
                      </w:r>
                    </w:p>
                  </w:sdtContent>
                </w:sdt>
                <w:sdt>
                  <w:sdtPr>
                    <w:alias w:val="12.2 pp."/>
                    <w:tag w:val="part_91c68028824945959811adaca8921f32"/>
                    <w:lock w:val="sdtLocked"/>
                    <w:richText/>
                  </w:sdtPr>
                  <w:sdtContent>
                    <w:p>
                      <w:pPr>
                        <w:widowControl w:val="0"/>
                        <w:spacing w:line="276" w:lineRule="auto"/>
                        <w:ind w:firstLine="709"/>
                        <w:jc w:val="both"/>
                        <w:rPr>
                          <w:szCs w:val="24"/>
                          <w:lang w:eastAsia="lt-LT"/>
                        </w:rPr>
                      </w:pPr>
                      <w:sdt>
                        <w:sdtPr>
                          <w:alias w:val="Numeris"/>
                          <w:tag w:val="nr_91c68028824945959811adaca8921f32"/>
                          <w:lock w:val="sdtLocked"/>
                          <w:richText/>
                        </w:sdtPr>
                        <w:sdtContent>
                          <w:r>
                            <w:rPr>
                              <w:szCs w:val="24"/>
                              <w:lang w:eastAsia="lt-LT"/>
                            </w:rPr>
                            <w:t>12.2</w:t>
                          </w:r>
                        </w:sdtContent>
                      </w:sdt>
                      <w:r>
                        <w:rPr>
                          <w:szCs w:val="24"/>
                          <w:lang w:eastAsia="lt-LT"/>
                        </w:rPr>
                        <w:t xml:space="preserve">. </w:t>
                      </w:r>
                      <w:r>
                        <w:rPr>
                          <w:rFonts w:eastAsia="Calibri"/>
                          <w:szCs w:val="24"/>
                          <w:lang w:eastAsia="lt-LT"/>
                        </w:rPr>
                        <w:t xml:space="preserve">galiojančias ir (ar) sudarytas dvišales </w:t>
                      </w:r>
                      <w:r>
                        <w:rPr>
                          <w:rFonts w:eastAsia="Calibri"/>
                          <w:szCs w:val="24"/>
                        </w:rPr>
                        <w:t>pirkimo–pardavimo sutartis dėl elektros energijos;</w:t>
                      </w:r>
                    </w:p>
                  </w:sdtContent>
                </w:sdt>
                <w:sdt>
                  <w:sdtPr>
                    <w:alias w:val="12.3 pp."/>
                    <w:tag w:val="part_4fc84fad6acc4b24952314a94a3aec73"/>
                    <w:lock w:val="sdtLocked"/>
                    <w:richText/>
                  </w:sdtPr>
                  <w:sdtContent>
                    <w:p>
                      <w:pPr>
                        <w:widowControl w:val="0"/>
                        <w:spacing w:line="276" w:lineRule="auto"/>
                        <w:ind w:firstLine="709"/>
                        <w:jc w:val="both"/>
                        <w:rPr>
                          <w:szCs w:val="24"/>
                          <w:lang w:eastAsia="lt-LT"/>
                        </w:rPr>
                      </w:pPr>
                      <w:sdt>
                        <w:sdtPr>
                          <w:alias w:val="Numeris"/>
                          <w:tag w:val="nr_4fc84fad6acc4b24952314a94a3aec73"/>
                          <w:lock w:val="sdtLocked"/>
                          <w:richText/>
                        </w:sdtPr>
                        <w:sdtContent>
                          <w:r>
                            <w:rPr>
                              <w:szCs w:val="24"/>
                              <w:lang w:eastAsia="lt-LT"/>
                            </w:rPr>
                            <w:t>12.3</w:t>
                          </w:r>
                        </w:sdtContent>
                      </w:sdt>
                      <w:r>
                        <w:rPr>
                          <w:szCs w:val="24"/>
                          <w:lang w:eastAsia="lt-LT"/>
                        </w:rPr>
                        <w:t xml:space="preserve">. </w:t>
                      </w:r>
                      <w:r>
                        <w:rPr>
                          <w:rFonts w:eastAsia="Calibri"/>
                          <w:szCs w:val="24"/>
                          <w:lang w:eastAsia="lt-LT"/>
                        </w:rPr>
                        <w:t xml:space="preserve">galiojančius ir (ar) sudarytus sandorius dėl </w:t>
                      </w:r>
                      <w:r>
                        <w:rPr>
                          <w:rFonts w:eastAsia="Calibri"/>
                          <w:szCs w:val="24"/>
                        </w:rPr>
                        <w:t>elektros energijos išvestinių finansinių priemonių</w:t>
                      </w:r>
                      <w:r>
                        <w:rPr>
                          <w:rFonts w:eastAsia="Calibri"/>
                          <w:szCs w:val="24"/>
                          <w:lang w:eastAsia="lt-LT"/>
                        </w:rPr>
                        <w:t>.</w:t>
                      </w:r>
                    </w:p>
                  </w:sdtContent>
                </w:sdt>
              </w:sdtContent>
            </w:sdt>
            <w:sdt>
              <w:sdtPr>
                <w:alias w:val="13 p."/>
                <w:tag w:val="part_54687e1ae11242878af80cafc4dae67c"/>
                <w:lock w:val="sdtLocked"/>
                <w:richText/>
              </w:sdtPr>
              <w:sdtContent>
                <w:p>
                  <w:pPr>
                    <w:widowControl w:val="0"/>
                    <w:spacing w:line="276" w:lineRule="auto"/>
                    <w:ind w:firstLine="709"/>
                    <w:jc w:val="both"/>
                    <w:rPr>
                      <w:szCs w:val="24"/>
                      <w:lang w:eastAsia="lt-LT"/>
                    </w:rPr>
                  </w:pPr>
                  <w:sdt>
                    <w:sdtPr>
                      <w:alias w:val="Numeris"/>
                      <w:tag w:val="nr_54687e1ae11242878af80cafc4dae67c"/>
                      <w:lock w:val="sdtLocked"/>
                      <w:richText/>
                    </w:sdtPr>
                    <w:sdtContent>
                      <w:r>
                        <w:rPr>
                          <w:szCs w:val="24"/>
                          <w:lang w:eastAsia="lt-LT"/>
                        </w:rPr>
                        <w:t>13</w:t>
                      </w:r>
                    </w:sdtContent>
                  </w:sdt>
                  <w:r>
                    <w:rPr>
                      <w:szCs w:val="24"/>
                      <w:lang w:eastAsia="lt-LT"/>
                    </w:rPr>
                    <w:t xml:space="preserve">. </w:t>
                  </w:r>
                  <w:r>
                    <w:rPr>
                      <w:rFonts w:eastAsia="Calibri"/>
                      <w:szCs w:val="24"/>
                    </w:rPr>
                    <w:t>Į rinkos pajamas neįskaičiuojamos:</w:t>
                  </w:r>
                </w:p>
                <w:sdt>
                  <w:sdtPr>
                    <w:alias w:val="13.1 pp."/>
                    <w:tag w:val="part_bdf3484d72e94a19b06d27d738a2d881"/>
                    <w:lock w:val="sdtLocked"/>
                    <w:richText/>
                  </w:sdtPr>
                  <w:sdtContent>
                    <w:p>
                      <w:pPr>
                        <w:widowControl w:val="0"/>
                        <w:spacing w:line="276" w:lineRule="auto"/>
                        <w:ind w:firstLine="709"/>
                        <w:jc w:val="both"/>
                        <w:rPr>
                          <w:szCs w:val="24"/>
                          <w:lang w:eastAsia="lt-LT"/>
                        </w:rPr>
                      </w:pPr>
                      <w:sdt>
                        <w:sdtPr>
                          <w:alias w:val="Numeris"/>
                          <w:tag w:val="nr_bdf3484d72e94a19b06d27d738a2d881"/>
                          <w:lock w:val="sdtLocked"/>
                          <w:richText/>
                        </w:sdtPr>
                        <w:sdtContent>
                          <w:r>
                            <w:rPr>
                              <w:szCs w:val="24"/>
                              <w:lang w:eastAsia="lt-LT"/>
                            </w:rPr>
                            <w:t>13.1</w:t>
                          </w:r>
                        </w:sdtContent>
                      </w:sdt>
                      <w:r>
                        <w:rPr>
                          <w:szCs w:val="24"/>
                          <w:lang w:eastAsia="lt-LT"/>
                        </w:rPr>
                        <w:t xml:space="preserve">. </w:t>
                      </w:r>
                      <w:r>
                        <w:rPr>
                          <w:rFonts w:eastAsia="Calibri"/>
                          <w:szCs w:val="24"/>
                        </w:rPr>
                        <w:t xml:space="preserve">pajamos, nurodytos </w:t>
                      </w:r>
                      <w:r>
                        <w:rPr>
                          <w:szCs w:val="24"/>
                          <w:lang w:eastAsia="lt-LT"/>
                        </w:rPr>
                        <w:t>Reglamento 7 straipsnio 2 dalyje – netaikomos parodomiesiems projektams ar gamintojams, kurių pajamos už vieną pagamintos elektros energijos MWh jau yra apribotos dėl valstybės ar viešųjų priemonių, kurios nėra priimtos pagal Reglamento 8 straipsnį;</w:t>
                      </w:r>
                    </w:p>
                  </w:sdtContent>
                </w:sdt>
                <w:sdt>
                  <w:sdtPr>
                    <w:alias w:val="13.2 pp."/>
                    <w:tag w:val="part_89ca20ba6092463ab48fa61f1304d1c1"/>
                    <w:lock w:val="sdtLocked"/>
                    <w:richText/>
                  </w:sdtPr>
                  <w:sdtContent>
                    <w:p>
                      <w:pPr>
                        <w:widowControl w:val="0"/>
                        <w:spacing w:line="276" w:lineRule="auto"/>
                        <w:ind w:firstLine="709"/>
                        <w:jc w:val="both"/>
                        <w:rPr>
                          <w:szCs w:val="24"/>
                          <w:lang w:eastAsia="lt-LT"/>
                        </w:rPr>
                      </w:pPr>
                      <w:sdt>
                        <w:sdtPr>
                          <w:alias w:val="Numeris"/>
                          <w:tag w:val="nr_89ca20ba6092463ab48fa61f1304d1c1"/>
                          <w:lock w:val="sdtLocked"/>
                          <w:richText/>
                        </w:sdtPr>
                        <w:sdtContent>
                          <w:r>
                            <w:rPr>
                              <w:szCs w:val="24"/>
                              <w:lang w:eastAsia="lt-LT"/>
                            </w:rPr>
                            <w:t>13.2</w:t>
                          </w:r>
                        </w:sdtContent>
                      </w:sdt>
                      <w:r>
                        <w:rPr>
                          <w:szCs w:val="24"/>
                          <w:lang w:eastAsia="lt-LT"/>
                        </w:rPr>
                        <w:t xml:space="preserve">. pajamos, </w:t>
                      </w:r>
                      <w:r>
                        <w:rPr>
                          <w:rFonts w:eastAsia="Calibri"/>
                          <w:szCs w:val="24"/>
                        </w:rPr>
                        <w:t>gautos pardavus elektros energiją balansavimo energijos rinkoje;</w:t>
                      </w:r>
                    </w:p>
                  </w:sdtContent>
                </w:sdt>
                <w:sdt>
                  <w:sdtPr>
                    <w:alias w:val="13.3 pp."/>
                    <w:tag w:val="part_8afd5d31e8f140c08f02f167326d7de7"/>
                    <w:lock w:val="sdtLocked"/>
                    <w:richText/>
                  </w:sdtPr>
                  <w:sdtContent>
                    <w:p>
                      <w:pPr>
                        <w:widowControl w:val="0"/>
                        <w:tabs>
                          <w:tab w:val="left" w:pos="567"/>
                          <w:tab w:val="right" w:pos="9071"/>
                        </w:tabs>
                        <w:suppressAutoHyphens/>
                        <w:spacing w:line="276" w:lineRule="auto"/>
                        <w:ind w:firstLine="709"/>
                        <w:jc w:val="both"/>
                        <w:rPr>
                          <w:szCs w:val="24"/>
                          <w:lang w:eastAsia="lt-LT"/>
                        </w:rPr>
                      </w:pPr>
                      <w:sdt>
                        <w:sdtPr>
                          <w:alias w:val="Numeris"/>
                          <w:tag w:val="nr_8afd5d31e8f140c08f02f167326d7de7"/>
                          <w:lock w:val="sdtLocked"/>
                          <w:richText/>
                        </w:sdtPr>
                        <w:sdtContent>
                          <w:r>
                            <w:rPr>
                              <w:szCs w:val="24"/>
                              <w:lang w:eastAsia="lt-LT"/>
                            </w:rPr>
                            <w:t>13.3</w:t>
                          </w:r>
                        </w:sdtContent>
                      </w:sdt>
                      <w:r>
                        <w:rPr>
                          <w:szCs w:val="24"/>
                          <w:lang w:eastAsia="lt-LT"/>
                        </w:rPr>
                        <w:t xml:space="preserve">. </w:t>
                      </w:r>
                      <w:r>
                        <w:rPr>
                          <w:rFonts w:eastAsia="Calibri"/>
                          <w:szCs w:val="24"/>
                          <w:lang w:eastAsia="lt-LT"/>
                        </w:rPr>
                        <w:t xml:space="preserve">pajamos, gautos pardavus elektros energiją, pagamintą elektros energijos gamybos įrenginiuose, kuriuose </w:t>
                      </w:r>
                      <w:r>
                        <w:rPr>
                          <w:szCs w:val="24"/>
                          <w:lang w:eastAsia="lt-LT"/>
                        </w:rPr>
                        <w:t>Reglamento 7 straipsnio 1 dalyje</w:t>
                      </w:r>
                      <w:r>
                        <w:rPr>
                          <w:rFonts w:eastAsia="Calibri"/>
                          <w:szCs w:val="24"/>
                          <w:lang w:eastAsia="lt-LT"/>
                        </w:rPr>
                        <w:t xml:space="preserve"> nurodyti atsinaujinantys energijos ištekliai naudojami kartu su kitais tradiciniais energijos ištekliais, tokiais kaip anglis, nafta ir gamtinės dujos. Laikoma, kad Reglamento 7 straipsnio 1 dalyje nurodyti atsinaujinantys energijos ištekliai naudojami kartu su kitais tradiciniais energijos ištekliais, tokiais kaip anglis, nafta ir gamtinės dujos, tik tada, kai subjektui išduotame leidime gaminti elektros energiją yra nurodyta tokia kuro rūšis ir tradiciniai ištekliai yra naudojami ne tik technologinėms reikmėms. Jeigu tokia kuro rūšis nėra nurodyta leidime ir (arba) tradicinis kuras naudojamas tik technologinėms reikmėms – tokiu atveju subjektui nėra taikoma šiame papunktyje nurodyta išimtis dėl į rinkos pajamas neįskaičiuojamų pajamų.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7c0820b37711ed8df094f359a60216">
                        <w:r w:rsidRPr="00532B9F">
                          <w:rPr>
                            <w:rFonts w:ascii="Times New Roman" w:eastAsia="MS Mincho" w:hAnsi="Times New Roman"/>
                            <w:sz w:val="20"/>
                            <w:i/>
                            <w:iCs/>
                            <w:color w:val="0000FF" w:themeColor="hyperlink"/>
                            <w:u w:val="single"/>
                          </w:rPr>
                          <w:t>O3E-209</w:t>
                        </w:r>
                      </w:fldSimple>
                      <w:r>
                        <w:rPr>
                          <w:rFonts w:ascii="Times New Roman" w:eastAsia="MS Mincho" w:hAnsi="Times New Roman"/>
                          <w:sz w:val="20"/>
                          <w:i/>
                          <w:iCs/>
                        </w:rPr>
                        <w:t>,
2023-02-23,
paskelbta TAR 2023-02-23, i. k. 2023-03221            </w:t>
                      </w:r>
                    </w:p>
                    <w:p/>
                  </w:sdtContent>
                </w:sdt>
                <w:sdt>
                  <w:sdtPr>
                    <w:alias w:val="13.4 pp."/>
                    <w:tag w:val="part_fa9c308d6c074ad4810921db760d812c"/>
                    <w:lock w:val="sdtLocked"/>
                    <w:richText/>
                  </w:sdtPr>
                  <w:sdtContent>
                    <w:p>
                      <w:pPr>
                        <w:widowControl w:val="0"/>
                        <w:spacing w:line="276" w:lineRule="auto"/>
                        <w:ind w:firstLine="709"/>
                        <w:jc w:val="both"/>
                        <w:rPr>
                          <w:szCs w:val="24"/>
                          <w:lang w:eastAsia="lt-LT"/>
                        </w:rPr>
                      </w:pPr>
                      <w:sdt>
                        <w:sdtPr>
                          <w:alias w:val="Numeris"/>
                          <w:tag w:val="nr_fa9c308d6c074ad4810921db760d812c"/>
                          <w:lock w:val="sdtLocked"/>
                          <w:richText/>
                        </w:sdtPr>
                        <w:sdtContent>
                          <w:r>
                            <w:rPr>
                              <w:szCs w:val="24"/>
                              <w:lang w:eastAsia="lt-LT"/>
                            </w:rPr>
                            <w:t>13.4</w:t>
                          </w:r>
                        </w:sdtContent>
                      </w:sdt>
                      <w:r>
                        <w:rPr>
                          <w:szCs w:val="24"/>
                          <w:lang w:eastAsia="lt-LT"/>
                        </w:rPr>
                        <w:t xml:space="preserve">.  pajamos, kurioms elektros energijos gamybos įrenginiuose pagamintai elektros energijai yra taikomas fiksuotas tarifas, į kurį gamintojas įgijo teisę pagal iki 2019 m. gegužės 1 d. galiojusias Lietuvos Respublikos atsinaujinančių išteklių energetikos įstatymo 3 straipsnio nuostatas;</w:t>
                      </w:r>
                    </w:p>
                  </w:sdtContent>
                </w:sdt>
                <w:sdt>
                  <w:sdtPr>
                    <w:alias w:val="13.5 pp."/>
                    <w:tag w:val="part_b84110f0dfe2497d97062904e8f47efc"/>
                    <w:lock w:val="sdtLocked"/>
                    <w:richText/>
                  </w:sdtPr>
                  <w:sdtContent>
                    <w:p>
                      <w:pPr>
                        <w:widowControl w:val="0"/>
                        <w:spacing w:line="276" w:lineRule="auto"/>
                        <w:ind w:firstLine="709"/>
                        <w:jc w:val="both"/>
                        <w:rPr>
                          <w:szCs w:val="24"/>
                          <w:lang w:eastAsia="lt-LT"/>
                        </w:rPr>
                      </w:pPr>
                      <w:sdt>
                        <w:sdtPr>
                          <w:alias w:val="Numeris"/>
                          <w:tag w:val="nr_b84110f0dfe2497d97062904e8f47efc"/>
                          <w:lock w:val="sdtLocked"/>
                          <w:richText/>
                        </w:sdtPr>
                        <w:sdtContent>
                          <w:r>
                            <w:rPr>
                              <w:szCs w:val="24"/>
                              <w:lang w:eastAsia="lt-LT"/>
                            </w:rPr>
                            <w:t>13.5</w:t>
                          </w:r>
                        </w:sdtContent>
                      </w:sdt>
                      <w:r>
                        <w:rPr>
                          <w:szCs w:val="24"/>
                          <w:lang w:eastAsia="lt-LT"/>
                        </w:rPr>
                        <w:t>. pajamos gautos dėl atsiskaitymo už disbalansą elektros energijos rinkoje iš perdavimo sistemos operatoriaus.</w:t>
                      </w:r>
                    </w:p>
                  </w:sdtContent>
                </w:sdt>
              </w:sdtContent>
            </w:sdt>
            <w:sdt>
              <w:sdtPr>
                <w:alias w:val="14 p."/>
                <w:tag w:val="part_d724383d67b64b2b940c9bcf1ae7b16d"/>
                <w:lock w:val="sdtLocked"/>
                <w:richText/>
              </w:sdtPr>
              <w:sdtContent>
                <w:p>
                  <w:pPr>
                    <w:widowControl w:val="0"/>
                    <w:spacing w:line="276" w:lineRule="auto"/>
                    <w:ind w:firstLine="709"/>
                    <w:jc w:val="both"/>
                    <w:rPr>
                      <w:szCs w:val="24"/>
                      <w:lang w:eastAsia="lt-LT"/>
                    </w:rPr>
                  </w:pPr>
                  <w:sdt>
                    <w:sdtPr>
                      <w:alias w:val="Numeris"/>
                      <w:tag w:val="nr_d724383d67b64b2b940c9bcf1ae7b16d"/>
                      <w:lock w:val="sdtLocked"/>
                      <w:richText/>
                    </w:sdtPr>
                    <w:sdtContent>
                      <w:r>
                        <w:rPr>
                          <w:szCs w:val="24"/>
                          <w:lang w:eastAsia="lt-LT"/>
                        </w:rPr>
                        <w:t>14</w:t>
                      </w:r>
                    </w:sdtContent>
                  </w:sdt>
                  <w:r>
                    <w:rPr>
                      <w:szCs w:val="24"/>
                      <w:lang w:eastAsia="lt-LT"/>
                    </w:rPr>
                    <w:t>. Vadovaujantis Įstatymo 11 straipsnio 7 dalimi, t</w:t>
                  </w:r>
                  <w:r>
                    <w:rPr>
                      <w:rFonts w:eastAsia="Calibri"/>
                      <w:szCs w:val="24"/>
                    </w:rPr>
                    <w:t xml:space="preserve">ais atvejais, kai subjektai pagamintą elektros energiją parduoda susijusiems asmenims, vertinant pajamų perviršio mokėjimo subjektų gaunamas rinkos pajamas už parduotą elektros energiją, susijusių asmenų gautos pajamos už tretiesiems asmenims parduotą elektros energiją laikantis Įstatymo 11 straipsnyje nustatytų sąlygų įvertinamos šios Metodikos </w:t>
                  </w:r>
                  <w:r>
                    <w:rPr>
                      <w:rFonts w:eastAsia="Calibri"/>
                      <w:bCs/>
                      <w:color w:val="000000"/>
                      <w:szCs w:val="24"/>
                    </w:rPr>
                    <w:t>15–16 punktuose ir III skyriuje</w:t>
                  </w:r>
                  <w:r>
                    <w:rPr>
                      <w:rFonts w:eastAsia="Calibri"/>
                      <w:b/>
                      <w:color w:val="000000"/>
                      <w:szCs w:val="24"/>
                    </w:rPr>
                    <w:t xml:space="preserve"> </w:t>
                  </w:r>
                  <w:r>
                    <w:rPr>
                      <w:rFonts w:eastAsia="Calibri"/>
                      <w:szCs w:val="24"/>
                    </w:rPr>
                    <w:t>nustatyta tvarka.</w:t>
                  </w:r>
                  <w:r>
                    <w:rPr>
                      <w:rFonts w:eastAsia="Calibri"/>
                      <w:color w:val="000000"/>
                      <w:szCs w:val="24"/>
                    </w:rPr>
                    <w:t xml:space="preserve"> </w:t>
                  </w:r>
                  <w:r>
                    <w:rPr>
                      <w:rFonts w:eastAsia="Calibri"/>
                      <w:bCs/>
                      <w:color w:val="000000"/>
                      <w:szCs w:val="24"/>
                    </w:rPr>
                    <w:t>Taryba, įgyvendindama Reglamento 6 straipsnio 3 dalį, siekdama užtikrinti, kad subjektai neišvengtų pareigos mokėti pajamų perviršį, atlieka su subjektais susijusių asmenų sandorių, sudarytų su subjektais, vertinimą</w:t>
                  </w:r>
                  <w:r>
                    <w:rPr>
                      <w:rFonts w:eastAsia="Calibri"/>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7c0820b37711ed8df094f359a60216">
                    <w:r w:rsidRPr="00532B9F">
                      <w:rPr>
                        <w:rFonts w:ascii="Times New Roman" w:eastAsia="MS Mincho" w:hAnsi="Times New Roman"/>
                        <w:sz w:val="20"/>
                        <w:i/>
                        <w:iCs/>
                        <w:color w:val="0000FF" w:themeColor="hyperlink"/>
                        <w:u w:val="single"/>
                      </w:rPr>
                      <w:t>O3E-209</w:t>
                    </w:r>
                  </w:fldSimple>
                  <w:r>
                    <w:rPr>
                      <w:rFonts w:ascii="Times New Roman" w:eastAsia="MS Mincho" w:hAnsi="Times New Roman"/>
                      <w:sz w:val="20"/>
                      <w:i/>
                      <w:iCs/>
                    </w:rPr>
                    <w:t>,
2023-02-23,
paskelbta TAR 2023-02-23, i. k. 2023-03221            </w:t>
                  </w:r>
                </w:p>
                <w:p/>
              </w:sdtContent>
            </w:sdt>
            <w:sdt>
              <w:sdtPr>
                <w:alias w:val="15 p."/>
                <w:tag w:val="part_8fa0a3b1b33a4eb9945a41f817e5a96d"/>
                <w:lock w:val="sdtLocked"/>
                <w:richText/>
              </w:sdtPr>
              <w:sdtContent>
                <w:p>
                  <w:pPr>
                    <w:widowControl w:val="0"/>
                    <w:spacing w:line="276" w:lineRule="auto"/>
                    <w:ind w:firstLine="709"/>
                    <w:jc w:val="both"/>
                    <w:rPr>
                      <w:szCs w:val="24"/>
                      <w:lang w:eastAsia="lt-LT"/>
                    </w:rPr>
                  </w:pPr>
                  <w:sdt>
                    <w:sdtPr>
                      <w:alias w:val="Numeris"/>
                      <w:tag w:val="nr_8fa0a3b1b33a4eb9945a41f817e5a96d"/>
                      <w:lock w:val="sdtLocked"/>
                      <w:richText/>
                    </w:sdtPr>
                    <w:sdtContent>
                      <w:r>
                        <w:rPr>
                          <w:szCs w:val="24"/>
                          <w:lang w:eastAsia="lt-LT"/>
                        </w:rPr>
                        <w:t>15</w:t>
                      </w:r>
                    </w:sdtContent>
                  </w:sdt>
                  <w:r>
                    <w:rPr>
                      <w:szCs w:val="24"/>
                      <w:lang w:eastAsia="lt-LT"/>
                    </w:rPr>
                    <w:t xml:space="preserve">. Jeigu </w:t>
                  </w:r>
                  <w:r>
                    <w:rPr>
                      <w:rFonts w:eastAsia="Calibri"/>
                      <w:szCs w:val="24"/>
                    </w:rPr>
                    <w:t xml:space="preserve">elektros energijos </w:t>
                  </w:r>
                  <w:r>
                    <w:rPr>
                      <w:szCs w:val="24"/>
                      <w:lang w:eastAsia="lt-LT"/>
                    </w:rPr>
                    <w:t>išvestines finansines priemones arba prekybą elektros energijos rinkos segmentuose susijusią su PPA BL nuostatų užtikrinimu atlieka ne pats subjektas, o su juo susijusiu įmonė, tai pajamų perviršio skaičiavimo tikslais, laikoma, kad tokius sandorius sudaro pats subjektas ir tokie sandoriai yra vertinami atliekant pajamų perviršio skaičiavimą.</w:t>
                  </w:r>
                </w:p>
              </w:sdtContent>
            </w:sdt>
            <w:sdt>
              <w:sdtPr>
                <w:alias w:val="16 p."/>
                <w:tag w:val="part_dc7da20fc3f54ce89ed7b03f7d22bfcf"/>
                <w:lock w:val="sdtLocked"/>
                <w:richText/>
              </w:sdtPr>
              <w:sdtContent>
                <w:p>
                  <w:pPr>
                    <w:spacing w:line="276" w:lineRule="auto"/>
                    <w:ind w:firstLine="709"/>
                    <w:jc w:val="both"/>
                    <w:rPr>
                      <w:szCs w:val="24"/>
                      <w:lang w:eastAsia="lt-LT"/>
                    </w:rPr>
                  </w:pPr>
                  <w:sdt>
                    <w:sdtPr>
                      <w:alias w:val="Numeris"/>
                      <w:tag w:val="nr_dc7da20fc3f54ce89ed7b03f7d22bfcf"/>
                      <w:lock w:val="sdtLocked"/>
                      <w:richText/>
                    </w:sdtPr>
                    <w:sdtContent>
                      <w:r>
                        <w:rPr>
                          <w:szCs w:val="24"/>
                          <w:lang w:eastAsia="lt-LT"/>
                        </w:rPr>
                        <w:t>16</w:t>
                      </w:r>
                    </w:sdtContent>
                  </w:sdt>
                  <w:r>
                    <w:rPr>
                      <w:szCs w:val="24"/>
                      <w:lang w:eastAsia="lt-LT"/>
                    </w:rPr>
                    <w:t>. Metodikos nuostatos dėl pajamų perviršio nėra taikomos subjekto pagamintai elektros energijai, kuri yra suvartojama savo reikmėms ir ūkio poreikiams tenkinti, ir susijusiems asmenims parduotai elektros energijai, skirtai vartojimui įmonių grupėje savo reikmėms ir ūkio poreikiams tenkinti.</w:t>
                  </w:r>
                </w:p>
              </w:sdtContent>
            </w:sdt>
            <w:sdt>
              <w:sdtPr>
                <w:alias w:val="17 p."/>
                <w:tag w:val="part_b1af4cc38412469ea88ffe4e713404a7"/>
                <w:lock w:val="sdtLocked"/>
                <w:richText/>
              </w:sdtPr>
              <w:sdtContent>
                <w:p>
                  <w:pPr>
                    <w:widowControl w:val="0"/>
                    <w:spacing w:line="276" w:lineRule="auto"/>
                    <w:ind w:firstLine="709"/>
                    <w:jc w:val="both"/>
                    <w:rPr>
                      <w:szCs w:val="24"/>
                      <w:lang w:eastAsia="lt-LT"/>
                    </w:rPr>
                  </w:pPr>
                  <w:sdt>
                    <w:sdtPr>
                      <w:alias w:val="Numeris"/>
                      <w:tag w:val="nr_b1af4cc38412469ea88ffe4e713404a7"/>
                      <w:lock w:val="sdtLocked"/>
                      <w:richText/>
                    </w:sdtPr>
                    <w:sdtContent>
                      <w:r>
                        <w:rPr>
                          <w:szCs w:val="24"/>
                          <w:lang w:eastAsia="lt-LT"/>
                        </w:rPr>
                        <w:t>17</w:t>
                      </w:r>
                    </w:sdtContent>
                  </w:sdt>
                  <w:r>
                    <w:rPr>
                      <w:szCs w:val="24"/>
                      <w:lang w:eastAsia="lt-LT"/>
                    </w:rPr>
                    <w:t xml:space="preserve">. </w:t>
                  </w:r>
                  <w:r>
                    <w:rPr>
                      <w:rFonts w:eastAsia="Calibri"/>
                      <w:szCs w:val="24"/>
                    </w:rPr>
                    <w:t>Elektros energiją iš atsinaujinančių išteklių gaminantys vartotojai, asmenys, vykdantys veiklą Atsinaujinančių išteklių energetikos įstatymo 20</w:t>
                  </w:r>
                  <w:r>
                    <w:rPr>
                      <w:rFonts w:eastAsia="Calibri"/>
                      <w:szCs w:val="24"/>
                      <w:vertAlign w:val="superscript"/>
                    </w:rPr>
                    <w:t>1</w:t>
                  </w:r>
                  <w:r>
                    <w:rPr>
                      <w:rFonts w:eastAsia="Calibri"/>
                      <w:szCs w:val="24"/>
                    </w:rPr>
                    <w:t xml:space="preserve"> straipsnio 8 dalyje nustatyta tvarka ir sąlygomis, aktyvieji vartotojai, atsinaujinančių išteklių energijos bendrijos ir piliečių energetikos bendrijos, išskyrus atvejus, kai tokie asmenys vykdo elektros energijos prekybą elektros energijos rinkos segmentuose ir už tai gauna rinkos pajamas, nėra pajamų perviršio mokėjimo subjektai.</w:t>
                  </w:r>
                </w:p>
              </w:sdtContent>
            </w:sdt>
            <w:sdt>
              <w:sdtPr>
                <w:alias w:val="18 p."/>
                <w:tag w:val="part_faa4a238e53f4c76b6c90b3af31e328a"/>
                <w:lock w:val="sdtLocked"/>
                <w:richText/>
              </w:sdtPr>
              <w:sdtContent>
                <w:p>
                  <w:pPr>
                    <w:widowControl w:val="0"/>
                    <w:spacing w:line="276" w:lineRule="auto"/>
                    <w:ind w:firstLine="709"/>
                    <w:jc w:val="both"/>
                    <w:rPr>
                      <w:szCs w:val="24"/>
                      <w:lang w:eastAsia="lt-LT"/>
                    </w:rPr>
                  </w:pPr>
                  <w:sdt>
                    <w:sdtPr>
                      <w:alias w:val="Numeris"/>
                      <w:tag w:val="nr_faa4a238e53f4c76b6c90b3af31e328a"/>
                      <w:lock w:val="sdtLocked"/>
                      <w:richText/>
                    </w:sdtPr>
                    <w:sdtContent>
                      <w:r>
                        <w:rPr>
                          <w:szCs w:val="24"/>
                          <w:lang w:eastAsia="lt-LT"/>
                        </w:rPr>
                        <w:t>18</w:t>
                      </w:r>
                    </w:sdtContent>
                  </w:sdt>
                  <w:r>
                    <w:rPr>
                      <w:szCs w:val="24"/>
                      <w:lang w:eastAsia="lt-LT"/>
                    </w:rPr>
                    <w:t>. Vadovaujantis Įstatymo 11 straipsnio 9 dalimi,</w:t>
                  </w:r>
                  <w:r>
                    <w:rPr>
                      <w:rFonts w:eastAsia="Calibri"/>
                      <w:szCs w:val="24"/>
                    </w:rPr>
                    <w:t xml:space="preserve"> </w:t>
                  </w:r>
                  <w:r>
                    <w:rPr>
                      <w:rFonts w:eastAsia="Calibri"/>
                      <w:szCs w:val="24"/>
                      <w:lang w:eastAsia="lt-LT"/>
                    </w:rPr>
                    <w:t xml:space="preserve">Reglamento 6 straipsnio 1 dalies nuostatos netaikomos </w:t>
                  </w:r>
                  <w:r>
                    <w:rPr>
                      <w:rFonts w:eastAsia="Calibri"/>
                      <w:szCs w:val="24"/>
                    </w:rPr>
                    <w:t>pajamų perviršio mokėjimo subjektams tuo atveju,</w:t>
                  </w:r>
                  <w:r>
                    <w:rPr>
                      <w:rFonts w:eastAsia="Calibri"/>
                      <w:szCs w:val="24"/>
                      <w:lang w:eastAsia="lt-LT"/>
                    </w:rPr>
                    <w:t xml:space="preserve"> kai jų ir su jais susijusių asmenų nuosavybės teise ar kitais teisėtais pagrindais valdomų elektros energijos gamybos įrenginių, </w:t>
                  </w:r>
                  <w:r>
                    <w:rPr>
                      <w:szCs w:val="24"/>
                      <w:lang w:eastAsia="lt-LT"/>
                    </w:rPr>
                    <w:t>elektros energijos gamybai naudojančių Reglamento 7 straipsnio 1 dalyje nurodytus išteklius,</w:t>
                  </w:r>
                  <w:r>
                    <w:rPr>
                      <w:rFonts w:eastAsia="Calibri"/>
                      <w:szCs w:val="24"/>
                      <w:lang w:eastAsia="lt-LT"/>
                    </w:rPr>
                    <w:t xml:space="preserve"> įrengtųjų galių suma neviršija </w:t>
                  </w:r>
                  <w:r>
                    <w:rPr>
                      <w:szCs w:val="24"/>
                    </w:rPr>
                    <w:t xml:space="preserve">(yra mažesnė arba lygi) </w:t>
                  </w:r>
                  <w:r>
                    <w:rPr>
                      <w:rFonts w:eastAsia="Calibri"/>
                      <w:szCs w:val="24"/>
                      <w:lang w:eastAsia="lt-LT"/>
                    </w:rPr>
                    <w:t>1 MW</w:t>
                  </w:r>
                  <w:r>
                    <w:rPr>
                      <w:rFonts w:eastAsia="Calibri"/>
                      <w:szCs w:val="24"/>
                    </w:rPr>
                    <w:t>. Nustatant 1 MW apimtį nevertinami įrenginiai, kurių gautoms rinkos pajamoms netaikomas pajamų perviršis, t. y. įrenginiai, kurie atitinka kriterijus įtvirtintus Metodikos 13.1, 13.2, 13.4 papunkčiuose ir 16, 17 punktuose.</w:t>
                  </w:r>
                </w:p>
              </w:sdtContent>
            </w:sdt>
            <w:sdt>
              <w:sdtPr>
                <w:alias w:val="19 p."/>
                <w:tag w:val="part_6db10bef5fcf4b50bac44e10ff20bb01"/>
                <w:lock w:val="sdtLocked"/>
                <w:richText/>
              </w:sdtPr>
              <w:sdtContent>
                <w:p>
                  <w:pPr>
                    <w:widowControl w:val="0"/>
                    <w:spacing w:line="276" w:lineRule="auto"/>
                    <w:ind w:firstLine="709"/>
                    <w:jc w:val="both"/>
                    <w:rPr>
                      <w:szCs w:val="24"/>
                      <w:lang w:eastAsia="lt-LT"/>
                    </w:rPr>
                  </w:pPr>
                  <w:sdt>
                    <w:sdtPr>
                      <w:alias w:val="Numeris"/>
                      <w:tag w:val="nr_6db10bef5fcf4b50bac44e10ff20bb01"/>
                      <w:lock w:val="sdtLocked"/>
                      <w:richText/>
                    </w:sdtPr>
                    <w:sdtContent>
                      <w:r>
                        <w:rPr>
                          <w:szCs w:val="24"/>
                          <w:lang w:eastAsia="lt-LT"/>
                        </w:rPr>
                        <w:t>19</w:t>
                      </w:r>
                    </w:sdtContent>
                  </w:sdt>
                  <w:r>
                    <w:rPr>
                      <w:szCs w:val="24"/>
                      <w:lang w:eastAsia="lt-LT"/>
                    </w:rPr>
                    <w:t>. Vadovaujantis Įstatymo 11 straipsnio 10 dalimi, pajamų perviršio mokėjimo subjektams, kurie iš dalies elektros energijos gamybai naudoja kitą iškastinį kurą nei gamtinės dujos, išskyrus subjektus, vykdančius elektros energijos gamybą bendruose šilumos ir elektros energijos gamybos įrenginiuose (kogeneracija), pajamų perviršis lygus pajamų skirtumui tarp faktinės valandinės elektros energijos biržos kainos, susiformavusios Lietuvos kainų zonoje ir patirtų faktinių elektros energijos gamybos kintamųjų kaštų. Pajamų perviršis šioje dalyje nustatytiems ūkio subjektams yra vertinamas tik tais atvejais, kai valandinė elektros energijos biržos kaina, susiformavusi Lietuvos kainų zonoje yra didesnė negu šio ūkio subjekto patirti faktiniai elektros energijos gamybos kintamieji kaštai. Laikotarpiais, kai subjekto patirti faktiniai elektros energijos gamybos kintamieji kaštai yra mažesni negu 180 Eur/MWh, laikoma, kad šiais laikotarpiais tokiam subjektui taikoma 180 Eur/MWh pajamų viršutinė riba.</w:t>
                  </w:r>
                </w:p>
                <w:p>
                  <w:pPr>
                    <w:widowControl w:val="0"/>
                    <w:spacing w:line="276" w:lineRule="auto"/>
                    <w:ind w:firstLine="709"/>
                    <w:jc w:val="both"/>
                    <w:rPr>
                      <w:szCs w:val="24"/>
                      <w:lang w:eastAsia="lt-LT"/>
                    </w:rPr>
                  </w:pPr>
                  <w:r>
                    <w:rPr>
                      <w:szCs w:val="24"/>
                      <w:lang w:eastAsia="lt-LT"/>
                    </w:rPr>
                    <w:t xml:space="preserve">Šios nuostatos apimtyje kogeneracija nėra laikoma veikla, kai iš </w:t>
                  </w:r>
                  <w:r>
                    <w:rPr>
                      <w:bCs/>
                      <w:color w:val="000000"/>
                      <w:szCs w:val="24"/>
                      <w:lang w:eastAsia="lt-LT"/>
                    </w:rPr>
                    <w:t>dalies</w:t>
                  </w:r>
                  <w:r>
                    <w:rPr>
                      <w:b/>
                      <w:color w:val="000000"/>
                      <w:szCs w:val="24"/>
                      <w:lang w:eastAsia="lt-LT"/>
                    </w:rPr>
                    <w:t xml:space="preserve"> </w:t>
                  </w:r>
                  <w:r>
                    <w:rPr>
                      <w:szCs w:val="24"/>
                      <w:lang w:eastAsia="lt-LT"/>
                    </w:rPr>
                    <w:t>elektros energijos gamybai naudojamas kitas iškastinis kuras nei gamtinės dujos, o gamybos įrenginiai yra bendri elektros energijos ir šilumos energijos gamybos įrenginiai, tačiau pagaminta šilumos energija yra naudojama tik savo reikmėms, t. y. nėra verčiamasi papildoma ūkine ekonomine (komercine) veikla, šilumos gamyba–pardavimas nėra vykdomas.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7c0820b37711ed8df094f359a60216">
                    <w:r w:rsidRPr="00532B9F">
                      <w:rPr>
                        <w:rFonts w:ascii="Times New Roman" w:eastAsia="MS Mincho" w:hAnsi="Times New Roman"/>
                        <w:sz w:val="20"/>
                        <w:i/>
                        <w:iCs/>
                        <w:color w:val="0000FF" w:themeColor="hyperlink"/>
                        <w:u w:val="single"/>
                      </w:rPr>
                      <w:t>O3E-209</w:t>
                    </w:r>
                  </w:fldSimple>
                  <w:r>
                    <w:rPr>
                      <w:rFonts w:ascii="Times New Roman" w:eastAsia="MS Mincho" w:hAnsi="Times New Roman"/>
                      <w:sz w:val="20"/>
                      <w:i/>
                      <w:iCs/>
                    </w:rPr>
                    <w:t>,
2023-02-23,
paskelbta TAR 2023-02-23, i. k. 2023-03221            </w:t>
                  </w:r>
                </w:p>
                <w:p/>
              </w:sdtContent>
            </w:sdt>
            <w:sdt>
              <w:sdtPr>
                <w:alias w:val="20 p."/>
                <w:tag w:val="part_c294b5648d614a838518afe9c299aa47"/>
                <w:lock w:val="sdtLocked"/>
                <w:richText/>
              </w:sdtPr>
              <w:sdtContent>
                <w:p>
                  <w:pPr>
                    <w:widowControl w:val="0"/>
                    <w:spacing w:line="276" w:lineRule="auto"/>
                    <w:ind w:firstLine="709"/>
                    <w:jc w:val="both"/>
                    <w:rPr>
                      <w:szCs w:val="24"/>
                      <w:lang w:eastAsia="lt-LT"/>
                    </w:rPr>
                  </w:pPr>
                  <w:sdt>
                    <w:sdtPr>
                      <w:alias w:val="Numeris"/>
                      <w:tag w:val="nr_c294b5648d614a838518afe9c299aa47"/>
                      <w:lock w:val="sdtLocked"/>
                      <w:richText/>
                    </w:sdtPr>
                    <w:sdtContent>
                      <w:r>
                        <w:rPr>
                          <w:szCs w:val="24"/>
                          <w:lang w:eastAsia="lt-LT"/>
                        </w:rPr>
                        <w:t>20</w:t>
                      </w:r>
                    </w:sdtContent>
                  </w:sdt>
                  <w:r>
                    <w:rPr>
                      <w:szCs w:val="24"/>
                      <w:lang w:eastAsia="lt-LT"/>
                    </w:rPr>
                    <w:t>. Elektros energijos gamybos kintamuosius kaštus sudaro elektrinės paleidimo, kuro įsigijimo, apyvartinių taršos leidimų įsigijimo ir kiti kaštai, kurie priklauso nuo kiekvienos papildomos pagamintos MWh produkcijos kiekio. Jeigu subjektas, kuris yra susijusių asmenų grupėje, pagamintą elektros energijos MWh kiekį parduoda rinkoje ir dalį kiekio suvartoja susijusių asmenų grupėje, tai skaičiuojant pajamų perviršį energijos kiekiai paskirstomi naudojant proporcingumo (</w:t>
                  </w:r>
                  <w:r>
                    <w:rPr>
                      <w:i/>
                      <w:iCs/>
                      <w:szCs w:val="24"/>
                      <w:lang w:eastAsia="lt-LT"/>
                    </w:rPr>
                    <w:t>pro rata</w:t>
                  </w:r>
                  <w:r>
                    <w:rPr>
                      <w:szCs w:val="24"/>
                      <w:lang w:eastAsia="lt-LT"/>
                    </w:rPr>
                    <w:t>) principą.</w:t>
                  </w:r>
                </w:p>
                <w:p>
                  <w:pPr>
                    <w:spacing w:line="276" w:lineRule="auto"/>
                    <w:rPr>
                      <w:rFonts w:eastAsia="Calibri"/>
                      <w:szCs w:val="24"/>
                    </w:rPr>
                  </w:pPr>
                </w:p>
              </w:sdtContent>
            </w:sdt>
          </w:sdtContent>
        </w:sdt>
        <w:sdt>
          <w:sdtPr>
            <w:alias w:val="skyrius"/>
            <w:tag w:val="part_cb08d724af134ac69b6b3c16fa04991a"/>
            <w:lock w:val="sdtLocked"/>
            <w:richText/>
          </w:sdtPr>
          <w:sdtContent>
            <w:p>
              <w:pPr>
                <w:spacing w:line="276" w:lineRule="auto"/>
                <w:ind w:firstLine="720"/>
                <w:jc w:val="center"/>
                <w:rPr>
                  <w:b/>
                  <w:szCs w:val="24"/>
                  <w:lang w:eastAsia="lt-LT"/>
                </w:rPr>
              </w:pPr>
              <w:sdt>
                <w:sdtPr>
                  <w:alias w:val="Numeris"/>
                  <w:tag w:val="nr_cb08d724af134ac69b6b3c16fa04991a"/>
                  <w:lock w:val="sdtLocked"/>
                  <w:richText/>
                </w:sdtPr>
                <w:sdtContent>
                  <w:r>
                    <w:rPr>
                      <w:b/>
                      <w:szCs w:val="24"/>
                      <w:lang w:eastAsia="lt-LT"/>
                    </w:rPr>
                    <w:t>III</w:t>
                  </w:r>
                </w:sdtContent>
              </w:sdt>
              <w:r>
                <w:rPr>
                  <w:b/>
                  <w:szCs w:val="24"/>
                  <w:lang w:eastAsia="lt-LT"/>
                </w:rPr>
                <w:t xml:space="preserve"> SKYRIUS</w:t>
              </w:r>
            </w:p>
            <w:p>
              <w:pPr>
                <w:spacing w:line="276" w:lineRule="auto"/>
                <w:ind w:firstLine="720"/>
                <w:jc w:val="center"/>
                <w:rPr>
                  <w:b/>
                  <w:szCs w:val="24"/>
                  <w:lang w:eastAsia="lt-LT"/>
                </w:rPr>
              </w:pPr>
              <w:sdt>
                <w:sdtPr>
                  <w:alias w:val="Pavadinimas"/>
                  <w:tag w:val="title_cb08d724af134ac69b6b3c16fa04991a"/>
                  <w:lock w:val="sdtLocked"/>
                  <w:richText/>
                </w:sdtPr>
                <w:sdtContent>
                  <w:r>
                    <w:rPr>
                      <w:b/>
                      <w:szCs w:val="24"/>
                      <w:lang w:eastAsia="lt-LT"/>
                    </w:rPr>
                    <w:t>RINKOS PAJAMŲ IR PAJAMŲ PERVIRŠIO SKAIČIAVIMO TVARKA</w:t>
                  </w:r>
                </w:sdtContent>
              </w:sdt>
            </w:p>
            <w:p>
              <w:pPr>
                <w:spacing w:line="276" w:lineRule="auto"/>
                <w:rPr>
                  <w:szCs w:val="24"/>
                  <w:lang w:eastAsia="lt-LT"/>
                </w:rPr>
              </w:pPr>
            </w:p>
            <w:sdt>
              <w:sdtPr>
                <w:alias w:val="21 p."/>
                <w:tag w:val="part_55758342702e4ac58dd98db67abe714e"/>
                <w:lock w:val="sdtLocked"/>
                <w:richText/>
              </w:sdtPr>
              <w:sdtContent>
                <w:p>
                  <w:pPr>
                    <w:spacing w:line="276" w:lineRule="auto"/>
                    <w:ind w:firstLine="720"/>
                    <w:jc w:val="both"/>
                    <w:rPr>
                      <w:szCs w:val="24"/>
                      <w:lang w:eastAsia="lt-LT"/>
                    </w:rPr>
                  </w:pPr>
                  <w:sdt>
                    <w:sdtPr>
                      <w:alias w:val="Numeris"/>
                      <w:tag w:val="nr_55758342702e4ac58dd98db67abe714e"/>
                      <w:lock w:val="sdtLocked"/>
                      <w:richText/>
                    </w:sdtPr>
                    <w:sdtContent>
                      <w:r>
                        <w:rPr>
                          <w:szCs w:val="24"/>
                          <w:lang w:eastAsia="lt-LT"/>
                        </w:rPr>
                        <w:t>21</w:t>
                      </w:r>
                    </w:sdtContent>
                  </w:sdt>
                  <w:r>
                    <w:rPr>
                      <w:szCs w:val="24"/>
                      <w:lang w:eastAsia="lt-LT"/>
                    </w:rPr>
                    <w:t>. Perviršio pajamų skaičiavimas atliekamas keliais etapais, priklausomai nuo to, kokio tipo sandorius yra sudaręs subjektas.</w:t>
                  </w:r>
                </w:p>
              </w:sdtContent>
            </w:sdt>
            <w:sdt>
              <w:sdtPr>
                <w:alias w:val="22 p."/>
                <w:tag w:val="part_254ae394d6a14347b3762b1165721fb0"/>
                <w:lock w:val="sdtLocked"/>
                <w:richText/>
              </w:sdtPr>
              <w:sdtContent>
                <w:p>
                  <w:pPr>
                    <w:spacing w:line="276" w:lineRule="auto"/>
                    <w:ind w:firstLine="720"/>
                    <w:jc w:val="both"/>
                    <w:rPr>
                      <w:szCs w:val="24"/>
                      <w:lang w:eastAsia="lt-LT"/>
                    </w:rPr>
                  </w:pPr>
                  <w:sdt>
                    <w:sdtPr>
                      <w:alias w:val="Numeris"/>
                      <w:tag w:val="nr_254ae394d6a14347b3762b1165721fb0"/>
                      <w:lock w:val="sdtLocked"/>
                      <w:richText/>
                    </w:sdtPr>
                    <w:sdtContent>
                      <w:r>
                        <w:rPr>
                          <w:szCs w:val="24"/>
                          <w:lang w:eastAsia="lt-LT"/>
                        </w:rPr>
                        <w:t>22</w:t>
                      </w:r>
                    </w:sdtContent>
                  </w:sdt>
                  <w:r>
                    <w:rPr>
                      <w:szCs w:val="24"/>
                      <w:lang w:eastAsia="lt-LT"/>
                    </w:rPr>
                    <w:t>. Nustatant pajamų perviršį išvestinės finansinės priemonės vertinamos kaip papildomas pinigų srautas, kuris yra pridedamas arba atimamas iš atliktų elektros energijos prekybos sandorių kainos.</w:t>
                  </w:r>
                </w:p>
              </w:sdtContent>
            </w:sdt>
            <w:sdt>
              <w:sdtPr>
                <w:alias w:val="23 p."/>
                <w:tag w:val="part_13ccc78f73824248a95ed88e65477b87"/>
                <w:lock w:val="sdtLocked"/>
                <w:richText/>
              </w:sdtPr>
              <w:sdtContent>
                <w:p>
                  <w:pPr>
                    <w:spacing w:line="276" w:lineRule="auto"/>
                    <w:ind w:firstLine="720"/>
                    <w:jc w:val="both"/>
                    <w:rPr>
                      <w:szCs w:val="24"/>
                      <w:lang w:eastAsia="lt-LT"/>
                    </w:rPr>
                  </w:pPr>
                  <w:sdt>
                    <w:sdtPr>
                      <w:alias w:val="Numeris"/>
                      <w:tag w:val="nr_13ccc78f73824248a95ed88e65477b87"/>
                      <w:lock w:val="sdtLocked"/>
                      <w:richText/>
                    </w:sdtPr>
                    <w:sdtContent>
                      <w:r>
                        <w:rPr>
                          <w:szCs w:val="24"/>
                          <w:lang w:eastAsia="lt-LT"/>
                        </w:rPr>
                        <w:t>23</w:t>
                      </w:r>
                    </w:sdtContent>
                  </w:sdt>
                  <w:r>
                    <w:rPr>
                      <w:szCs w:val="24"/>
                      <w:lang w:eastAsia="lt-LT"/>
                    </w:rPr>
                    <w:t>. Jei atliekant prekybą elektros energijos rinkos segmentuose papildomai yra sudarytos finansinės išvestinės priemonės, pirmiausiai pajamų perviršis suskaičiuojamas dėl apdrausto (angl. </w:t>
                  </w:r>
                  <w:r>
                    <w:rPr>
                      <w:i/>
                      <w:iCs/>
                      <w:szCs w:val="24"/>
                      <w:lang w:eastAsia="lt-LT"/>
                    </w:rPr>
                    <w:t>hedged</w:t>
                  </w:r>
                  <w:r>
                    <w:rPr>
                      <w:szCs w:val="24"/>
                      <w:lang w:eastAsia="lt-LT"/>
                    </w:rPr>
                    <w:t xml:space="preserve">) elektros energijos gamybos kiekio </w:t>
                  </w:r>
                  <w:r>
                    <w:rPr>
                      <w:szCs w:val="24"/>
                    </w:rPr>
                    <w:t xml:space="preserve">ataskaitiniam laikotarpiui </w:t>
                  </w:r>
                  <w:r>
                    <w:rPr>
                      <w:szCs w:val="24"/>
                      <w:lang w:eastAsia="lt-LT"/>
                    </w:rPr>
                    <w:t>pagal (1) formulę:</w:t>
                  </w:r>
                </w:p>
                <w:p>
                  <w:pPr>
                    <w:tabs>
                      <w:tab w:val="left" w:pos="725"/>
                    </w:tabs>
                    <w:spacing w:line="276" w:lineRule="auto"/>
                    <w:rPr>
                      <w:szCs w:val="24"/>
                      <w:lang w:eastAsia="lt-LT"/>
                    </w:rPr>
                  </w:pPr>
                </w:p>
                <w:p>
                  <w:pPr>
                    <w:tabs>
                      <w:tab w:val="left" w:pos="725"/>
                    </w:tabs>
                    <w:spacing w:line="276" w:lineRule="auto"/>
                    <w:ind w:firstLine="720"/>
                    <w:jc w:val="center"/>
                    <w:rPr>
                      <w:i/>
                      <w:szCs w:val="24"/>
                      <w:lang w:eastAsia="lt-LT"/>
                    </w:rPr>
                  </w:pPr>
                  <m:oMath>
                    <m:sSub>
                      <m:sSubPr>
                        <m:ctrlPr>
                          <w:rPr>
                            <w:rFonts w:ascii="Cambria Math" w:hAnsi="Cambria Math"/>
                            <w:i/>
                            <w:szCs w:val="24"/>
                            <w:lang w:eastAsia="lt-LT"/>
                          </w:rPr>
                        </m:ctrlPr>
                      </m:sSubPr>
                      <m:e>
                        <m:r>
                          <w:rPr>
                            <w:rFonts w:ascii="Cambria Math" w:hAnsi="Cambria Math"/>
                            <w:szCs w:val="24"/>
                            <w:lang w:eastAsia="lt-LT"/>
                          </w:rPr>
                          <m:t>R</m:t>
                        </m:r>
                      </m:e>
                      <m:sub>
                        <m:r>
                          <w:rPr>
                            <w:rFonts w:ascii="Cambria Math" w:hAnsi="Cambria Math"/>
                            <w:szCs w:val="24"/>
                            <w:lang w:eastAsia="lt-LT"/>
                          </w:rPr>
                          <m:t>H</m:t>
                        </m:r>
                      </m:sub>
                    </m:sSub>
                    <m:r>
                      <w:rPr>
                        <w:rFonts w:ascii="Cambria Math" w:hAnsi="Cambria Math"/>
                        <w:szCs w:val="24"/>
                        <w:lang w:eastAsia="lt-LT"/>
                      </w:rPr>
                      <m:t>=</m:t>
                    </m:r>
                    <m:nary>
                      <m:naryPr>
                        <m:chr m:val="∑"/>
                        <m:limLoc m:val="undOvr"/>
                        <m:ctrlPr>
                          <w:rPr>
                            <w:rFonts w:ascii="Cambria Math" w:hAnsi="Cambria Math"/>
                            <w:i/>
                            <w:szCs w:val="24"/>
                            <w:lang w:eastAsia="lt-LT"/>
                          </w:rPr>
                        </m:ctrlPr>
                      </m:naryPr>
                      <m:sub>
                        <m:r>
                          <w:rPr>
                            <w:rFonts w:ascii="Cambria Math" w:hAnsi="Cambria Math"/>
                            <w:szCs w:val="24"/>
                            <w:lang w:eastAsia="lt-LT"/>
                          </w:rPr>
                          <m:t>t</m:t>
                        </m:r>
                      </m:sub>
                      <m:sup>
                        <m:r>
                          <w:rPr>
                            <w:rFonts w:ascii="Cambria Math" w:hAnsi="Cambria Math"/>
                            <w:szCs w:val="24"/>
                            <w:lang w:eastAsia="lt-LT"/>
                          </w:rPr>
                          <m:t>T</m:t>
                        </m:r>
                      </m:sup>
                      <m:e>
                        <m:r>
                          <m:rPr>
                            <m:sty m:val="p"/>
                          </m:rPr>
                          <w:rPr>
                            <w:rFonts w:ascii="Cambria Math" w:hAnsi="Cambria Math"/>
                            <w:szCs w:val="24"/>
                            <w:lang w:eastAsia="lt-LT"/>
                          </w:rPr>
                          <m:t>max⁡</m:t>
                        </m:r>
                        <m:r>
                          <w:rPr>
                            <w:rFonts w:ascii="Cambria Math" w:hAnsi="Cambria Math"/>
                            <w:szCs w:val="24"/>
                            <w:lang w:eastAsia="lt-LT"/>
                          </w:rPr>
                          <m:t>(</m:t>
                        </m:r>
                        <m:nary>
                          <m:naryPr>
                            <m:chr m:val="∑"/>
                            <m:limLoc m:val="undOvr"/>
                            <m:ctrlPr>
                              <w:rPr>
                                <w:rFonts w:ascii="Cambria Math" w:hAnsi="Cambria Math"/>
                                <w:i/>
                                <w:szCs w:val="24"/>
                                <w:lang w:eastAsia="lt-LT"/>
                              </w:rPr>
                            </m:ctrlPr>
                          </m:naryPr>
                          <m:sub>
                            <m:r>
                              <w:rPr>
                                <w:rFonts w:ascii="Cambria Math" w:hAnsi="Cambria Math"/>
                                <w:szCs w:val="24"/>
                                <w:lang w:eastAsia="lt-LT"/>
                              </w:rPr>
                              <m:t>i</m:t>
                            </m:r>
                          </m:sub>
                          <m:sup>
                            <m:r>
                              <w:rPr>
                                <w:rFonts w:ascii="Cambria Math" w:hAnsi="Cambria Math"/>
                                <w:szCs w:val="24"/>
                                <w:lang w:eastAsia="lt-LT"/>
                              </w:rPr>
                              <m:t>5</m:t>
                            </m:r>
                          </m:sup>
                          <m:e>
                            <m:r>
                              <w:rPr>
                                <w:rFonts w:ascii="Cambria Math" w:hAnsi="Cambria Math"/>
                                <w:szCs w:val="24"/>
                                <w:lang w:eastAsia="lt-LT"/>
                              </w:rPr>
                              <m:t>[</m:t>
                            </m:r>
                            <m:sSub>
                              <m:sSubPr>
                                <m:ctrlPr>
                                  <w:rPr>
                                    <w:rFonts w:ascii="Cambria Math" w:hAnsi="Cambria Math"/>
                                    <w:i/>
                                    <w:szCs w:val="24"/>
                                    <w:lang w:eastAsia="lt-LT"/>
                                  </w:rPr>
                                </m:ctrlPr>
                              </m:sSubPr>
                              <m:e>
                                <m:sSub>
                                  <m:sSubPr>
                                    <m:ctrlPr>
                                      <w:rPr>
                                        <w:rFonts w:ascii="Cambria Math" w:hAnsi="Cambria Math"/>
                                        <w:i/>
                                        <w:szCs w:val="24"/>
                                        <w:lang w:eastAsia="lt-LT"/>
                                      </w:rPr>
                                    </m:ctrlPr>
                                  </m:sSubPr>
                                  <m:e>
                                    <m:r>
                                      <w:rPr>
                                        <w:rFonts w:ascii="Cambria Math" w:hAnsi="Cambria Math"/>
                                        <w:szCs w:val="24"/>
                                        <w:lang w:eastAsia="lt-LT"/>
                                      </w:rPr>
                                      <m:t>R</m:t>
                                    </m:r>
                                  </m:e>
                                  <m:sub>
                                    <m:r>
                                      <w:rPr>
                                        <w:rFonts w:ascii="Cambria Math" w:hAnsi="Cambria Math"/>
                                        <w:szCs w:val="24"/>
                                        <w:lang w:eastAsia="lt-LT"/>
                                      </w:rPr>
                                      <m:t>EM</m:t>
                                    </m:r>
                                  </m:sub>
                                </m:sSub>
                              </m:e>
                              <m:sub>
                                <m:r>
                                  <w:rPr>
                                    <w:rFonts w:ascii="Cambria Math" w:hAnsi="Cambria Math"/>
                                    <w:szCs w:val="24"/>
                                    <w:lang w:eastAsia="lt-LT"/>
                                  </w:rPr>
                                  <m:t>t</m:t>
                                </m:r>
                                <m:r>
                                  <w:rPr>
                                    <w:rFonts w:ascii="Cambria Math" w:hAnsi="Cambria Math"/>
                                    <w:szCs w:val="24"/>
                                    <w:lang w:eastAsia="lt-LT"/>
                                  </w:rPr>
                                  <m:t>,</m:t>
                                </m:r>
                                <m:r>
                                  <w:rPr>
                                    <w:rFonts w:ascii="Cambria Math" w:hAnsi="Cambria Math"/>
                                    <w:szCs w:val="24"/>
                                    <w:lang w:eastAsia="lt-LT"/>
                                  </w:rPr>
                                  <m:t>i</m:t>
                                </m:r>
                              </m:sub>
                            </m:sSub>
                          </m:e>
                        </m:nary>
                        <m:r>
                          <w:rPr>
                            <w:rFonts w:ascii="Cambria Math" w:hAnsi="Cambria Math"/>
                            <w:szCs w:val="24"/>
                            <w:lang w:eastAsia="lt-LT"/>
                          </w:rPr>
                          <m:t>+</m:t>
                        </m:r>
                        <m:nary>
                          <m:naryPr>
                            <m:chr m:val="∑"/>
                            <m:limLoc m:val="undOvr"/>
                            <m:ctrlPr>
                              <w:rPr>
                                <w:rFonts w:ascii="Cambria Math" w:hAnsi="Cambria Math"/>
                                <w:i/>
                                <w:szCs w:val="24"/>
                                <w:lang w:eastAsia="lt-LT"/>
                              </w:rPr>
                            </m:ctrlPr>
                          </m:naryPr>
                          <m:sub>
                            <m:r>
                              <w:rPr>
                                <w:rFonts w:ascii="Cambria Math" w:hAnsi="Cambria Math"/>
                                <w:szCs w:val="24"/>
                                <w:lang w:eastAsia="lt-LT"/>
                              </w:rPr>
                              <m:t>n</m:t>
                            </m:r>
                          </m:sub>
                          <m:sup>
                            <m:r>
                              <w:rPr>
                                <w:rFonts w:ascii="Cambria Math" w:hAnsi="Cambria Math"/>
                                <w:szCs w:val="24"/>
                                <w:lang w:eastAsia="lt-LT"/>
                              </w:rPr>
                              <m:t>N</m:t>
                            </m:r>
                          </m:sup>
                          <m:e>
                            <m:d>
                              <m:dPr>
                                <m:ctrlPr>
                                  <w:rPr>
                                    <w:rFonts w:ascii="Cambria Math" w:hAnsi="Cambria Math"/>
                                    <w:i/>
                                    <w:szCs w:val="24"/>
                                    <w:lang w:eastAsia="lt-LT"/>
                                  </w:rPr>
                                </m:ctrlPr>
                              </m:dPr>
                              <m:e>
                                <m:sSub>
                                  <m:sSubPr>
                                    <m:ctrlPr>
                                      <w:rPr>
                                        <w:rFonts w:ascii="Cambria Math" w:hAnsi="Cambria Math"/>
                                        <w:i/>
                                        <w:szCs w:val="24"/>
                                        <w:lang w:eastAsia="lt-LT"/>
                                      </w:rPr>
                                    </m:ctrlPr>
                                  </m:sSubPr>
                                  <m:e>
                                    <m:sSub>
                                      <m:sSubPr>
                                        <m:ctrlPr>
                                          <w:rPr>
                                            <w:rFonts w:ascii="Cambria Math" w:hAnsi="Cambria Math"/>
                                            <w:i/>
                                            <w:szCs w:val="24"/>
                                            <w:lang w:eastAsia="lt-LT"/>
                                          </w:rPr>
                                        </m:ctrlPr>
                                      </m:sSubPr>
                                      <m:e>
                                        <m:r>
                                          <w:rPr>
                                            <w:rFonts w:ascii="Cambria Math" w:hAnsi="Cambria Math"/>
                                            <w:szCs w:val="24"/>
                                            <w:lang w:eastAsia="lt-LT"/>
                                          </w:rPr>
                                          <m:t>P</m:t>
                                        </m:r>
                                      </m:e>
                                      <m:sub>
                                        <m:r>
                                          <w:rPr>
                                            <w:rFonts w:ascii="Cambria Math" w:hAnsi="Cambria Math"/>
                                            <w:szCs w:val="24"/>
                                            <w:lang w:eastAsia="lt-LT"/>
                                          </w:rPr>
                                          <m:t>der</m:t>
                                        </m:r>
                                      </m:sub>
                                    </m:sSub>
                                  </m:e>
                                  <m:sub>
                                    <m:r>
                                      <w:rPr>
                                        <w:rFonts w:ascii="Cambria Math" w:hAnsi="Cambria Math"/>
                                        <w:szCs w:val="24"/>
                                        <w:lang w:eastAsia="lt-LT"/>
                                      </w:rPr>
                                      <m:t>n</m:t>
                                    </m:r>
                                    <m:r>
                                      <w:rPr>
                                        <w:rFonts w:ascii="Cambria Math" w:hAnsi="Cambria Math"/>
                                        <w:szCs w:val="24"/>
                                        <w:lang w:eastAsia="lt-LT"/>
                                      </w:rPr>
                                      <m:t>,</m:t>
                                    </m:r>
                                    <m:r>
                                      <w:rPr>
                                        <w:rFonts w:ascii="Cambria Math" w:hAnsi="Cambria Math"/>
                                        <w:szCs w:val="24"/>
                                        <w:lang w:eastAsia="lt-LT"/>
                                      </w:rPr>
                                      <m:t>t</m:t>
                                    </m:r>
                                  </m:sub>
                                </m:sSub>
                                <m:r>
                                  <w:rPr>
                                    <w:rFonts w:ascii="Cambria Math" w:hAnsi="Cambria Math"/>
                                    <w:szCs w:val="24"/>
                                    <w:lang w:eastAsia="lt-LT"/>
                                  </w:rPr>
                                  <m:t>-</m:t>
                                </m:r>
                                <m:sSub>
                                  <m:sSubPr>
                                    <m:ctrlPr>
                                      <w:rPr>
                                        <w:rFonts w:ascii="Cambria Math" w:hAnsi="Cambria Math"/>
                                        <w:i/>
                                        <w:szCs w:val="24"/>
                                        <w:lang w:eastAsia="lt-LT"/>
                                      </w:rPr>
                                    </m:ctrlPr>
                                  </m:sSubPr>
                                  <m:e>
                                    <m:sSub>
                                      <m:sSubPr>
                                        <m:ctrlPr>
                                          <w:rPr>
                                            <w:rFonts w:ascii="Cambria Math" w:hAnsi="Cambria Math"/>
                                            <w:i/>
                                            <w:szCs w:val="24"/>
                                            <w:lang w:eastAsia="lt-LT"/>
                                          </w:rPr>
                                        </m:ctrlPr>
                                      </m:sSubPr>
                                      <m:e>
                                        <m:r>
                                          <w:rPr>
                                            <w:rFonts w:ascii="Cambria Math" w:hAnsi="Cambria Math"/>
                                            <w:szCs w:val="24"/>
                                            <w:lang w:eastAsia="lt-LT"/>
                                          </w:rPr>
                                          <m:t>P</m:t>
                                        </m:r>
                                      </m:e>
                                      <m:sub>
                                        <m:r>
                                          <w:rPr>
                                            <w:rFonts w:ascii="Cambria Math" w:hAnsi="Cambria Math"/>
                                            <w:szCs w:val="24"/>
                                            <w:lang w:eastAsia="lt-LT"/>
                                          </w:rPr>
                                          <m:t>ref</m:t>
                                        </m:r>
                                      </m:sub>
                                    </m:sSub>
                                  </m:e>
                                  <m:sub>
                                    <m:r>
                                      <w:rPr>
                                        <w:rFonts w:ascii="Cambria Math" w:hAnsi="Cambria Math"/>
                                        <w:szCs w:val="24"/>
                                        <w:lang w:eastAsia="lt-LT"/>
                                      </w:rPr>
                                      <m:t>n</m:t>
                                    </m:r>
                                    <m:r>
                                      <w:rPr>
                                        <w:rFonts w:ascii="Cambria Math" w:hAnsi="Cambria Math"/>
                                        <w:szCs w:val="24"/>
                                        <w:lang w:eastAsia="lt-LT"/>
                                      </w:rPr>
                                      <m:t>,</m:t>
                                    </m:r>
                                    <m:r>
                                      <w:rPr>
                                        <w:rFonts w:ascii="Cambria Math" w:hAnsi="Cambria Math"/>
                                        <w:szCs w:val="24"/>
                                        <w:lang w:eastAsia="lt-LT"/>
                                      </w:rPr>
                                      <m:t>t</m:t>
                                    </m:r>
                                  </m:sub>
                                </m:sSub>
                              </m:e>
                            </m:d>
                          </m:e>
                        </m:nary>
                        <m:r>
                          <w:rPr>
                            <w:rFonts w:ascii="Cambria Math" w:hAnsi="Cambria Math"/>
                            <w:szCs w:val="24"/>
                            <w:lang w:eastAsia="lt-LT"/>
                          </w:rPr>
                          <m:t>-180]</m:t>
                        </m:r>
                      </m:e>
                    </m:nary>
                    <m:r>
                      <w:rPr>
                        <w:rFonts w:ascii="Cambria Math" w:hAnsi="Cambria Math"/>
                        <w:szCs w:val="24"/>
                        <w:lang w:eastAsia="lt-LT"/>
                      </w:rPr>
                      <m:t>∙</m:t>
                    </m:r>
                    <m:sSub>
                      <m:sSubPr>
                        <m:ctrlPr>
                          <w:rPr>
                            <w:rFonts w:ascii="Cambria Math" w:hAnsi="Cambria Math"/>
                            <w:i/>
                            <w:szCs w:val="24"/>
                            <w:lang w:eastAsia="lt-LT"/>
                          </w:rPr>
                        </m:ctrlPr>
                      </m:sSubPr>
                      <m:e>
                        <m:r>
                          <w:rPr>
                            <w:rFonts w:ascii="Cambria Math" w:hAnsi="Cambria Math"/>
                            <w:szCs w:val="24"/>
                            <w:lang w:eastAsia="lt-LT"/>
                          </w:rPr>
                          <m:t>Q</m:t>
                        </m:r>
                      </m:e>
                      <m:sub>
                        <m:sSub>
                          <m:sSubPr>
                            <m:ctrlPr>
                              <w:rPr>
                                <w:rFonts w:ascii="Cambria Math" w:hAnsi="Cambria Math"/>
                                <w:i/>
                                <w:szCs w:val="24"/>
                                <w:lang w:eastAsia="lt-LT"/>
                              </w:rPr>
                            </m:ctrlPr>
                          </m:sSubPr>
                          <m:e>
                            <m:r>
                              <w:rPr>
                                <w:rFonts w:ascii="Cambria Math" w:hAnsi="Cambria Math"/>
                                <w:szCs w:val="24"/>
                                <w:lang w:eastAsia="lt-LT"/>
                              </w:rPr>
                              <m:t>H</m:t>
                            </m:r>
                          </m:e>
                          <m:sub>
                            <m:r>
                              <w:rPr>
                                <w:rFonts w:ascii="Cambria Math" w:hAnsi="Cambria Math"/>
                                <w:szCs w:val="24"/>
                                <w:lang w:eastAsia="lt-LT"/>
                              </w:rPr>
                              <m:t>t</m:t>
                            </m:r>
                          </m:sub>
                        </m:sSub>
                      </m:sub>
                    </m:sSub>
                    <m:r>
                      <w:rPr>
                        <w:rFonts w:ascii="Cambria Math" w:hAnsi="Cambria Math"/>
                        <w:szCs w:val="24"/>
                        <w:lang w:eastAsia="lt-LT"/>
                      </w:rPr>
                      <m:t xml:space="preserve">;0)- </m:t>
                    </m:r>
                    <m:nary>
                      <m:naryPr>
                        <m:chr m:val="∑"/>
                        <m:limLoc m:val="undOvr"/>
                        <m:ctrlPr>
                          <w:rPr>
                            <w:rFonts w:ascii="Cambria Math" w:hAnsi="Cambria Math"/>
                            <w:i/>
                            <w:szCs w:val="24"/>
                            <w:lang w:eastAsia="lt-LT"/>
                          </w:rPr>
                        </m:ctrlPr>
                      </m:naryPr>
                      <m:sub>
                        <m:r>
                          <w:rPr>
                            <w:rFonts w:ascii="Cambria Math" w:hAnsi="Cambria Math"/>
                            <w:szCs w:val="24"/>
                            <w:lang w:eastAsia="lt-LT"/>
                          </w:rPr>
                          <m:t>t</m:t>
                        </m:r>
                      </m:sub>
                      <m:sup>
                        <m:r>
                          <w:rPr>
                            <w:rFonts w:ascii="Cambria Math" w:hAnsi="Cambria Math"/>
                            <w:szCs w:val="24"/>
                            <w:lang w:eastAsia="lt-LT"/>
                          </w:rPr>
                          <m:t>T</m:t>
                        </m:r>
                      </m:sup>
                      <m:e>
                        <m:r>
                          <m:rPr>
                            <m:sty m:val="p"/>
                          </m:rPr>
                          <w:rPr>
                            <w:rFonts w:ascii="Cambria Math" w:hAnsi="Cambria Math"/>
                            <w:szCs w:val="24"/>
                            <w:lang w:eastAsia="lt-LT"/>
                          </w:rPr>
                          <m:t>max⁡</m:t>
                        </m:r>
                        <m:r>
                          <w:rPr>
                            <w:rFonts w:ascii="Cambria Math" w:hAnsi="Cambria Math"/>
                            <w:szCs w:val="24"/>
                            <w:lang w:eastAsia="lt-LT"/>
                          </w:rPr>
                          <m:t>[</m:t>
                        </m:r>
                        <m:sSub>
                          <m:sSubPr>
                            <m:ctrlPr>
                              <w:rPr>
                                <w:rFonts w:ascii="Cambria Math" w:hAnsi="Cambria Math"/>
                                <w:i/>
                                <w:szCs w:val="24"/>
                                <w:lang w:eastAsia="lt-LT"/>
                              </w:rPr>
                            </m:ctrlPr>
                          </m:sSubPr>
                          <m:e>
                            <m:r>
                              <w:rPr>
                                <w:rFonts w:ascii="Cambria Math" w:hAnsi="Cambria Math"/>
                                <w:szCs w:val="24"/>
                                <w:lang w:eastAsia="lt-LT"/>
                              </w:rPr>
                              <m:t>(</m:t>
                            </m:r>
                            <m:r>
                              <w:rPr>
                                <w:rFonts w:ascii="Cambria Math" w:hAnsi="Cambria Math"/>
                                <w:szCs w:val="24"/>
                                <w:lang w:eastAsia="lt-LT"/>
                              </w:rPr>
                              <m:t>C</m:t>
                            </m:r>
                          </m:e>
                          <m:sub>
                            <m:r>
                              <w:rPr>
                                <w:rFonts w:ascii="Cambria Math" w:hAnsi="Cambria Math"/>
                                <w:szCs w:val="24"/>
                                <w:lang w:eastAsia="lt-LT"/>
                              </w:rPr>
                              <m:t>E</m:t>
                            </m:r>
                            <m:sSub>
                              <m:sSubPr>
                                <m:ctrlPr>
                                  <w:rPr>
                                    <w:rFonts w:ascii="Cambria Math" w:hAnsi="Cambria Math"/>
                                    <w:i/>
                                    <w:szCs w:val="24"/>
                                    <w:lang w:eastAsia="lt-LT"/>
                                  </w:rPr>
                                </m:ctrlPr>
                              </m:sSubPr>
                              <m:e>
                                <m:r>
                                  <w:rPr>
                                    <w:rFonts w:ascii="Cambria Math" w:hAnsi="Cambria Math"/>
                                    <w:szCs w:val="24"/>
                                    <w:lang w:eastAsia="lt-LT"/>
                                  </w:rPr>
                                  <m:t>M</m:t>
                                </m:r>
                              </m:e>
                              <m:sub>
                                <m:r>
                                  <w:rPr>
                                    <w:rFonts w:ascii="Cambria Math" w:hAnsi="Cambria Math"/>
                                    <w:szCs w:val="24"/>
                                    <w:lang w:eastAsia="lt-LT"/>
                                  </w:rPr>
                                  <m:t>t</m:t>
                                </m:r>
                                <m:r>
                                  <w:rPr>
                                    <w:rFonts w:ascii="Cambria Math" w:hAnsi="Cambria Math"/>
                                    <w:szCs w:val="24"/>
                                    <w:lang w:eastAsia="lt-LT"/>
                                  </w:rPr>
                                  <m:t>, 4</m:t>
                                </m:r>
                              </m:sub>
                            </m:sSub>
                          </m:sub>
                        </m:sSub>
                        <m:r>
                          <w:rPr>
                            <w:rFonts w:ascii="Cambria Math" w:hAnsi="Cambria Math"/>
                            <w:szCs w:val="24"/>
                            <w:lang w:eastAsia="lt-LT"/>
                          </w:rPr>
                          <m:t xml:space="preserve">- </m:t>
                        </m:r>
                        <m:sSub>
                          <m:sSubPr>
                            <m:ctrlPr>
                              <w:rPr>
                                <w:rFonts w:ascii="Cambria Math" w:hAnsi="Cambria Math"/>
                                <w:i/>
                                <w:szCs w:val="24"/>
                                <w:lang w:eastAsia="lt-LT"/>
                              </w:rPr>
                            </m:ctrlPr>
                          </m:sSubPr>
                          <m:e>
                            <m:r>
                              <w:rPr>
                                <w:rFonts w:ascii="Cambria Math" w:hAnsi="Cambria Math"/>
                                <w:szCs w:val="24"/>
                                <w:lang w:eastAsia="lt-LT"/>
                              </w:rPr>
                              <m:t>R</m:t>
                            </m:r>
                          </m:e>
                          <m:sub>
                            <m:r>
                              <w:rPr>
                                <w:rFonts w:ascii="Cambria Math" w:hAnsi="Cambria Math"/>
                                <w:szCs w:val="24"/>
                                <w:lang w:eastAsia="lt-LT"/>
                              </w:rPr>
                              <m:t>E</m:t>
                            </m:r>
                            <m:sSub>
                              <m:sSubPr>
                                <m:ctrlPr>
                                  <w:rPr>
                                    <w:rFonts w:ascii="Cambria Math" w:hAnsi="Cambria Math"/>
                                    <w:i/>
                                    <w:szCs w:val="24"/>
                                    <w:lang w:eastAsia="lt-LT"/>
                                  </w:rPr>
                                </m:ctrlPr>
                              </m:sSubPr>
                              <m:e>
                                <m:r>
                                  <w:rPr>
                                    <w:rFonts w:ascii="Cambria Math" w:hAnsi="Cambria Math"/>
                                    <w:szCs w:val="24"/>
                                    <w:lang w:eastAsia="lt-LT"/>
                                  </w:rPr>
                                  <m:t>M</m:t>
                                </m:r>
                              </m:e>
                              <m:sub>
                                <m:r>
                                  <w:rPr>
                                    <w:rFonts w:ascii="Cambria Math" w:hAnsi="Cambria Math"/>
                                    <w:szCs w:val="24"/>
                                    <w:lang w:eastAsia="lt-LT"/>
                                  </w:rPr>
                                  <m:t>t</m:t>
                                </m:r>
                                <m:r>
                                  <w:rPr>
                                    <w:rFonts w:ascii="Cambria Math" w:hAnsi="Cambria Math"/>
                                    <w:szCs w:val="24"/>
                                    <w:lang w:eastAsia="lt-LT"/>
                                  </w:rPr>
                                  <m:t>,  4</m:t>
                                </m:r>
                              </m:sub>
                            </m:sSub>
                          </m:sub>
                        </m:sSub>
                        <m:r>
                          <w:rPr>
                            <w:rFonts w:ascii="Cambria Math" w:hAnsi="Cambria Math"/>
                            <w:szCs w:val="24"/>
                            <w:lang w:eastAsia="lt-LT"/>
                          </w:rPr>
                          <m:t>)∙</m:t>
                        </m:r>
                        <m:sSub>
                          <m:sSubPr>
                            <m:ctrlPr>
                              <w:rPr>
                                <w:rFonts w:ascii="Cambria Math" w:hAnsi="Cambria Math"/>
                                <w:i/>
                                <w:szCs w:val="24"/>
                                <w:lang w:eastAsia="lt-LT"/>
                              </w:rPr>
                            </m:ctrlPr>
                          </m:sSubPr>
                          <m:e>
                            <m:r>
                              <w:rPr>
                                <w:rFonts w:ascii="Cambria Math" w:hAnsi="Cambria Math"/>
                                <w:szCs w:val="24"/>
                                <w:lang w:eastAsia="lt-LT"/>
                              </w:rPr>
                              <m:t>Q</m:t>
                            </m:r>
                          </m:e>
                          <m:sub>
                            <m:sSub>
                              <m:sSubPr>
                                <m:ctrlPr>
                                  <w:rPr>
                                    <w:rFonts w:ascii="Cambria Math" w:hAnsi="Cambria Math"/>
                                    <w:i/>
                                    <w:szCs w:val="24"/>
                                    <w:lang w:eastAsia="lt-LT"/>
                                  </w:rPr>
                                </m:ctrlPr>
                              </m:sSubPr>
                              <m:e>
                                <m:r>
                                  <w:rPr>
                                    <w:rFonts w:ascii="Cambria Math" w:hAnsi="Cambria Math"/>
                                    <w:szCs w:val="24"/>
                                    <w:lang w:eastAsia="lt-LT"/>
                                  </w:rPr>
                                  <m:t>H</m:t>
                                </m:r>
                              </m:e>
                              <m:sub>
                                <m:r>
                                  <w:rPr>
                                    <w:rFonts w:ascii="Cambria Math" w:hAnsi="Cambria Math"/>
                                    <w:szCs w:val="24"/>
                                    <w:lang w:eastAsia="lt-LT"/>
                                  </w:rPr>
                                  <m:t>t</m:t>
                                </m:r>
                              </m:sub>
                            </m:sSub>
                          </m:sub>
                        </m:sSub>
                        <m:r>
                          <w:rPr>
                            <w:rFonts w:ascii="Cambria Math" w:hAnsi="Cambria Math"/>
                            <w:szCs w:val="24"/>
                            <w:lang w:eastAsia="lt-LT"/>
                          </w:rPr>
                          <m:t>;0]</m:t>
                        </m:r>
                      </m:e>
                    </m:nary>
                    <m:r>
                      <w:rPr>
                        <w:rFonts w:ascii="Cambria Math" w:hAnsi="Cambria Math"/>
                        <w:szCs w:val="24"/>
                        <w:lang w:eastAsia="lt-LT"/>
                      </w:rPr>
                      <m:t>-</m:t>
                    </m:r>
                    <m:nary>
                      <m:naryPr>
                        <m:chr m:val="∑"/>
                        <m:limLoc m:val="subSup"/>
                        <m:ctrlPr>
                          <w:rPr>
                            <w:rFonts w:ascii="Cambria Math" w:hAnsi="Cambria Math"/>
                            <w:i/>
                            <w:szCs w:val="24"/>
                            <w:lang w:eastAsia="lt-LT"/>
                          </w:rPr>
                        </m:ctrlPr>
                      </m:naryPr>
                      <m:sub>
                        <m:r>
                          <w:rPr>
                            <w:rFonts w:ascii="Cambria Math" w:hAnsi="Cambria Math"/>
                            <w:szCs w:val="24"/>
                            <w:lang w:eastAsia="lt-LT"/>
                          </w:rPr>
                          <m:t>t</m:t>
                        </m:r>
                      </m:sub>
                      <m:sup>
                        <m:r>
                          <w:rPr>
                            <w:rFonts w:ascii="Cambria Math" w:hAnsi="Cambria Math"/>
                            <w:szCs w:val="24"/>
                            <w:lang w:eastAsia="lt-LT"/>
                          </w:rPr>
                          <m:t>T</m:t>
                        </m:r>
                      </m:sup>
                      <m:e>
                        <m:r>
                          <w:rPr>
                            <w:rFonts w:ascii="Cambria Math" w:hAnsi="Cambria Math"/>
                            <w:szCs w:val="24"/>
                            <w:lang w:eastAsia="lt-LT"/>
                          </w:rPr>
                          <m:t>(</m:t>
                        </m:r>
                        <m:nary>
                          <m:naryPr>
                            <m:chr m:val="∑"/>
                            <m:limLoc m:val="subSup"/>
                            <m:ctrlPr>
                              <w:rPr>
                                <w:rFonts w:ascii="Cambria Math" w:hAnsi="Cambria Math"/>
                                <w:i/>
                                <w:szCs w:val="24"/>
                                <w:lang w:eastAsia="lt-LT"/>
                              </w:rPr>
                            </m:ctrlPr>
                          </m:naryPr>
                          <m:sub>
                            <m:r>
                              <w:rPr>
                                <w:rFonts w:ascii="Cambria Math" w:hAnsi="Cambria Math"/>
                                <w:szCs w:val="24"/>
                                <w:lang w:eastAsia="lt-LT"/>
                              </w:rPr>
                              <m:t>n</m:t>
                            </m:r>
                          </m:sub>
                          <m:sup>
                            <m:r>
                              <w:rPr>
                                <w:rFonts w:ascii="Cambria Math" w:hAnsi="Cambria Math"/>
                                <w:szCs w:val="24"/>
                                <w:lang w:eastAsia="lt-LT"/>
                              </w:rPr>
                              <m:t>N</m:t>
                            </m:r>
                          </m:sup>
                          <m:e>
                            <m:sSub>
                              <m:sSubPr>
                                <m:ctrlPr>
                                  <w:rPr>
                                    <w:rFonts w:ascii="Cambria Math" w:hAnsi="Cambria Math"/>
                                    <w:i/>
                                    <w:szCs w:val="24"/>
                                    <w:lang w:eastAsia="lt-LT"/>
                                  </w:rPr>
                                </m:ctrlPr>
                              </m:sSubPr>
                              <m:e>
                                <m:r>
                                  <w:rPr>
                                    <w:rFonts w:ascii="Cambria Math" w:hAnsi="Cambria Math"/>
                                    <w:szCs w:val="24"/>
                                    <w:lang w:eastAsia="lt-LT"/>
                                  </w:rPr>
                                  <m:t>(</m:t>
                                </m:r>
                                <m:sSub>
                                  <m:sSubPr>
                                    <m:ctrlPr>
                                      <w:rPr>
                                        <w:rFonts w:ascii="Cambria Math" w:hAnsi="Cambria Math"/>
                                        <w:i/>
                                        <w:szCs w:val="24"/>
                                        <w:lang w:eastAsia="lt-LT"/>
                                      </w:rPr>
                                    </m:ctrlPr>
                                  </m:sSubPr>
                                  <m:e>
                                    <m:r>
                                      <w:rPr>
                                        <w:rFonts w:ascii="Cambria Math" w:hAnsi="Cambria Math"/>
                                        <w:szCs w:val="24"/>
                                        <w:lang w:eastAsia="lt-LT"/>
                                      </w:rPr>
                                      <m:t>C</m:t>
                                    </m:r>
                                  </m:e>
                                  <m:sub>
                                    <m:r>
                                      <w:rPr>
                                        <w:rFonts w:ascii="Cambria Math" w:hAnsi="Cambria Math"/>
                                        <w:szCs w:val="24"/>
                                        <w:lang w:eastAsia="lt-LT"/>
                                      </w:rPr>
                                      <m:t>der</m:t>
                                    </m:r>
                                  </m:sub>
                                </m:sSub>
                              </m:e>
                              <m:sub>
                                <m:sSub>
                                  <m:sSubPr>
                                    <m:ctrlPr>
                                      <w:rPr>
                                        <w:rFonts w:ascii="Cambria Math" w:hAnsi="Cambria Math"/>
                                        <w:i/>
                                        <w:szCs w:val="24"/>
                                        <w:lang w:eastAsia="lt-LT"/>
                                      </w:rPr>
                                    </m:ctrlPr>
                                  </m:sSubPr>
                                  <m:e>
                                    <m:r>
                                      <w:rPr>
                                        <w:rFonts w:ascii="Cambria Math" w:hAnsi="Cambria Math"/>
                                        <w:szCs w:val="24"/>
                                        <w:lang w:eastAsia="lt-LT"/>
                                      </w:rPr>
                                      <m:t>n</m:t>
                                    </m:r>
                                  </m:e>
                                  <m:sub>
                                    <m:r>
                                      <w:rPr>
                                        <w:rFonts w:ascii="Cambria Math" w:hAnsi="Cambria Math"/>
                                        <w:szCs w:val="24"/>
                                        <w:lang w:eastAsia="lt-LT"/>
                                      </w:rPr>
                                      <m:t>t</m:t>
                                    </m:r>
                                  </m:sub>
                                </m:sSub>
                              </m:sub>
                            </m:sSub>
                            <m:r>
                              <w:rPr>
                                <w:rFonts w:ascii="Cambria Math" w:hAnsi="Cambria Math"/>
                                <w:szCs w:val="24"/>
                                <w:lang w:eastAsia="lt-LT"/>
                              </w:rPr>
                              <m:t>∙</m:t>
                            </m:r>
                            <m:sSub>
                              <m:sSubPr>
                                <m:ctrlPr>
                                  <w:rPr>
                                    <w:rFonts w:ascii="Cambria Math" w:hAnsi="Cambria Math"/>
                                    <w:i/>
                                    <w:szCs w:val="24"/>
                                    <w:lang w:eastAsia="lt-LT"/>
                                  </w:rPr>
                                </m:ctrlPr>
                              </m:sSubPr>
                              <m:e>
                                <m:sSub>
                                  <m:sSubPr>
                                    <m:ctrlPr>
                                      <w:rPr>
                                        <w:rFonts w:ascii="Cambria Math" w:hAnsi="Cambria Math"/>
                                        <w:i/>
                                        <w:szCs w:val="24"/>
                                        <w:lang w:eastAsia="lt-LT"/>
                                      </w:rPr>
                                    </m:ctrlPr>
                                  </m:sSubPr>
                                  <m:e>
                                    <m:r>
                                      <w:rPr>
                                        <w:rFonts w:ascii="Cambria Math" w:hAnsi="Cambria Math"/>
                                        <w:szCs w:val="24"/>
                                        <w:lang w:eastAsia="lt-LT"/>
                                      </w:rPr>
                                      <m:t>Q</m:t>
                                    </m:r>
                                  </m:e>
                                  <m:sub>
                                    <m:sSub>
                                      <m:sSubPr>
                                        <m:ctrlPr>
                                          <w:rPr>
                                            <w:rFonts w:ascii="Cambria Math" w:hAnsi="Cambria Math"/>
                                            <w:i/>
                                            <w:szCs w:val="24"/>
                                            <w:lang w:eastAsia="lt-LT"/>
                                          </w:rPr>
                                        </m:ctrlPr>
                                      </m:sSubPr>
                                      <m:e>
                                        <m:r>
                                          <w:rPr>
                                            <w:rFonts w:ascii="Cambria Math" w:hAnsi="Cambria Math"/>
                                            <w:szCs w:val="24"/>
                                            <w:lang w:eastAsia="lt-LT"/>
                                          </w:rPr>
                                          <m:t>C</m:t>
                                        </m:r>
                                        <m:r>
                                          <w:rPr>
                                            <w:rFonts w:ascii="Cambria Math" w:hAnsi="Cambria Math"/>
                                            <w:szCs w:val="24"/>
                                            <w:lang w:eastAsia="lt-LT"/>
                                          </w:rPr>
                                          <m:t xml:space="preserve"> </m:t>
                                        </m:r>
                                        <m:r>
                                          <w:rPr>
                                            <w:rFonts w:ascii="Cambria Math" w:hAnsi="Cambria Math"/>
                                            <w:szCs w:val="24"/>
                                            <w:lang w:eastAsia="lt-LT"/>
                                          </w:rPr>
                                          <m:t>der</m:t>
                                        </m:r>
                                      </m:e>
                                      <m:sub>
                                        <m:r>
                                          <w:rPr>
                                            <w:rFonts w:ascii="Cambria Math" w:hAnsi="Cambria Math"/>
                                            <w:szCs w:val="24"/>
                                            <w:lang w:eastAsia="lt-LT"/>
                                          </w:rPr>
                                          <m:t>n</m:t>
                                        </m:r>
                                      </m:sub>
                                    </m:sSub>
                                  </m:sub>
                                </m:sSub>
                              </m:e>
                              <m:sub>
                                <m:r>
                                  <w:rPr>
                                    <w:rFonts w:ascii="Cambria Math" w:hAnsi="Cambria Math"/>
                                    <w:szCs w:val="24"/>
                                    <w:lang w:eastAsia="lt-LT"/>
                                  </w:rPr>
                                  <m:t>t</m:t>
                                </m:r>
                              </m:sub>
                            </m:sSub>
                            <m:r>
                              <w:rPr>
                                <w:rFonts w:ascii="Cambria Math" w:hAnsi="Cambria Math"/>
                                <w:szCs w:val="24"/>
                                <w:lang w:eastAsia="lt-LT"/>
                              </w:rPr>
                              <m:t xml:space="preserve"> ))</m:t>
                            </m:r>
                          </m:e>
                        </m:nary>
                      </m:e>
                    </m:nary>
                  </m:oMath>
                  <w:r>
                    <w:rPr>
                      <w:iCs/>
                      <w:szCs w:val="24"/>
                      <w:lang w:eastAsia="lt-LT"/>
                    </w:rPr>
                    <w:t>; (1)</w:t>
                  </w:r>
                </w:p>
                <w:p>
                  <w:pPr>
                    <w:tabs>
                      <w:tab w:val="left" w:pos="725"/>
                    </w:tabs>
                    <w:spacing w:line="276" w:lineRule="auto"/>
                    <w:ind w:firstLine="720"/>
                    <w:jc w:val="both"/>
                    <w:rPr>
                      <w:iCs/>
                      <w:szCs w:val="24"/>
                      <w:lang w:eastAsia="lt-LT"/>
                    </w:rPr>
                  </w:pPr>
                  <w:r>
                    <w:rPr>
                      <w:i/>
                      <w:szCs w:val="24"/>
                      <w:lang w:eastAsia="lt-LT"/>
                    </w:rPr>
                    <w:t>čia</w:t>
                  </w:r>
                  <w:r>
                    <w:rPr>
                      <w:iCs/>
                      <w:szCs w:val="24"/>
                      <w:lang w:eastAsia="lt-LT"/>
                    </w:rPr>
                    <w:t>:</w:t>
                  </w:r>
                </w:p>
                <w:p>
                  <w:pPr>
                    <w:tabs>
                      <w:tab w:val="left" w:pos="725"/>
                    </w:tabs>
                    <w:spacing w:line="276" w:lineRule="auto"/>
                    <w:ind w:firstLine="720"/>
                    <w:jc w:val="both"/>
                    <w:rPr>
                      <w:szCs w:val="24"/>
                    </w:rPr>
                  </w:pPr>
                  <w:r>
                    <w:rPr>
                      <w:szCs w:val="24"/>
                      <w:lang w:eastAsia="lt-LT"/>
                    </w:rPr>
                    <w:t>R</w:t>
                  </w:r>
                  <w:r>
                    <w:rPr>
                      <w:szCs w:val="24"/>
                      <w:vertAlign w:val="subscript"/>
                      <w:lang w:eastAsia="lt-LT"/>
                    </w:rPr>
                    <w:t>H</w:t>
                  </w:r>
                  <w:r>
                    <w:rPr>
                      <w:szCs w:val="24"/>
                      <w:lang w:eastAsia="lt-LT"/>
                    </w:rPr>
                    <w:t xml:space="preserve"> – pajamų perviršis dėl apdrausto (angl. </w:t>
                  </w:r>
                  <w:r>
                    <w:rPr>
                      <w:i/>
                      <w:iCs/>
                      <w:szCs w:val="24"/>
                      <w:lang w:eastAsia="lt-LT"/>
                    </w:rPr>
                    <w:t>hedged</w:t>
                  </w:r>
                  <w:r>
                    <w:rPr>
                      <w:szCs w:val="24"/>
                      <w:lang w:eastAsia="lt-LT"/>
                    </w:rPr>
                    <w:t xml:space="preserve">) elektros energijos gamybos kiekio </w:t>
                  </w:r>
                  <w:r>
                    <w:rPr>
                      <w:szCs w:val="24"/>
                    </w:rPr>
                    <w:t>ataskaitiniam laikotarpiui, Eur.</w:t>
                  </w:r>
                </w:p>
                <w:p>
                  <w:pPr>
                    <w:tabs>
                      <w:tab w:val="left" w:pos="725"/>
                    </w:tabs>
                    <w:spacing w:line="276" w:lineRule="auto"/>
                    <w:ind w:firstLine="720"/>
                    <w:jc w:val="both"/>
                    <w:rPr>
                      <w:szCs w:val="24"/>
                      <w:lang w:eastAsia="lt-LT"/>
                    </w:rPr>
                  </w:pPr>
                  <w:r>
                    <w:rPr>
                      <w:szCs w:val="24"/>
                      <w:lang w:eastAsia="lt-LT"/>
                    </w:rPr>
                    <w:t>R</w:t>
                  </w:r>
                  <w:r>
                    <w:rPr>
                      <w:szCs w:val="24"/>
                      <w:vertAlign w:val="subscript"/>
                      <w:lang w:eastAsia="lt-LT"/>
                    </w:rPr>
                    <w:t>EMt,i</w:t>
                  </w:r>
                  <w:r>
                    <w:rPr>
                      <w:szCs w:val="24"/>
                      <w:lang w:eastAsia="lt-LT"/>
                    </w:rPr>
                    <w:t xml:space="preserve"> – rinkos pajamos gautos pardavus elektros energiją, i-ąjame elektros energijos rinkos segmente CET laiku, t valandą, Eur/MWh.</w:t>
                  </w:r>
                </w:p>
                <w:p>
                  <w:pPr>
                    <w:tabs>
                      <w:tab w:val="left" w:pos="725"/>
                    </w:tabs>
                    <w:spacing w:line="276" w:lineRule="auto"/>
                    <w:ind w:firstLine="720"/>
                    <w:jc w:val="both"/>
                    <w:rPr>
                      <w:szCs w:val="24"/>
                    </w:rPr>
                  </w:pPr>
                  <w:r>
                    <w:rPr>
                      <w:szCs w:val="24"/>
                      <w:lang w:eastAsia="lt-LT"/>
                    </w:rPr>
                    <w:t>Jeigu i-ąjame rinkos segmente nėra gauta pajamų, skaičiavimas tęsiamas pagal kitus elektros energijos rinkos segmentus.</w:t>
                  </w:r>
                </w:p>
                <w:p>
                  <w:pPr>
                    <w:tabs>
                      <w:tab w:val="left" w:pos="725"/>
                    </w:tabs>
                    <w:spacing w:line="276" w:lineRule="auto"/>
                    <w:ind w:firstLine="720"/>
                    <w:jc w:val="both"/>
                    <w:rPr>
                      <w:szCs w:val="24"/>
                      <w:lang w:eastAsia="lt-LT"/>
                    </w:rPr>
                  </w:pPr>
                  <w:r>
                    <w:rPr>
                      <w:szCs w:val="24"/>
                      <w:lang w:eastAsia="lt-LT"/>
                    </w:rPr>
                    <w:t>Jeigu i-ąjame rinkos segmente suprekiautas elektros energijos kiekis didesnis negu Q</w:t>
                  </w:r>
                  <w:r>
                    <w:rPr>
                      <w:szCs w:val="24"/>
                      <w:vertAlign w:val="subscript"/>
                      <w:lang w:eastAsia="lt-LT"/>
                    </w:rPr>
                    <w:t>Ht</w:t>
                  </w:r>
                  <w:r>
                    <w:rPr>
                      <w:szCs w:val="24"/>
                      <w:lang w:eastAsia="lt-LT"/>
                    </w:rPr>
                    <w:t>, toliau skaičiavimas nėra tęsiamas pagal kitus elektros energijos rinkos segmentus.</w:t>
                  </w:r>
                </w:p>
                <w:p>
                  <w:pPr>
                    <w:tabs>
                      <w:tab w:val="left" w:pos="725"/>
                    </w:tabs>
                    <w:spacing w:line="276" w:lineRule="auto"/>
                    <w:ind w:firstLine="720"/>
                    <w:jc w:val="both"/>
                    <w:rPr>
                      <w:szCs w:val="24"/>
                      <w:lang w:eastAsia="lt-LT"/>
                    </w:rPr>
                  </w:pPr>
                  <w:r>
                    <w:rPr>
                      <w:szCs w:val="24"/>
                      <w:lang w:eastAsia="lt-LT"/>
                    </w:rPr>
                    <w:t>i – elektros energijos rinkos segmentas;</w:t>
                  </w:r>
                </w:p>
                <w:p>
                  <w:pPr>
                    <w:tabs>
                      <w:tab w:val="left" w:pos="725"/>
                    </w:tabs>
                    <w:spacing w:line="276" w:lineRule="auto"/>
                    <w:ind w:firstLine="720"/>
                    <w:jc w:val="both"/>
                    <w:rPr>
                      <w:szCs w:val="24"/>
                      <w:lang w:eastAsia="lt-LT"/>
                    </w:rPr>
                  </w:pPr>
                  <w:r>
                    <w:rPr>
                      <w:szCs w:val="24"/>
                      <w:lang w:eastAsia="lt-LT"/>
                    </w:rPr>
                    <w:t>R</w:t>
                  </w:r>
                  <w:r>
                    <w:rPr>
                      <w:szCs w:val="24"/>
                      <w:vertAlign w:val="subscript"/>
                      <w:lang w:eastAsia="lt-LT"/>
                    </w:rPr>
                    <w:t>EMt,1</w:t>
                  </w:r>
                  <w:r>
                    <w:rPr>
                      <w:szCs w:val="24"/>
                      <w:lang w:eastAsia="lt-LT"/>
                    </w:rPr>
                    <w:t xml:space="preserve"> – rinkos pajamos, gautos pardavus elektros energiją elektros energijos biržoje „Nord Pool“ Lietuvos prekybos zonoje, kitos paros prekybos sesijoje CET laiku, </w:t>
                  </w:r>
                  <w:r>
                    <w:rPr>
                      <w:i/>
                      <w:szCs w:val="24"/>
                      <w:lang w:eastAsia="lt-LT"/>
                    </w:rPr>
                    <w:t>t</w:t>
                  </w:r>
                  <w:r>
                    <w:rPr>
                      <w:szCs w:val="24"/>
                      <w:lang w:eastAsia="lt-LT"/>
                    </w:rPr>
                    <w:t xml:space="preserve"> valandą, Eur/MWh;</w:t>
                  </w:r>
                </w:p>
                <w:p>
                  <w:pPr>
                    <w:spacing w:line="276" w:lineRule="auto"/>
                    <w:ind w:firstLine="709"/>
                    <w:jc w:val="both"/>
                    <w:rPr>
                      <w:szCs w:val="24"/>
                      <w:lang w:eastAsia="lt-LT"/>
                    </w:rPr>
                  </w:pPr>
                  <w:r>
                    <w:rPr>
                      <w:szCs w:val="24"/>
                      <w:lang w:eastAsia="lt-LT"/>
                    </w:rPr>
                    <w:t>R</w:t>
                  </w:r>
                  <w:r>
                    <w:rPr>
                      <w:szCs w:val="24"/>
                      <w:vertAlign w:val="subscript"/>
                      <w:lang w:eastAsia="lt-LT"/>
                    </w:rPr>
                    <w:t>EMt,2</w:t>
                  </w:r>
                  <w:r>
                    <w:rPr>
                      <w:szCs w:val="24"/>
                      <w:lang w:eastAsia="lt-LT"/>
                    </w:rPr>
                    <w:t xml:space="preserve"> – rinkos pajamos, gautos pardavus elektros energiją elektros energijos biržoje „Nord Pool“ Lietuvos prekybos zonoje, einamosios paros rinkoje CET laiku, </w:t>
                  </w:r>
                  <w:r>
                    <w:rPr>
                      <w:i/>
                      <w:szCs w:val="24"/>
                      <w:lang w:eastAsia="lt-LT"/>
                    </w:rPr>
                    <w:t>t</w:t>
                  </w:r>
                  <w:r>
                    <w:rPr>
                      <w:szCs w:val="24"/>
                      <w:lang w:eastAsia="lt-LT"/>
                    </w:rPr>
                    <w:t xml:space="preserve"> valandą, Eur/MWh;</w:t>
                  </w:r>
                </w:p>
                <w:p>
                  <w:pPr>
                    <w:spacing w:line="276" w:lineRule="auto"/>
                    <w:ind w:firstLine="709"/>
                    <w:jc w:val="both"/>
                    <w:rPr>
                      <w:szCs w:val="24"/>
                      <w:lang w:eastAsia="lt-LT"/>
                    </w:rPr>
                  </w:pPr>
                  <w:r>
                    <w:rPr>
                      <w:szCs w:val="24"/>
                      <w:lang w:eastAsia="lt-LT"/>
                    </w:rPr>
                    <w:t>R</w:t>
                  </w:r>
                  <w:r>
                    <w:rPr>
                      <w:szCs w:val="24"/>
                      <w:vertAlign w:val="subscript"/>
                      <w:lang w:eastAsia="lt-LT"/>
                    </w:rPr>
                    <w:t>EMt,3</w:t>
                  </w:r>
                  <w:r>
                    <w:rPr>
                      <w:szCs w:val="24"/>
                      <w:lang w:eastAsia="lt-LT"/>
                    </w:rPr>
                    <w:t xml:space="preserve"> – rinkos pajamos, gautos pardavus elektros energiją, vadovaujantis PPA PAP, CET laiku,</w:t>
                  </w:r>
                  <w:r>
                    <w:rPr>
                      <w:i/>
                      <w:szCs w:val="24"/>
                      <w:lang w:eastAsia="lt-LT"/>
                    </w:rPr>
                    <w:t xml:space="preserve"> t</w:t>
                  </w:r>
                  <w:r>
                    <w:rPr>
                      <w:szCs w:val="24"/>
                      <w:lang w:eastAsia="lt-LT"/>
                    </w:rPr>
                    <w:t> valandą, Eur/MWh.</w:t>
                  </w:r>
                </w:p>
                <w:p>
                  <w:pPr>
                    <w:spacing w:line="276" w:lineRule="auto"/>
                    <w:ind w:firstLine="709"/>
                    <w:jc w:val="both"/>
                    <w:rPr>
                      <w:szCs w:val="24"/>
                      <w:lang w:eastAsia="lt-LT"/>
                    </w:rPr>
                  </w:pPr>
                  <w:r>
                    <w:rPr>
                      <w:iCs/>
                      <w:szCs w:val="24"/>
                      <w:lang w:eastAsia="lt-LT"/>
                    </w:rPr>
                    <w:t>R</w:t>
                  </w:r>
                  <w:r>
                    <w:rPr>
                      <w:iCs/>
                      <w:szCs w:val="24"/>
                      <w:vertAlign w:val="subscript"/>
                      <w:lang w:eastAsia="lt-LT"/>
                    </w:rPr>
                    <w:t>EMt,4</w:t>
                  </w:r>
                  <w:r>
                    <w:rPr>
                      <w:iCs/>
                      <w:szCs w:val="24"/>
                      <w:lang w:eastAsia="lt-LT"/>
                    </w:rPr>
                    <w:t xml:space="preserve"> – rinkos pajamos gautos pardavus elektros energiją, </w:t>
                  </w:r>
                  <w:r>
                    <w:rPr>
                      <w:szCs w:val="24"/>
                      <w:lang w:eastAsia="lt-LT"/>
                    </w:rPr>
                    <w:t>vadovaujantis PPA BL, CET laiku,</w:t>
                  </w:r>
                  <w:r>
                    <w:rPr>
                      <w:i/>
                      <w:iCs/>
                      <w:szCs w:val="24"/>
                      <w:lang w:eastAsia="lt-LT"/>
                    </w:rPr>
                    <w:t xml:space="preserve"> t</w:t>
                  </w:r>
                  <w:r>
                    <w:rPr>
                      <w:szCs w:val="24"/>
                      <w:lang w:eastAsia="lt-LT"/>
                    </w:rPr>
                    <w:t> valandą, Eur/MWh.</w:t>
                  </w:r>
                </w:p>
                <w:p>
                  <w:pPr>
                    <w:spacing w:line="276" w:lineRule="auto"/>
                    <w:ind w:firstLine="709"/>
                    <w:jc w:val="both"/>
                    <w:rPr>
                      <w:szCs w:val="24"/>
                      <w:lang w:eastAsia="lt-LT"/>
                    </w:rPr>
                  </w:pPr>
                  <w:r>
                    <w:rPr>
                      <w:szCs w:val="24"/>
                      <w:lang w:eastAsia="lt-LT"/>
                    </w:rPr>
                    <w:t>R</w:t>
                  </w:r>
                  <w:r>
                    <w:rPr>
                      <w:szCs w:val="24"/>
                      <w:vertAlign w:val="subscript"/>
                      <w:lang w:eastAsia="lt-LT"/>
                    </w:rPr>
                    <w:t>EMt,5</w:t>
                  </w:r>
                  <w:r>
                    <w:rPr>
                      <w:szCs w:val="24"/>
                      <w:lang w:eastAsia="lt-LT"/>
                    </w:rPr>
                    <w:t xml:space="preserve"> – rinkos pajamos, gautos pardavus elektros energiją, teikiant su dažnio reguliavimu nesusijusias papildomas paslaugas pagal sutartį sudarytą su perdavimo sistemos operatoriumi, CET laiku, </w:t>
                  </w:r>
                  <w:r>
                    <w:rPr>
                      <w:i/>
                      <w:szCs w:val="24"/>
                      <w:lang w:eastAsia="lt-LT"/>
                    </w:rPr>
                    <w:t>t</w:t>
                  </w:r>
                  <w:r>
                    <w:rPr>
                      <w:szCs w:val="24"/>
                      <w:lang w:eastAsia="lt-LT"/>
                    </w:rPr>
                    <w:t> valandą, Eur/MWh;</w:t>
                  </w:r>
                </w:p>
                <w:p>
                  <w:pPr>
                    <w:spacing w:line="276" w:lineRule="auto"/>
                    <w:ind w:firstLine="720"/>
                    <w:jc w:val="both"/>
                    <w:rPr>
                      <w:szCs w:val="24"/>
                      <w:lang w:eastAsia="lt-LT"/>
                    </w:rPr>
                  </w:pPr>
                  <w:r>
                    <w:rPr>
                      <w:i/>
                      <w:iCs/>
                      <w:szCs w:val="24"/>
                      <w:lang w:eastAsia="lt-LT"/>
                    </w:rPr>
                    <w:t xml:space="preserve">t </w:t>
                  </w:r>
                  <w:r>
                    <w:rPr>
                      <w:szCs w:val="24"/>
                      <w:lang w:eastAsia="lt-LT"/>
                    </w:rPr>
                    <w:t>– ataskaitinio laikotarpio valanda;</w:t>
                  </w:r>
                </w:p>
                <w:p>
                  <w:pPr>
                    <w:spacing w:line="276" w:lineRule="auto"/>
                    <w:ind w:firstLine="709"/>
                    <w:rPr>
                      <w:szCs w:val="24"/>
                      <w:lang w:eastAsia="lt-LT"/>
                    </w:rPr>
                  </w:pPr>
                  <w:r>
                    <w:rPr>
                      <w:i/>
                      <w:iCs/>
                      <w:szCs w:val="24"/>
                      <w:lang w:eastAsia="lt-LT"/>
                    </w:rPr>
                    <w:t>T</w:t>
                  </w:r>
                  <w:r>
                    <w:rPr>
                      <w:szCs w:val="24"/>
                      <w:lang w:eastAsia="lt-LT"/>
                    </w:rPr>
                    <w:t xml:space="preserve"> – atskaitinio laikotarpio valandų skaičius.</w:t>
                  </w:r>
                </w:p>
                <w:p>
                  <w:pPr>
                    <w:tabs>
                      <w:tab w:val="left" w:pos="725"/>
                    </w:tabs>
                    <w:spacing w:line="276" w:lineRule="auto"/>
                    <w:ind w:firstLine="720"/>
                    <w:jc w:val="both"/>
                    <w:rPr>
                      <w:szCs w:val="24"/>
                      <w:lang w:eastAsia="lt-LT"/>
                    </w:rPr>
                  </w:pPr>
                  <w:r>
                    <w:rPr>
                      <w:szCs w:val="24"/>
                      <w:lang w:eastAsia="lt-LT"/>
                    </w:rPr>
                    <w:t>P</w:t>
                  </w:r>
                  <w:r>
                    <w:rPr>
                      <w:szCs w:val="24"/>
                      <w:vertAlign w:val="subscript"/>
                      <w:lang w:eastAsia="lt-LT"/>
                    </w:rPr>
                    <w:t>der n,t</w:t>
                  </w:r>
                  <w:r>
                    <w:rPr>
                      <w:szCs w:val="24"/>
                      <w:lang w:eastAsia="lt-LT"/>
                    </w:rPr>
                    <w:t xml:space="preserve"> – finansinės išvestinės priemonės sandoryje, kurio tikslas yra apdrausti elektros energijos pardavimo kainą, nustatyta elektros energijos kaina, Eur/MWh</w:t>
                  </w:r>
                  <w:r>
                    <w:rPr>
                      <w:iCs/>
                      <w:szCs w:val="24"/>
                      <w:lang w:eastAsia="lt-LT"/>
                    </w:rPr>
                    <w:t>. P</w:t>
                  </w:r>
                  <w:r>
                    <w:rPr>
                      <w:iCs/>
                      <w:szCs w:val="24"/>
                      <w:vertAlign w:val="subscript"/>
                      <w:lang w:eastAsia="lt-LT"/>
                    </w:rPr>
                    <w:t>der n,t</w:t>
                  </w:r>
                  <w:r>
                    <w:rPr>
                      <w:szCs w:val="24"/>
                      <w:lang w:eastAsia="lt-LT"/>
                    </w:rPr>
                    <w:t xml:space="preserve"> dydis gali turėti tiek teigiamą, tiek neigiamą vertę;</w:t>
                  </w:r>
                </w:p>
                <w:p>
                  <w:pPr>
                    <w:tabs>
                      <w:tab w:val="left" w:pos="725"/>
                    </w:tabs>
                    <w:spacing w:line="276" w:lineRule="auto"/>
                    <w:ind w:firstLine="720"/>
                    <w:jc w:val="both"/>
                    <w:rPr>
                      <w:szCs w:val="24"/>
                      <w:lang w:eastAsia="lt-LT"/>
                    </w:rPr>
                  </w:pPr>
                  <w:r>
                    <w:rPr>
                      <w:szCs w:val="24"/>
                      <w:lang w:eastAsia="lt-LT"/>
                    </w:rPr>
                    <w:t>P</w:t>
                  </w:r>
                  <w:r>
                    <w:rPr>
                      <w:szCs w:val="24"/>
                      <w:vertAlign w:val="subscript"/>
                      <w:lang w:eastAsia="lt-LT"/>
                    </w:rPr>
                    <w:t>ref n,t</w:t>
                  </w:r>
                  <w:r>
                    <w:rPr>
                      <w:szCs w:val="24"/>
                      <w:lang w:eastAsia="lt-LT"/>
                    </w:rPr>
                    <w:t xml:space="preserve"> – n-ojo produkto sandoryje nurodyta atskaitinė elektros energijos kaina, </w:t>
                  </w:r>
                  <w:r>
                    <w:rPr>
                      <w:bCs/>
                      <w:szCs w:val="24"/>
                      <w:lang w:eastAsia="lt-LT"/>
                    </w:rPr>
                    <w:t>t. y. rinkos kaina, su kuria lyginama finansinės priemonės sandoryje subjekto apibrėžta pardavimo kaina ir</w:t>
                  </w:r>
                  <w:r>
                    <w:rPr>
                      <w:szCs w:val="24"/>
                      <w:lang w:eastAsia="lt-LT"/>
                    </w:rPr>
                    <w:t xml:space="preserve"> kuria vadovaujantis nustatoma subjekto finansinė pozicija atsiskaitymo metu dėl sudarytos finansinės išvestinės priemonės, CET laiku, </w:t>
                  </w:r>
                  <w:r>
                    <w:rPr>
                      <w:i/>
                      <w:iCs/>
                      <w:szCs w:val="24"/>
                      <w:lang w:eastAsia="lt-LT"/>
                    </w:rPr>
                    <w:t>t</w:t>
                  </w:r>
                  <w:r>
                    <w:rPr>
                      <w:szCs w:val="24"/>
                      <w:lang w:eastAsia="lt-LT"/>
                    </w:rPr>
                    <w:t xml:space="preserve"> valandą, Eur/MWh. Ši kaina kiekvienai </w:t>
                  </w:r>
                  <w:r>
                    <w:rPr>
                      <w:i/>
                      <w:iCs/>
                      <w:szCs w:val="24"/>
                      <w:lang w:eastAsia="lt-LT"/>
                    </w:rPr>
                    <w:t>t</w:t>
                  </w:r>
                  <w:r>
                    <w:rPr>
                      <w:szCs w:val="24"/>
                      <w:lang w:eastAsia="lt-LT"/>
                    </w:rPr>
                    <w:t xml:space="preserve"> valandos pristatymo laikotarpiui CET laiku yra paskelbiama po atsiskaitymo laikotarpio (angl. </w:t>
                  </w:r>
                  <w:r>
                    <w:rPr>
                      <w:i/>
                      <w:iCs/>
                      <w:szCs w:val="24"/>
                      <w:lang w:eastAsia="lt-LT"/>
                    </w:rPr>
                    <w:t>settlement period</w:t>
                  </w:r>
                  <w:r>
                    <w:rPr>
                      <w:szCs w:val="24"/>
                      <w:lang w:eastAsia="lt-LT"/>
                    </w:rPr>
                    <w:t>). R</w:t>
                  </w:r>
                  <w:r>
                    <w:rPr>
                      <w:szCs w:val="24"/>
                      <w:vertAlign w:val="subscript"/>
                      <w:lang w:eastAsia="lt-LT"/>
                    </w:rPr>
                    <w:t>ref n,t</w:t>
                  </w:r>
                  <w:r>
                    <w:rPr>
                      <w:szCs w:val="24"/>
                      <w:lang w:eastAsia="lt-LT"/>
                    </w:rPr>
                    <w:t xml:space="preserve"> dydis gali turėti tiek teigiamą, tiek neigiamą vertę;</w:t>
                  </w:r>
                </w:p>
                <w:p>
                  <w:pPr>
                    <w:tabs>
                      <w:tab w:val="left" w:pos="725"/>
                    </w:tabs>
                    <w:spacing w:line="276" w:lineRule="auto"/>
                    <w:ind w:firstLine="720"/>
                    <w:jc w:val="both"/>
                    <w:rPr>
                      <w:szCs w:val="24"/>
                    </w:rPr>
                  </w:pPr>
                  <w:r>
                    <w:rPr>
                      <w:szCs w:val="24"/>
                      <w:lang w:eastAsia="lt-LT"/>
                    </w:rPr>
                    <w:t>Q</w:t>
                  </w:r>
                  <w:r>
                    <w:rPr>
                      <w:szCs w:val="24"/>
                      <w:vertAlign w:val="subscript"/>
                      <w:lang w:eastAsia="lt-LT"/>
                    </w:rPr>
                    <w:t>Ht</w:t>
                  </w:r>
                  <w:r>
                    <w:rPr>
                      <w:szCs w:val="24"/>
                      <w:lang w:eastAsia="lt-LT"/>
                    </w:rPr>
                    <w:t xml:space="preserve"> – finansinėmis išvestinėmis priemonėmis apdraustas (angl. </w:t>
                  </w:r>
                  <w:r>
                    <w:rPr>
                      <w:i/>
                      <w:iCs/>
                      <w:szCs w:val="24"/>
                      <w:lang w:eastAsia="lt-LT"/>
                    </w:rPr>
                    <w:t>hedged</w:t>
                  </w:r>
                  <w:r>
                    <w:rPr>
                      <w:szCs w:val="24"/>
                      <w:lang w:eastAsia="lt-LT"/>
                    </w:rPr>
                    <w:t xml:space="preserve">) elektros energijos gamybos kiekis per </w:t>
                  </w:r>
                  <w:r>
                    <w:rPr>
                      <w:szCs w:val="24"/>
                    </w:rPr>
                    <w:t xml:space="preserve">ataskaitinį laikotarpį, MWh. Jeigu </w:t>
                  </w:r>
                  <w:r>
                    <w:rPr>
                      <w:szCs w:val="24"/>
                      <w:lang w:eastAsia="lt-LT"/>
                    </w:rPr>
                    <w:t>Q</w:t>
                  </w:r>
                  <w:r>
                    <w:rPr>
                      <w:szCs w:val="24"/>
                      <w:vertAlign w:val="subscript"/>
                      <w:lang w:eastAsia="lt-LT"/>
                    </w:rPr>
                    <w:t>Ht</w:t>
                  </w:r>
                  <w:r>
                    <w:rPr>
                      <w:szCs w:val="24"/>
                      <w:lang w:eastAsia="lt-LT"/>
                    </w:rPr>
                    <w:t xml:space="preserve"> kiekis yra didesnis negu fiziškai suprekiautas kiekis elektros energijos rinkos segmentuose, tokiu atveju R</w:t>
                  </w:r>
                  <w:r>
                    <w:rPr>
                      <w:szCs w:val="24"/>
                      <w:vertAlign w:val="subscript"/>
                      <w:lang w:eastAsia="lt-LT"/>
                    </w:rPr>
                    <w:t>EMt,i</w:t>
                  </w:r>
                  <w:r>
                    <w:rPr>
                      <w:szCs w:val="24"/>
                      <w:lang w:eastAsia="lt-LT"/>
                    </w:rPr>
                    <w:t xml:space="preserve"> nariai (1) formulėje prilyginami nuliui</w:t>
                  </w:r>
                  <w:r>
                    <w:rPr>
                      <w:szCs w:val="24"/>
                    </w:rPr>
                    <w:t>;</w:t>
                  </w:r>
                </w:p>
                <w:p>
                  <w:pPr>
                    <w:tabs>
                      <w:tab w:val="left" w:pos="725"/>
                    </w:tabs>
                    <w:spacing w:line="276" w:lineRule="auto"/>
                    <w:ind w:firstLine="720"/>
                    <w:jc w:val="both"/>
                    <w:rPr>
                      <w:szCs w:val="24"/>
                      <w:lang w:eastAsia="lt-LT"/>
                    </w:rPr>
                  </w:pPr>
                  <w:r>
                    <w:rPr>
                      <w:szCs w:val="24"/>
                      <w:lang w:eastAsia="lt-LT"/>
                    </w:rPr>
                    <w:t>n – sudaryta finansinė išvestinės priemonė pagal n-ąjį finansinės išvestinės priemonės produktą;</w:t>
                  </w:r>
                </w:p>
                <w:p>
                  <w:pPr>
                    <w:tabs>
                      <w:tab w:val="left" w:pos="725"/>
                    </w:tabs>
                    <w:spacing w:line="276" w:lineRule="auto"/>
                    <w:ind w:firstLine="720"/>
                    <w:jc w:val="both"/>
                    <w:rPr>
                      <w:szCs w:val="24"/>
                      <w:lang w:eastAsia="lt-LT"/>
                    </w:rPr>
                  </w:pPr>
                  <w:r>
                    <w:rPr>
                      <w:szCs w:val="24"/>
                      <w:lang w:eastAsia="lt-LT"/>
                    </w:rPr>
                    <w:t>N – sudarytų finansinių išvestinių priemonių skaičius;</w:t>
                  </w:r>
                </w:p>
                <w:p>
                  <w:pPr>
                    <w:tabs>
                      <w:tab w:val="left" w:pos="725"/>
                    </w:tabs>
                    <w:spacing w:line="276" w:lineRule="auto"/>
                    <w:ind w:firstLine="720"/>
                    <w:jc w:val="both"/>
                    <w:rPr>
                      <w:szCs w:val="24"/>
                      <w:lang w:eastAsia="lt-LT"/>
                    </w:rPr>
                  </w:pPr>
                  <w:r>
                    <w:rPr>
                      <w:szCs w:val="24"/>
                      <w:lang w:eastAsia="lt-LT"/>
                    </w:rPr>
                    <w:t>C</w:t>
                  </w:r>
                  <w:r>
                    <w:rPr>
                      <w:szCs w:val="24"/>
                      <w:vertAlign w:val="subscript"/>
                      <w:lang w:eastAsia="lt-LT"/>
                    </w:rPr>
                    <w:t>EMt,4</w:t>
                  </w:r>
                  <w:r>
                    <w:rPr>
                      <w:szCs w:val="24"/>
                      <w:lang w:eastAsia="lt-LT"/>
                    </w:rPr>
                    <w:t xml:space="preserve"> – elektros energijos atpirkimo sąnaudos PPA BL atveju, i-ąjame elektros energijos rinkos segmente, kuriomis mažinamas ataskaitinį laikotarpį sukauptas pajamų perviršis, CET laiku, </w:t>
                  </w:r>
                  <w:r>
                    <w:rPr>
                      <w:i/>
                      <w:iCs/>
                      <w:szCs w:val="24"/>
                      <w:lang w:eastAsia="lt-LT"/>
                    </w:rPr>
                    <w:t>t</w:t>
                  </w:r>
                  <w:r>
                    <w:rPr>
                      <w:szCs w:val="24"/>
                      <w:lang w:eastAsia="lt-LT"/>
                    </w:rPr>
                    <w:t> valandą, Eur/MWh;</w:t>
                  </w:r>
                </w:p>
                <w:p>
                  <w:pPr>
                    <w:tabs>
                      <w:tab w:val="left" w:pos="725"/>
                    </w:tabs>
                    <w:spacing w:line="276" w:lineRule="auto"/>
                    <w:ind w:firstLine="720"/>
                    <w:jc w:val="both"/>
                    <w:rPr>
                      <w:szCs w:val="24"/>
                      <w:lang w:eastAsia="lt-LT"/>
                    </w:rPr>
                  </w:pPr>
                  <w:r>
                    <w:rPr>
                      <w:szCs w:val="24"/>
                      <w:lang w:eastAsia="lt-LT"/>
                    </w:rPr>
                    <w:t>C</w:t>
                  </w:r>
                  <w:r>
                    <w:rPr>
                      <w:szCs w:val="24"/>
                      <w:vertAlign w:val="subscript"/>
                      <w:lang w:eastAsia="lt-LT"/>
                    </w:rPr>
                    <w:t>Der n, t</w:t>
                  </w:r>
                  <w:r>
                    <w:rPr>
                      <w:szCs w:val="24"/>
                      <w:lang w:eastAsia="lt-LT"/>
                    </w:rPr>
                    <w:t xml:space="preserve"> – finansinių išvestinių priemonių sandorių, kurių tikslas yra apdrausti elektros energijos pardavimo kainą, sąnaudos, kuriomis mažinamas ataskaitinį laikotarpį sukauptas pajamų perviršis, ir kurių vertinimas atliekamas pagal Metodikos 27 punkte nurodytus principus, pagal n-ąjį sudarytą</w:t>
                  </w:r>
                  <w:r>
                    <w:rPr>
                      <w:szCs w:val="24"/>
                    </w:rPr>
                    <w:t xml:space="preserve"> </w:t>
                  </w:r>
                  <w:r>
                    <w:rPr>
                      <w:szCs w:val="24"/>
                      <w:lang w:eastAsia="lt-LT"/>
                    </w:rPr>
                    <w:t>finansinės išvestinės priemonės produktą, CET laiku, t valandą, Eur/MWh.</w:t>
                  </w:r>
                </w:p>
                <w:p>
                  <w:pPr>
                    <w:tabs>
                      <w:tab w:val="left" w:pos="725"/>
                    </w:tabs>
                    <w:spacing w:line="276" w:lineRule="auto"/>
                    <w:ind w:firstLine="709"/>
                    <w:jc w:val="both"/>
                    <w:rPr>
                      <w:szCs w:val="24"/>
                      <w:lang w:eastAsia="lt-LT"/>
                    </w:rPr>
                  </w:pPr>
                  <w:r>
                    <w:rPr>
                      <w:szCs w:val="24"/>
                      <w:lang w:eastAsia="lt-LT"/>
                    </w:rPr>
                    <w:t>Q</w:t>
                  </w:r>
                  <w:r>
                    <w:rPr>
                      <w:szCs w:val="24"/>
                      <w:vertAlign w:val="subscript"/>
                      <w:lang w:eastAsia="lt-LT"/>
                    </w:rPr>
                    <w:t>C Der n, t</w:t>
                  </w:r>
                  <w:r>
                    <w:rPr>
                      <w:szCs w:val="24"/>
                      <w:lang w:eastAsia="lt-LT"/>
                    </w:rPr>
                    <w:t xml:space="preserve"> – pagal Metodikos 27 punktą nustatomų sąnaudų vertinimui naudojamas finansinių išvestinių priemonių apdraustas (angl. </w:t>
                  </w:r>
                  <w:r>
                    <w:rPr>
                      <w:i/>
                      <w:iCs/>
                      <w:szCs w:val="24"/>
                      <w:lang w:eastAsia="lt-LT"/>
                    </w:rPr>
                    <w:t>hedged</w:t>
                  </w:r>
                  <w:r>
                    <w:rPr>
                      <w:szCs w:val="24"/>
                      <w:lang w:eastAsia="lt-LT"/>
                    </w:rPr>
                    <w:t xml:space="preserve">) elektros energijos gamybos kiekis per </w:t>
                  </w:r>
                  <w:r>
                    <w:rPr>
                      <w:szCs w:val="24"/>
                    </w:rPr>
                    <w:t>ataskaitinį laikotarpį, MWh.</w:t>
                  </w:r>
                </w:p>
              </w:sdtContent>
            </w:sdt>
            <w:sdt>
              <w:sdtPr>
                <w:alias w:val="24 p."/>
                <w:tag w:val="part_50b1b5e82ed64d1c92b2987124b40e10"/>
                <w:lock w:val="sdtLocked"/>
                <w:richText/>
              </w:sdtPr>
              <w:sdtContent>
                <w:p>
                  <w:pPr>
                    <w:spacing w:line="276" w:lineRule="auto"/>
                    <w:ind w:firstLine="720"/>
                    <w:jc w:val="both"/>
                    <w:rPr>
                      <w:szCs w:val="24"/>
                      <w:lang w:eastAsia="lt-LT"/>
                    </w:rPr>
                  </w:pPr>
                  <w:sdt>
                    <w:sdtPr>
                      <w:alias w:val="Numeris"/>
                      <w:tag w:val="nr_50b1b5e82ed64d1c92b2987124b40e10"/>
                      <w:lock w:val="sdtLocked"/>
                      <w:richText/>
                    </w:sdtPr>
                    <w:sdtContent>
                      <w:r>
                        <w:rPr>
                          <w:szCs w:val="24"/>
                          <w:lang w:eastAsia="lt-LT"/>
                        </w:rPr>
                        <w:t>24</w:t>
                      </w:r>
                    </w:sdtContent>
                  </w:sdt>
                  <w:r>
                    <w:rPr>
                      <w:szCs w:val="24"/>
                      <w:lang w:eastAsia="lt-LT"/>
                    </w:rPr>
                    <w:t>. Atlikus skaičiavimus pagal (1) formulę, pajamų perviršis suskaičiuojamas dėl neapdrausto elektros energijos gamybos kiekio ataskaitiniam laikotarpiui pagal (2) formulę:</w:t>
                  </w:r>
                </w:p>
                <w:p>
                  <w:pPr>
                    <w:tabs>
                      <w:tab w:val="left" w:pos="725"/>
                    </w:tabs>
                    <w:spacing w:line="276" w:lineRule="auto"/>
                    <w:jc w:val="both"/>
                    <w:rPr>
                      <w:szCs w:val="24"/>
                      <w:lang w:eastAsia="lt-LT"/>
                    </w:rPr>
                  </w:pPr>
                </w:p>
                <w:p>
                  <w:pPr>
                    <w:tabs>
                      <w:tab w:val="left" w:pos="725"/>
                    </w:tabs>
                    <w:spacing w:line="276" w:lineRule="auto"/>
                    <w:ind w:firstLine="720"/>
                    <w:jc w:val="both"/>
                    <w:rPr>
                      <w:iCs/>
                      <w:szCs w:val="24"/>
                      <w:lang w:eastAsia="lt-LT"/>
                    </w:rPr>
                  </w:pPr>
                  <m:oMath>
                    <m:sSub>
                      <m:sSubPr>
                        <m:ctrlPr>
                          <w:rPr>
                            <w:rFonts w:ascii="Cambria Math" w:hAnsi="Cambria Math"/>
                            <w:i/>
                            <w:szCs w:val="24"/>
                            <w:lang w:eastAsia="lt-LT"/>
                          </w:rPr>
                        </m:ctrlPr>
                      </m:sSubPr>
                      <m:e>
                        <m:r>
                          <w:rPr>
                            <w:rFonts w:ascii="Cambria Math" w:hAnsi="Cambria Math"/>
                            <w:szCs w:val="24"/>
                            <w:lang w:eastAsia="lt-LT"/>
                          </w:rPr>
                          <m:t>R</m:t>
                        </m:r>
                      </m:e>
                      <m:sub>
                        <m:r>
                          <w:rPr>
                            <w:rFonts w:ascii="Cambria Math" w:hAnsi="Cambria Math"/>
                            <w:szCs w:val="24"/>
                            <w:lang w:eastAsia="lt-LT"/>
                          </w:rPr>
                          <m:t>nH</m:t>
                        </m:r>
                      </m:sub>
                    </m:sSub>
                    <m:r>
                      <w:rPr>
                        <w:rFonts w:ascii="Cambria Math" w:hAnsi="Cambria Math"/>
                        <w:szCs w:val="24"/>
                        <w:lang w:eastAsia="lt-LT"/>
                      </w:rPr>
                      <m:t>=</m:t>
                    </m:r>
                    <m:nary>
                      <m:naryPr>
                        <m:chr m:val="∑"/>
                        <m:limLoc m:val="undOvr"/>
                        <m:ctrlPr>
                          <w:rPr>
                            <w:rFonts w:ascii="Cambria Math" w:hAnsi="Cambria Math"/>
                            <w:i/>
                            <w:szCs w:val="24"/>
                            <w:lang w:eastAsia="lt-LT"/>
                          </w:rPr>
                        </m:ctrlPr>
                      </m:naryPr>
                      <m:sub>
                        <m:r>
                          <w:rPr>
                            <w:rFonts w:ascii="Cambria Math" w:hAnsi="Cambria Math"/>
                            <w:szCs w:val="24"/>
                            <w:lang w:eastAsia="lt-LT"/>
                          </w:rPr>
                          <m:t>t</m:t>
                        </m:r>
                      </m:sub>
                      <m:sup>
                        <m:r>
                          <w:rPr>
                            <w:rFonts w:ascii="Cambria Math" w:hAnsi="Cambria Math"/>
                            <w:szCs w:val="24"/>
                            <w:lang w:eastAsia="lt-LT"/>
                          </w:rPr>
                          <m:t>T</m:t>
                        </m:r>
                      </m:sup>
                      <m:e>
                        <m:r>
                          <m:rPr>
                            <m:sty m:val="p"/>
                          </m:rPr>
                          <w:rPr>
                            <w:rFonts w:ascii="Cambria Math" w:hAnsi="Cambria Math"/>
                            <w:szCs w:val="24"/>
                            <w:lang w:eastAsia="lt-LT"/>
                          </w:rPr>
                          <m:t>max⁡</m:t>
                        </m:r>
                        <m:r>
                          <w:rPr>
                            <w:rFonts w:ascii="Cambria Math" w:hAnsi="Cambria Math"/>
                            <w:szCs w:val="24"/>
                            <w:lang w:eastAsia="lt-LT"/>
                          </w:rPr>
                          <m:t>(</m:t>
                        </m:r>
                        <m:nary>
                          <m:naryPr>
                            <m:chr m:val="∑"/>
                            <m:limLoc m:val="undOvr"/>
                            <m:ctrlPr>
                              <w:rPr>
                                <w:rFonts w:ascii="Cambria Math" w:hAnsi="Cambria Math"/>
                                <w:i/>
                                <w:szCs w:val="24"/>
                                <w:lang w:eastAsia="lt-LT"/>
                              </w:rPr>
                            </m:ctrlPr>
                          </m:naryPr>
                          <m:sub>
                            <m:r>
                              <w:rPr>
                                <w:rFonts w:ascii="Cambria Math" w:hAnsi="Cambria Math"/>
                                <w:szCs w:val="24"/>
                                <w:lang w:eastAsia="lt-LT"/>
                              </w:rPr>
                              <m:t>i</m:t>
                            </m:r>
                          </m:sub>
                          <m:sup>
                            <m:r>
                              <w:rPr>
                                <w:rFonts w:ascii="Cambria Math" w:hAnsi="Cambria Math"/>
                                <w:szCs w:val="24"/>
                                <w:lang w:eastAsia="lt-LT"/>
                              </w:rPr>
                              <m:t>5</m:t>
                            </m:r>
                          </m:sup>
                          <m:e>
                            <m:sSub>
                              <m:sSubPr>
                                <m:ctrlPr>
                                  <w:rPr>
                                    <w:rFonts w:ascii="Cambria Math" w:hAnsi="Cambria Math"/>
                                    <w:i/>
                                    <w:szCs w:val="24"/>
                                    <w:lang w:eastAsia="lt-LT"/>
                                  </w:rPr>
                                </m:ctrlPr>
                              </m:sSubPr>
                              <m:e>
                                <m:sSub>
                                  <m:sSubPr>
                                    <m:ctrlPr>
                                      <w:rPr>
                                        <w:rFonts w:ascii="Cambria Math" w:hAnsi="Cambria Math"/>
                                        <w:i/>
                                        <w:szCs w:val="24"/>
                                        <w:lang w:eastAsia="lt-LT"/>
                                      </w:rPr>
                                    </m:ctrlPr>
                                  </m:sSubPr>
                                  <m:e>
                                    <m:r>
                                      <w:rPr>
                                        <w:rFonts w:ascii="Cambria Math" w:hAnsi="Cambria Math"/>
                                        <w:szCs w:val="24"/>
                                        <w:lang w:eastAsia="lt-LT"/>
                                      </w:rPr>
                                      <m:t>(</m:t>
                                    </m:r>
                                    <m:r>
                                      <w:rPr>
                                        <w:rFonts w:ascii="Cambria Math" w:hAnsi="Cambria Math"/>
                                        <w:szCs w:val="24"/>
                                        <w:lang w:eastAsia="lt-LT"/>
                                      </w:rPr>
                                      <m:t>R</m:t>
                                    </m:r>
                                  </m:e>
                                  <m:sub>
                                    <m:r>
                                      <w:rPr>
                                        <w:rFonts w:ascii="Cambria Math" w:hAnsi="Cambria Math"/>
                                        <w:szCs w:val="24"/>
                                        <w:lang w:eastAsia="lt-LT"/>
                                      </w:rPr>
                                      <m:t>EM</m:t>
                                    </m:r>
                                  </m:sub>
                                </m:sSub>
                              </m:e>
                              <m:sub>
                                <m:r>
                                  <w:rPr>
                                    <w:rFonts w:ascii="Cambria Math" w:hAnsi="Cambria Math"/>
                                    <w:szCs w:val="24"/>
                                    <w:lang w:eastAsia="lt-LT"/>
                                  </w:rPr>
                                  <m:t>t</m:t>
                                </m:r>
                                <m:r>
                                  <w:rPr>
                                    <w:rFonts w:ascii="Cambria Math" w:hAnsi="Cambria Math"/>
                                    <w:szCs w:val="24"/>
                                    <w:lang w:eastAsia="lt-LT"/>
                                  </w:rPr>
                                  <m:t>,</m:t>
                                </m:r>
                                <m:r>
                                  <w:rPr>
                                    <w:rFonts w:ascii="Cambria Math" w:hAnsi="Cambria Math"/>
                                    <w:szCs w:val="24"/>
                                    <w:lang w:eastAsia="lt-LT"/>
                                  </w:rPr>
                                  <m:t>i</m:t>
                                </m:r>
                              </m:sub>
                            </m:sSub>
                          </m:e>
                        </m:nary>
                        <m:r>
                          <w:rPr>
                            <w:rFonts w:ascii="Cambria Math" w:hAnsi="Cambria Math"/>
                            <w:szCs w:val="24"/>
                            <w:lang w:eastAsia="lt-LT"/>
                          </w:rPr>
                          <m:t>-180)</m:t>
                        </m:r>
                      </m:e>
                    </m:nary>
                    <m:r>
                      <w:rPr>
                        <w:rFonts w:ascii="Cambria Math" w:hAnsi="Cambria Math"/>
                        <w:szCs w:val="24"/>
                        <w:lang w:eastAsia="lt-LT"/>
                      </w:rPr>
                      <m:t>∙</m:t>
                    </m:r>
                    <m:sSub>
                      <m:sSubPr>
                        <m:ctrlPr>
                          <w:rPr>
                            <w:rFonts w:ascii="Cambria Math" w:hAnsi="Cambria Math"/>
                            <w:i/>
                            <w:szCs w:val="24"/>
                            <w:lang w:eastAsia="lt-LT"/>
                          </w:rPr>
                        </m:ctrlPr>
                      </m:sSubPr>
                      <m:e>
                        <m:r>
                          <w:rPr>
                            <w:rFonts w:ascii="Cambria Math" w:hAnsi="Cambria Math"/>
                            <w:szCs w:val="24"/>
                            <w:lang w:eastAsia="lt-LT"/>
                          </w:rPr>
                          <m:t>Q</m:t>
                        </m:r>
                      </m:e>
                      <m:sub>
                        <m:sSub>
                          <m:sSubPr>
                            <m:ctrlPr>
                              <w:rPr>
                                <w:rFonts w:ascii="Cambria Math" w:hAnsi="Cambria Math"/>
                                <w:i/>
                                <w:szCs w:val="24"/>
                                <w:lang w:eastAsia="lt-LT"/>
                              </w:rPr>
                            </m:ctrlPr>
                          </m:sSubPr>
                          <m:e>
                            <m:r>
                              <w:rPr>
                                <w:rFonts w:ascii="Cambria Math" w:hAnsi="Cambria Math"/>
                                <w:szCs w:val="24"/>
                                <w:lang w:eastAsia="lt-LT"/>
                              </w:rPr>
                              <m:t>nH</m:t>
                            </m:r>
                          </m:e>
                          <m:sub>
                            <m:r>
                              <w:rPr>
                                <w:rFonts w:ascii="Cambria Math" w:hAnsi="Cambria Math"/>
                                <w:szCs w:val="24"/>
                                <w:lang w:eastAsia="lt-LT"/>
                              </w:rPr>
                              <m:t>t</m:t>
                            </m:r>
                          </m:sub>
                        </m:sSub>
                      </m:sub>
                    </m:sSub>
                    <m:r>
                      <w:rPr>
                        <w:rFonts w:ascii="Cambria Math" w:hAnsi="Cambria Math"/>
                        <w:szCs w:val="24"/>
                        <w:lang w:eastAsia="lt-LT"/>
                      </w:rPr>
                      <m:t>;0)-</m:t>
                    </m:r>
                    <m:nary>
                      <m:naryPr>
                        <m:chr m:val="∑"/>
                        <m:limLoc m:val="undOvr"/>
                        <m:ctrlPr>
                          <w:rPr>
                            <w:rFonts w:ascii="Cambria Math" w:hAnsi="Cambria Math"/>
                            <w:i/>
                            <w:szCs w:val="24"/>
                            <w:lang w:eastAsia="lt-LT"/>
                          </w:rPr>
                        </m:ctrlPr>
                      </m:naryPr>
                      <m:sub>
                        <m:r>
                          <w:rPr>
                            <w:rFonts w:ascii="Cambria Math" w:hAnsi="Cambria Math"/>
                            <w:szCs w:val="24"/>
                            <w:lang w:eastAsia="lt-LT"/>
                          </w:rPr>
                          <m:t>t</m:t>
                        </m:r>
                      </m:sub>
                      <m:sup>
                        <m:r>
                          <w:rPr>
                            <w:rFonts w:ascii="Cambria Math" w:hAnsi="Cambria Math"/>
                            <w:szCs w:val="24"/>
                            <w:lang w:eastAsia="lt-LT"/>
                          </w:rPr>
                          <m:t>T</m:t>
                        </m:r>
                      </m:sup>
                      <m:e>
                        <m:r>
                          <w:rPr>
                            <w:rFonts w:ascii="Cambria Math" w:hAnsi="Cambria Math"/>
                            <w:szCs w:val="24"/>
                            <w:lang w:eastAsia="lt-LT"/>
                          </w:rPr>
                          <m:t>max</m:t>
                        </m:r>
                        <m:r>
                          <w:rPr>
                            <w:rFonts w:ascii="Cambria Math" w:hAnsi="Cambria Math"/>
                            <w:szCs w:val="24"/>
                            <w:lang w:eastAsia="lt-LT"/>
                          </w:rPr>
                          <m:t>[</m:t>
                        </m:r>
                        <m:sSub>
                          <m:sSubPr>
                            <m:ctrlPr>
                              <w:rPr>
                                <w:rFonts w:ascii="Cambria Math" w:hAnsi="Cambria Math"/>
                                <w:i/>
                                <w:szCs w:val="24"/>
                                <w:lang w:eastAsia="lt-LT"/>
                              </w:rPr>
                            </m:ctrlPr>
                          </m:sSubPr>
                          <m:e>
                            <m:r>
                              <w:rPr>
                                <w:rFonts w:ascii="Cambria Math" w:hAnsi="Cambria Math"/>
                                <w:szCs w:val="24"/>
                                <w:lang w:eastAsia="lt-LT"/>
                              </w:rPr>
                              <m:t>(</m:t>
                            </m:r>
                            <m:r>
                              <w:rPr>
                                <w:rFonts w:ascii="Cambria Math" w:hAnsi="Cambria Math"/>
                                <w:szCs w:val="24"/>
                                <w:lang w:eastAsia="lt-LT"/>
                              </w:rPr>
                              <m:t>C</m:t>
                            </m:r>
                          </m:e>
                          <m:sub>
                            <m:r>
                              <w:rPr>
                                <w:rFonts w:ascii="Cambria Math" w:hAnsi="Cambria Math"/>
                                <w:szCs w:val="24"/>
                                <w:lang w:eastAsia="lt-LT"/>
                              </w:rPr>
                              <m:t>E</m:t>
                            </m:r>
                            <m:sSub>
                              <m:sSubPr>
                                <m:ctrlPr>
                                  <w:rPr>
                                    <w:rFonts w:ascii="Cambria Math" w:hAnsi="Cambria Math"/>
                                    <w:i/>
                                    <w:szCs w:val="24"/>
                                    <w:lang w:eastAsia="lt-LT"/>
                                  </w:rPr>
                                </m:ctrlPr>
                              </m:sSubPr>
                              <m:e>
                                <m:r>
                                  <w:rPr>
                                    <w:rFonts w:ascii="Cambria Math" w:hAnsi="Cambria Math"/>
                                    <w:szCs w:val="24"/>
                                    <w:lang w:eastAsia="lt-LT"/>
                                  </w:rPr>
                                  <m:t>M</m:t>
                                </m:r>
                              </m:e>
                              <m:sub>
                                <m:r>
                                  <w:rPr>
                                    <w:rFonts w:ascii="Cambria Math" w:hAnsi="Cambria Math"/>
                                    <w:szCs w:val="24"/>
                                    <w:lang w:eastAsia="lt-LT"/>
                                  </w:rPr>
                                  <m:t>t</m:t>
                                </m:r>
                                <m:r>
                                  <w:rPr>
                                    <w:rFonts w:ascii="Cambria Math" w:hAnsi="Cambria Math"/>
                                    <w:szCs w:val="24"/>
                                    <w:lang w:eastAsia="lt-LT"/>
                                  </w:rPr>
                                  <m:t>, 4</m:t>
                                </m:r>
                              </m:sub>
                            </m:sSub>
                          </m:sub>
                        </m:sSub>
                        <m:r>
                          <w:rPr>
                            <w:rFonts w:ascii="Cambria Math" w:hAnsi="Cambria Math"/>
                            <w:szCs w:val="24"/>
                            <w:lang w:eastAsia="lt-LT"/>
                          </w:rPr>
                          <m:t xml:space="preserve">- </m:t>
                        </m:r>
                        <m:sSub>
                          <m:sSubPr>
                            <m:ctrlPr>
                              <w:rPr>
                                <w:rFonts w:ascii="Cambria Math" w:hAnsi="Cambria Math"/>
                                <w:i/>
                                <w:szCs w:val="24"/>
                                <w:lang w:eastAsia="lt-LT"/>
                              </w:rPr>
                            </m:ctrlPr>
                          </m:sSubPr>
                          <m:e>
                            <m:r>
                              <w:rPr>
                                <w:rFonts w:ascii="Cambria Math" w:hAnsi="Cambria Math"/>
                                <w:szCs w:val="24"/>
                                <w:lang w:eastAsia="lt-LT"/>
                              </w:rPr>
                              <m:t>R</m:t>
                            </m:r>
                          </m:e>
                          <m:sub>
                            <m:r>
                              <w:rPr>
                                <w:rFonts w:ascii="Cambria Math" w:hAnsi="Cambria Math"/>
                                <w:szCs w:val="24"/>
                                <w:lang w:eastAsia="lt-LT"/>
                              </w:rPr>
                              <m:t>E</m:t>
                            </m:r>
                            <m:sSub>
                              <m:sSubPr>
                                <m:ctrlPr>
                                  <w:rPr>
                                    <w:rFonts w:ascii="Cambria Math" w:hAnsi="Cambria Math"/>
                                    <w:i/>
                                    <w:szCs w:val="24"/>
                                    <w:lang w:eastAsia="lt-LT"/>
                                  </w:rPr>
                                </m:ctrlPr>
                              </m:sSubPr>
                              <m:e>
                                <m:r>
                                  <w:rPr>
                                    <w:rFonts w:ascii="Cambria Math" w:hAnsi="Cambria Math"/>
                                    <w:szCs w:val="24"/>
                                    <w:lang w:eastAsia="lt-LT"/>
                                  </w:rPr>
                                  <m:t>M</m:t>
                                </m:r>
                              </m:e>
                              <m:sub>
                                <m:r>
                                  <w:rPr>
                                    <w:rFonts w:ascii="Cambria Math" w:hAnsi="Cambria Math"/>
                                    <w:szCs w:val="24"/>
                                    <w:lang w:eastAsia="lt-LT"/>
                                  </w:rPr>
                                  <m:t>t</m:t>
                                </m:r>
                                <m:r>
                                  <w:rPr>
                                    <w:rFonts w:ascii="Cambria Math" w:hAnsi="Cambria Math"/>
                                    <w:szCs w:val="24"/>
                                    <w:lang w:eastAsia="lt-LT"/>
                                  </w:rPr>
                                  <m:t>,  4</m:t>
                                </m:r>
                              </m:sub>
                            </m:sSub>
                          </m:sub>
                        </m:sSub>
                        <m:r>
                          <w:rPr>
                            <w:rFonts w:ascii="Cambria Math" w:hAnsi="Cambria Math"/>
                            <w:szCs w:val="24"/>
                            <w:lang w:eastAsia="lt-LT"/>
                          </w:rPr>
                          <m:t>)∙</m:t>
                        </m:r>
                        <m:sSub>
                          <m:sSubPr>
                            <m:ctrlPr>
                              <w:rPr>
                                <w:rFonts w:ascii="Cambria Math" w:hAnsi="Cambria Math"/>
                                <w:i/>
                                <w:szCs w:val="24"/>
                                <w:lang w:eastAsia="lt-LT"/>
                              </w:rPr>
                            </m:ctrlPr>
                          </m:sSubPr>
                          <m:e>
                            <m:r>
                              <w:rPr>
                                <w:rFonts w:ascii="Cambria Math" w:hAnsi="Cambria Math"/>
                                <w:szCs w:val="24"/>
                                <w:lang w:eastAsia="lt-LT"/>
                              </w:rPr>
                              <m:t>Q</m:t>
                            </m:r>
                          </m:e>
                          <m:sub>
                            <m:sSub>
                              <m:sSubPr>
                                <m:ctrlPr>
                                  <w:rPr>
                                    <w:rFonts w:ascii="Cambria Math" w:hAnsi="Cambria Math"/>
                                    <w:i/>
                                    <w:szCs w:val="24"/>
                                    <w:lang w:eastAsia="lt-LT"/>
                                  </w:rPr>
                                </m:ctrlPr>
                              </m:sSubPr>
                              <m:e>
                                <m:r>
                                  <w:rPr>
                                    <w:rFonts w:ascii="Cambria Math" w:hAnsi="Cambria Math"/>
                                    <w:szCs w:val="24"/>
                                    <w:lang w:eastAsia="lt-LT"/>
                                  </w:rPr>
                                  <m:t>nH</m:t>
                                </m:r>
                              </m:e>
                              <m:sub>
                                <m:r>
                                  <w:rPr>
                                    <w:rFonts w:ascii="Cambria Math" w:hAnsi="Cambria Math"/>
                                    <w:szCs w:val="24"/>
                                    <w:lang w:eastAsia="lt-LT"/>
                                  </w:rPr>
                                  <m:t>t</m:t>
                                </m:r>
                              </m:sub>
                            </m:sSub>
                          </m:sub>
                        </m:sSub>
                        <m:r>
                          <w:rPr>
                            <w:rFonts w:ascii="Cambria Math" w:hAnsi="Cambria Math"/>
                            <w:szCs w:val="24"/>
                            <w:lang w:eastAsia="lt-LT"/>
                          </w:rPr>
                          <m:t>;0]</m:t>
                        </m:r>
                      </m:e>
                    </m:nary>
                    <m:r>
                      <w:rPr>
                        <w:rFonts w:ascii="Cambria Math" w:hAnsi="Cambria Math"/>
                        <w:szCs w:val="24"/>
                        <w:lang w:eastAsia="lt-LT"/>
                      </w:rPr>
                      <m:t xml:space="preserve"> -</m:t>
                    </m:r>
                    <m:nary>
                      <m:naryPr>
                        <m:chr m:val="∑"/>
                        <m:limLoc m:val="undOvr"/>
                        <m:ctrlPr>
                          <w:rPr>
                            <w:rFonts w:ascii="Cambria Math" w:hAnsi="Cambria Math"/>
                            <w:i/>
                            <w:szCs w:val="24"/>
                            <w:lang w:eastAsia="lt-LT"/>
                          </w:rPr>
                        </m:ctrlPr>
                      </m:naryPr>
                      <m:sub>
                        <m:r>
                          <w:rPr>
                            <w:rFonts w:ascii="Cambria Math" w:hAnsi="Cambria Math"/>
                            <w:szCs w:val="24"/>
                            <w:lang w:eastAsia="lt-LT"/>
                          </w:rPr>
                          <m:t>t</m:t>
                        </m:r>
                      </m:sub>
                      <m:sup>
                        <m:r>
                          <w:rPr>
                            <w:rFonts w:ascii="Cambria Math" w:hAnsi="Cambria Math"/>
                            <w:szCs w:val="24"/>
                            <w:lang w:eastAsia="lt-LT"/>
                          </w:rPr>
                          <m:t>T</m:t>
                        </m:r>
                      </m:sup>
                      <m:e>
                        <m:sSub>
                          <m:sSubPr>
                            <m:ctrlPr>
                              <w:rPr>
                                <w:rFonts w:ascii="Cambria Math" w:hAnsi="Cambria Math"/>
                                <w:szCs w:val="24"/>
                                <w:lang w:eastAsia="lt-LT"/>
                              </w:rPr>
                            </m:ctrlPr>
                          </m:sSubPr>
                          <m:e>
                            <m:r>
                              <m:rPr>
                                <m:sty m:val="p"/>
                              </m:rPr>
                              <w:rPr>
                                <w:rFonts w:ascii="Cambria Math" w:hAnsi="Cambria Math"/>
                                <w:szCs w:val="24"/>
                                <w:lang w:eastAsia="lt-LT"/>
                              </w:rPr>
                              <m:t>C</m:t>
                            </m:r>
                            <m:ctrlPr>
                              <w:rPr>
                                <w:rFonts w:ascii="Cambria Math" w:hAnsi="Cambria Math"/>
                                <w:i/>
                                <w:szCs w:val="24"/>
                                <w:lang w:eastAsia="lt-LT"/>
                              </w:rPr>
                            </m:ctrlPr>
                          </m:e>
                          <m:sub>
                            <m:r>
                              <m:rPr>
                                <m:sty m:val="p"/>
                              </m:rPr>
                              <w:rPr>
                                <w:rFonts w:ascii="Cambria Math" w:hAnsi="Cambria Math"/>
                                <w:szCs w:val="24"/>
                                <w:vertAlign w:val="subscript"/>
                                <w:lang w:eastAsia="lt-LT"/>
                              </w:rPr>
                              <m:t>EMt,2</m:t>
                            </m:r>
                          </m:sub>
                        </m:sSub>
                        <m:r>
                          <w:rPr>
                            <w:rFonts w:ascii="Cambria Math" w:hAnsi="Cambria Math"/>
                            <w:szCs w:val="24"/>
                            <w:lang w:eastAsia="lt-LT"/>
                          </w:rPr>
                          <m:t>∙</m:t>
                        </m:r>
                        <m:sSub>
                          <m:sSubPr>
                            <m:ctrlPr>
                              <w:rPr>
                                <w:rFonts w:ascii="Cambria Math" w:hAnsi="Cambria Math"/>
                                <w:i/>
                                <w:szCs w:val="24"/>
                                <w:lang w:eastAsia="lt-LT"/>
                              </w:rPr>
                            </m:ctrlPr>
                          </m:sSubPr>
                          <m:e>
                            <m:r>
                              <w:rPr>
                                <w:rFonts w:ascii="Cambria Math" w:hAnsi="Cambria Math"/>
                                <w:szCs w:val="24"/>
                                <w:lang w:eastAsia="lt-LT"/>
                              </w:rPr>
                              <m:t>Q</m:t>
                            </m:r>
                          </m:e>
                          <m:sub>
                            <m:r>
                              <w:rPr>
                                <w:rFonts w:ascii="Cambria Math" w:hAnsi="Cambria Math"/>
                                <w:szCs w:val="24"/>
                                <w:lang w:eastAsia="lt-LT"/>
                              </w:rPr>
                              <m:t>C</m:t>
                            </m:r>
                            <m:r>
                              <w:rPr>
                                <w:rFonts w:ascii="Cambria Math" w:hAnsi="Cambria Math"/>
                                <w:szCs w:val="24"/>
                                <w:lang w:eastAsia="lt-LT"/>
                              </w:rPr>
                              <m:t xml:space="preserve"> </m:t>
                            </m:r>
                            <m:r>
                              <w:rPr>
                                <w:rFonts w:ascii="Cambria Math" w:hAnsi="Cambria Math"/>
                                <w:szCs w:val="24"/>
                                <w:lang w:eastAsia="lt-LT"/>
                              </w:rPr>
                              <m:t>I</m:t>
                            </m:r>
                            <m:sSub>
                              <m:sSubPr>
                                <m:ctrlPr>
                                  <w:rPr>
                                    <w:rFonts w:ascii="Cambria Math" w:hAnsi="Cambria Math"/>
                                    <w:i/>
                                    <w:szCs w:val="24"/>
                                    <w:lang w:eastAsia="lt-LT"/>
                                  </w:rPr>
                                </m:ctrlPr>
                              </m:sSubPr>
                              <m:e>
                                <m:r>
                                  <w:rPr>
                                    <w:rFonts w:ascii="Cambria Math" w:hAnsi="Cambria Math"/>
                                    <w:szCs w:val="24"/>
                                    <w:lang w:eastAsia="lt-LT"/>
                                  </w:rPr>
                                  <m:t>D</m:t>
                                </m:r>
                              </m:e>
                              <m:sub>
                                <m:r>
                                  <w:rPr>
                                    <w:rFonts w:ascii="Cambria Math" w:hAnsi="Cambria Math"/>
                                    <w:szCs w:val="24"/>
                                    <w:lang w:eastAsia="lt-LT"/>
                                  </w:rPr>
                                  <m:t>t</m:t>
                                </m:r>
                              </m:sub>
                            </m:sSub>
                          </m:sub>
                        </m:sSub>
                      </m:e>
                    </m:nary>
                  </m:oMath>
                  <w:r>
                    <w:rPr>
                      <w:szCs w:val="24"/>
                      <w:lang w:eastAsia="lt-LT"/>
                    </w:rPr>
                    <w:t xml:space="preserve">; </w:t>
                  </w:r>
                  <w:r>
                    <w:rPr>
                      <w:iCs/>
                      <w:szCs w:val="24"/>
                      <w:lang w:eastAsia="lt-LT"/>
                    </w:rPr>
                    <w:t>(2)</w:t>
                  </w:r>
                </w:p>
                <w:p>
                  <w:pPr>
                    <w:tabs>
                      <w:tab w:val="left" w:pos="725"/>
                    </w:tabs>
                    <w:spacing w:line="276" w:lineRule="auto"/>
                    <w:ind w:firstLine="720"/>
                    <w:jc w:val="both"/>
                    <w:rPr>
                      <w:szCs w:val="24"/>
                      <w:lang w:eastAsia="lt-LT"/>
                    </w:rPr>
                  </w:pPr>
                  <w:r>
                    <w:rPr>
                      <w:i/>
                      <w:iCs/>
                      <w:szCs w:val="24"/>
                      <w:lang w:eastAsia="lt-LT"/>
                    </w:rPr>
                    <w:t>čia</w:t>
                  </w:r>
                  <w:r>
                    <w:rPr>
                      <w:szCs w:val="24"/>
                      <w:lang w:eastAsia="lt-LT"/>
                    </w:rPr>
                    <w:t>:</w:t>
                  </w:r>
                </w:p>
                <w:p>
                  <w:pPr>
                    <w:tabs>
                      <w:tab w:val="left" w:pos="725"/>
                    </w:tabs>
                    <w:spacing w:line="276" w:lineRule="auto"/>
                    <w:ind w:firstLine="720"/>
                    <w:jc w:val="both"/>
                    <w:rPr>
                      <w:szCs w:val="24"/>
                    </w:rPr>
                  </w:pPr>
                  <w:r>
                    <w:rPr>
                      <w:szCs w:val="24"/>
                      <w:lang w:eastAsia="lt-LT"/>
                    </w:rPr>
                    <w:t>R</w:t>
                  </w:r>
                  <w:r>
                    <w:rPr>
                      <w:szCs w:val="24"/>
                      <w:vertAlign w:val="subscript"/>
                      <w:lang w:eastAsia="lt-LT"/>
                    </w:rPr>
                    <w:t>nH</w:t>
                  </w:r>
                  <w:r>
                    <w:rPr>
                      <w:szCs w:val="24"/>
                      <w:lang w:eastAsia="lt-LT"/>
                    </w:rPr>
                    <w:t xml:space="preserve"> – pajamų perviršis dėl neapdrausto elektros energijos gamybos kiekio </w:t>
                  </w:r>
                  <w:r>
                    <w:rPr>
                      <w:szCs w:val="24"/>
                    </w:rPr>
                    <w:t>ataskaitiniam laikotarpiui, Eur;</w:t>
                  </w:r>
                </w:p>
                <w:p>
                  <w:pPr>
                    <w:tabs>
                      <w:tab w:val="left" w:pos="725"/>
                    </w:tabs>
                    <w:spacing w:line="276" w:lineRule="auto"/>
                    <w:ind w:firstLine="720"/>
                    <w:jc w:val="both"/>
                    <w:rPr>
                      <w:szCs w:val="24"/>
                    </w:rPr>
                  </w:pPr>
                  <w:r>
                    <w:rPr>
                      <w:szCs w:val="24"/>
                      <w:lang w:eastAsia="lt-LT"/>
                    </w:rPr>
                    <w:t>Q</w:t>
                  </w:r>
                  <w:r>
                    <w:rPr>
                      <w:szCs w:val="24"/>
                      <w:vertAlign w:val="subscript"/>
                      <w:lang w:eastAsia="lt-LT"/>
                    </w:rPr>
                    <w:t>nHt</w:t>
                  </w:r>
                  <w:r>
                    <w:rPr>
                      <w:szCs w:val="24"/>
                      <w:lang w:eastAsia="lt-LT"/>
                    </w:rPr>
                    <w:t xml:space="preserve"> – finansinėmis išvestinėmis priemonėmis neapdraustas elektros energijos gamybos kiekis per </w:t>
                  </w:r>
                  <w:r>
                    <w:rPr>
                      <w:szCs w:val="24"/>
                    </w:rPr>
                    <w:t>ataskaitinį laikotarpį;</w:t>
                  </w:r>
                </w:p>
                <w:p>
                  <w:pPr>
                    <w:tabs>
                      <w:tab w:val="left" w:pos="725"/>
                    </w:tabs>
                    <w:spacing w:line="276" w:lineRule="auto"/>
                    <w:ind w:firstLine="720"/>
                    <w:jc w:val="both"/>
                    <w:rPr>
                      <w:szCs w:val="24"/>
                      <w:lang w:eastAsia="lt-LT"/>
                    </w:rPr>
                  </w:pPr>
                  <w:r>
                    <w:rPr>
                      <w:szCs w:val="24"/>
                      <w:lang w:eastAsia="lt-LT"/>
                    </w:rPr>
                    <w:t>R</w:t>
                  </w:r>
                  <w:r>
                    <w:rPr>
                      <w:szCs w:val="24"/>
                      <w:vertAlign w:val="subscript"/>
                      <w:lang w:eastAsia="lt-LT"/>
                    </w:rPr>
                    <w:t>EMt,i</w:t>
                  </w:r>
                  <w:r>
                    <w:rPr>
                      <w:szCs w:val="24"/>
                      <w:lang w:eastAsia="lt-LT"/>
                    </w:rPr>
                    <w:t xml:space="preserve"> – rinkos pajamos gautos pardavus elektros energiją, i-ąjame elektros energijos rinkos segmente CET laiku, t valandą, Eur/MWh;</w:t>
                  </w:r>
                </w:p>
                <w:p>
                  <w:pPr>
                    <w:tabs>
                      <w:tab w:val="left" w:pos="725"/>
                    </w:tabs>
                    <w:spacing w:line="276" w:lineRule="auto"/>
                    <w:ind w:firstLine="720"/>
                    <w:jc w:val="both"/>
                    <w:rPr>
                      <w:szCs w:val="24"/>
                      <w:lang w:eastAsia="lt-LT"/>
                    </w:rPr>
                  </w:pPr>
                  <w:r>
                    <w:rPr>
                      <w:szCs w:val="24"/>
                      <w:lang w:eastAsia="lt-LT"/>
                    </w:rPr>
                    <w:t>i – elektros energijos rinkos segmentas;</w:t>
                  </w:r>
                </w:p>
                <w:p>
                  <w:pPr>
                    <w:tabs>
                      <w:tab w:val="left" w:pos="725"/>
                    </w:tabs>
                    <w:spacing w:line="276" w:lineRule="auto"/>
                    <w:ind w:firstLine="720"/>
                    <w:jc w:val="both"/>
                    <w:rPr>
                      <w:szCs w:val="24"/>
                      <w:lang w:eastAsia="lt-LT"/>
                    </w:rPr>
                  </w:pPr>
                  <w:r>
                    <w:rPr>
                      <w:szCs w:val="24"/>
                      <w:lang w:eastAsia="lt-LT"/>
                    </w:rPr>
                    <w:t>R</w:t>
                  </w:r>
                  <w:r>
                    <w:rPr>
                      <w:szCs w:val="24"/>
                      <w:vertAlign w:val="subscript"/>
                      <w:lang w:eastAsia="lt-LT"/>
                    </w:rPr>
                    <w:t>EMt,1</w:t>
                  </w:r>
                  <w:r>
                    <w:rPr>
                      <w:szCs w:val="24"/>
                      <w:lang w:eastAsia="lt-LT"/>
                    </w:rPr>
                    <w:t xml:space="preserve"> – rinkos pajamos, gautos pardavus elektros energiją elektros energijos biržoje „Nord Pool“ Lietuvos prekybos zonoje, kitos paros prekybos sesijoje CET laiku, </w:t>
                  </w:r>
                  <w:r>
                    <w:rPr>
                      <w:i/>
                      <w:szCs w:val="24"/>
                      <w:lang w:eastAsia="lt-LT"/>
                    </w:rPr>
                    <w:t>t</w:t>
                  </w:r>
                  <w:r>
                    <w:rPr>
                      <w:szCs w:val="24"/>
                      <w:lang w:eastAsia="lt-LT"/>
                    </w:rPr>
                    <w:t xml:space="preserve"> valandą, Eur/MWh;</w:t>
                  </w:r>
                </w:p>
                <w:p>
                  <w:pPr>
                    <w:spacing w:line="276" w:lineRule="auto"/>
                    <w:ind w:firstLine="709"/>
                    <w:jc w:val="both"/>
                    <w:rPr>
                      <w:szCs w:val="24"/>
                      <w:lang w:eastAsia="lt-LT"/>
                    </w:rPr>
                  </w:pPr>
                  <w:r>
                    <w:rPr>
                      <w:szCs w:val="24"/>
                      <w:lang w:eastAsia="lt-LT"/>
                    </w:rPr>
                    <w:t>R</w:t>
                  </w:r>
                  <w:r>
                    <w:rPr>
                      <w:szCs w:val="24"/>
                      <w:vertAlign w:val="subscript"/>
                      <w:lang w:eastAsia="lt-LT"/>
                    </w:rPr>
                    <w:t>EMt,2</w:t>
                  </w:r>
                  <w:r>
                    <w:rPr>
                      <w:szCs w:val="24"/>
                      <w:lang w:eastAsia="lt-LT"/>
                    </w:rPr>
                    <w:t xml:space="preserve"> – rinkos pajamos, gautos pardavus elektros energiją elektros energijos biržoje „Nord Pool“ Lietuvos prekybos zonoje, einamosios paros rinkoje CET laiku, </w:t>
                  </w:r>
                  <w:r>
                    <w:rPr>
                      <w:i/>
                      <w:szCs w:val="24"/>
                      <w:lang w:eastAsia="lt-LT"/>
                    </w:rPr>
                    <w:t>t</w:t>
                  </w:r>
                  <w:r>
                    <w:rPr>
                      <w:szCs w:val="24"/>
                      <w:lang w:eastAsia="lt-LT"/>
                    </w:rPr>
                    <w:t xml:space="preserve"> valandą, Eur/MWh;</w:t>
                  </w:r>
                </w:p>
                <w:p>
                  <w:pPr>
                    <w:spacing w:line="276" w:lineRule="auto"/>
                    <w:ind w:firstLine="709"/>
                    <w:jc w:val="both"/>
                    <w:rPr>
                      <w:szCs w:val="24"/>
                      <w:lang w:eastAsia="lt-LT"/>
                    </w:rPr>
                  </w:pPr>
                  <w:r>
                    <w:rPr>
                      <w:szCs w:val="24"/>
                      <w:lang w:eastAsia="lt-LT"/>
                    </w:rPr>
                    <w:t>R</w:t>
                  </w:r>
                  <w:r>
                    <w:rPr>
                      <w:szCs w:val="24"/>
                      <w:vertAlign w:val="subscript"/>
                      <w:lang w:eastAsia="lt-LT"/>
                    </w:rPr>
                    <w:t>EMt,3</w:t>
                  </w:r>
                  <w:r>
                    <w:rPr>
                      <w:szCs w:val="24"/>
                      <w:lang w:eastAsia="lt-LT"/>
                    </w:rPr>
                    <w:t xml:space="preserve"> – rinkos pajamos, gautos pardavus elektros energiją, vadovaujantis PPA PAP, </w:t>
                  </w:r>
                  <w:r>
                    <w:rPr>
                      <w:i/>
                      <w:szCs w:val="24"/>
                      <w:lang w:eastAsia="lt-LT"/>
                    </w:rPr>
                    <w:t>t</w:t>
                  </w:r>
                  <w:r>
                    <w:rPr>
                      <w:szCs w:val="24"/>
                      <w:lang w:eastAsia="lt-LT"/>
                    </w:rPr>
                    <w:t> valandą, Eur/MWh;</w:t>
                  </w:r>
                </w:p>
                <w:p>
                  <w:pPr>
                    <w:spacing w:line="276" w:lineRule="auto"/>
                    <w:ind w:firstLine="709"/>
                    <w:jc w:val="both"/>
                    <w:rPr>
                      <w:szCs w:val="24"/>
                      <w:lang w:eastAsia="lt-LT"/>
                    </w:rPr>
                  </w:pPr>
                  <w:r>
                    <w:rPr>
                      <w:szCs w:val="24"/>
                      <w:lang w:eastAsia="lt-LT"/>
                    </w:rPr>
                    <w:t>R</w:t>
                  </w:r>
                  <w:r>
                    <w:rPr>
                      <w:szCs w:val="24"/>
                      <w:vertAlign w:val="subscript"/>
                      <w:lang w:eastAsia="lt-LT"/>
                    </w:rPr>
                    <w:t>EMt,4</w:t>
                  </w:r>
                  <w:r>
                    <w:rPr>
                      <w:szCs w:val="24"/>
                      <w:lang w:eastAsia="lt-LT"/>
                    </w:rPr>
                    <w:t xml:space="preserve"> – rinkos pajamų, gautų pardavus elektros energiją, vadovaujantis PPA BL, Eur/MWh;</w:t>
                  </w:r>
                </w:p>
                <w:p>
                  <w:pPr>
                    <w:spacing w:line="276" w:lineRule="auto"/>
                    <w:ind w:firstLine="709"/>
                    <w:jc w:val="both"/>
                    <w:rPr>
                      <w:szCs w:val="24"/>
                      <w:lang w:eastAsia="lt-LT"/>
                    </w:rPr>
                  </w:pPr>
                  <w:r>
                    <w:rPr>
                      <w:szCs w:val="24"/>
                      <w:lang w:eastAsia="lt-LT"/>
                    </w:rPr>
                    <w:t>R</w:t>
                  </w:r>
                  <w:r>
                    <w:rPr>
                      <w:szCs w:val="24"/>
                      <w:vertAlign w:val="subscript"/>
                      <w:lang w:eastAsia="lt-LT"/>
                    </w:rPr>
                    <w:t>EMt,5</w:t>
                  </w:r>
                  <w:r>
                    <w:rPr>
                      <w:szCs w:val="24"/>
                      <w:lang w:eastAsia="lt-LT"/>
                    </w:rPr>
                    <w:t xml:space="preserve"> – rinkos pajamos, gautos pardavus elektros energiją, teikiant su dažnio reguliavimu nesusijusias papildomas paslaugas pagal sutartį sudarytą su perdavimo sistemos operatoriumi, CET laiku, </w:t>
                  </w:r>
                  <w:r>
                    <w:rPr>
                      <w:i/>
                      <w:szCs w:val="24"/>
                      <w:lang w:eastAsia="lt-LT"/>
                    </w:rPr>
                    <w:t>t</w:t>
                  </w:r>
                  <w:r>
                    <w:rPr>
                      <w:szCs w:val="24"/>
                      <w:lang w:eastAsia="lt-LT"/>
                    </w:rPr>
                    <w:t> valandą, Eur/MWh;</w:t>
                  </w:r>
                </w:p>
                <w:p>
                  <w:pPr>
                    <w:spacing w:line="276" w:lineRule="auto"/>
                    <w:ind w:firstLine="709"/>
                    <w:jc w:val="both"/>
                    <w:rPr>
                      <w:szCs w:val="24"/>
                      <w:lang w:eastAsia="lt-LT"/>
                    </w:rPr>
                  </w:pPr>
                  <w:r>
                    <w:rPr>
                      <w:szCs w:val="24"/>
                      <w:lang w:eastAsia="lt-LT"/>
                    </w:rPr>
                    <w:t>C</w:t>
                  </w:r>
                  <w:r>
                    <w:rPr>
                      <w:szCs w:val="24"/>
                      <w:vertAlign w:val="subscript"/>
                      <w:lang w:eastAsia="lt-LT"/>
                    </w:rPr>
                    <w:t>EMt,4</w:t>
                  </w:r>
                  <w:r>
                    <w:rPr>
                      <w:szCs w:val="24"/>
                      <w:lang w:eastAsia="lt-LT"/>
                    </w:rPr>
                    <w:t xml:space="preserve"> – elektros energijos atpirkimo sąnaudos PPA BL atveju, i-ąjame elektros energijos rinkos segmente, kuriomis mažinamas ataskaitinį laikotarpį sukauptas pajamų perviršis, CET laiku, </w:t>
                  </w:r>
                  <w:r>
                    <w:rPr>
                      <w:i/>
                      <w:iCs/>
                      <w:szCs w:val="24"/>
                      <w:lang w:eastAsia="lt-LT"/>
                    </w:rPr>
                    <w:t>t</w:t>
                  </w:r>
                  <w:r>
                    <w:rPr>
                      <w:szCs w:val="24"/>
                      <w:lang w:eastAsia="lt-LT"/>
                    </w:rPr>
                    <w:t> valandą, Eur/MWh;</w:t>
                  </w:r>
                </w:p>
                <w:p>
                  <w:pPr>
                    <w:spacing w:line="276" w:lineRule="auto"/>
                    <w:ind w:firstLine="709"/>
                    <w:jc w:val="both"/>
                    <w:rPr>
                      <w:szCs w:val="24"/>
                      <w:lang w:eastAsia="lt-LT"/>
                    </w:rPr>
                  </w:pPr>
                  <w:r>
                    <w:rPr>
                      <w:szCs w:val="24"/>
                      <w:lang w:eastAsia="lt-LT"/>
                    </w:rPr>
                    <w:t>C</w:t>
                  </w:r>
                  <w:r>
                    <w:rPr>
                      <w:szCs w:val="24"/>
                      <w:vertAlign w:val="subscript"/>
                      <w:lang w:eastAsia="lt-LT"/>
                    </w:rPr>
                    <w:t>EMt,2</w:t>
                  </w:r>
                  <w:r>
                    <w:rPr>
                      <w:szCs w:val="24"/>
                      <w:lang w:eastAsia="lt-LT"/>
                    </w:rPr>
                    <w:t xml:space="preserve"> – einamosios paros rinkoje patiriamos elektros energijos įsigijimo sąnaudos dėl pagamintos elektros energijos kiekio nuokrypio nuo subjekto pozicijos kitos paros rinkoje, CET laiku, </w:t>
                  </w:r>
                  <w:r>
                    <w:rPr>
                      <w:i/>
                      <w:iCs/>
                      <w:szCs w:val="24"/>
                      <w:lang w:eastAsia="lt-LT"/>
                    </w:rPr>
                    <w:t>t</w:t>
                  </w:r>
                  <w:r>
                    <w:rPr>
                      <w:szCs w:val="24"/>
                      <w:lang w:eastAsia="lt-LT"/>
                    </w:rPr>
                    <w:t> valandą, Eur/MWh;</w:t>
                  </w:r>
                </w:p>
                <w:p>
                  <w:pPr>
                    <w:spacing w:line="276" w:lineRule="auto"/>
                    <w:ind w:firstLine="709"/>
                    <w:jc w:val="both"/>
                    <w:rPr>
                      <w:szCs w:val="24"/>
                      <w:lang w:eastAsia="lt-LT"/>
                    </w:rPr>
                  </w:pPr>
                  <w:r>
                    <w:rPr>
                      <w:szCs w:val="24"/>
                      <w:lang w:eastAsia="lt-LT"/>
                    </w:rPr>
                    <w:t>Q</w:t>
                  </w:r>
                  <w:r>
                    <w:rPr>
                      <w:szCs w:val="24"/>
                      <w:vertAlign w:val="subscript"/>
                      <w:lang w:eastAsia="lt-LT"/>
                    </w:rPr>
                    <w:t>C ID t</w:t>
                  </w:r>
                  <w:r>
                    <w:rPr>
                      <w:szCs w:val="24"/>
                      <w:lang w:eastAsia="lt-LT"/>
                    </w:rPr>
                    <w:t xml:space="preserve"> – elektros energijos įsigijimo kiekis einamosios paros rinkoje dėl pagamintos elektros energijos kiekio nuokrypio nuo subjekto pozicijos kitos paros rinkoje, CET laiku, </w:t>
                  </w:r>
                  <w:r>
                    <w:rPr>
                      <w:i/>
                      <w:iCs/>
                      <w:szCs w:val="24"/>
                      <w:lang w:eastAsia="lt-LT"/>
                    </w:rPr>
                    <w:t>t</w:t>
                  </w:r>
                  <w:r>
                    <w:rPr>
                      <w:szCs w:val="24"/>
                      <w:lang w:eastAsia="lt-LT"/>
                    </w:rPr>
                    <w:t> valandą, Eur/MWh;</w:t>
                  </w:r>
                </w:p>
                <w:p>
                  <w:pPr>
                    <w:spacing w:line="276" w:lineRule="auto"/>
                    <w:ind w:firstLine="720"/>
                    <w:jc w:val="both"/>
                    <w:rPr>
                      <w:szCs w:val="24"/>
                      <w:lang w:eastAsia="lt-LT"/>
                    </w:rPr>
                  </w:pPr>
                  <w:r>
                    <w:rPr>
                      <w:i/>
                      <w:iCs/>
                      <w:szCs w:val="24"/>
                      <w:lang w:eastAsia="lt-LT"/>
                    </w:rPr>
                    <w:t xml:space="preserve">t </w:t>
                  </w:r>
                  <w:r>
                    <w:rPr>
                      <w:szCs w:val="24"/>
                      <w:lang w:eastAsia="lt-LT"/>
                    </w:rPr>
                    <w:t>– ataskaitinio laikotarpio valanda;</w:t>
                  </w:r>
                </w:p>
                <w:p>
                  <w:pPr>
                    <w:spacing w:line="276" w:lineRule="auto"/>
                    <w:ind w:firstLine="709"/>
                    <w:rPr>
                      <w:szCs w:val="24"/>
                      <w:lang w:eastAsia="lt-LT"/>
                    </w:rPr>
                  </w:pPr>
                  <w:r>
                    <w:rPr>
                      <w:i/>
                      <w:iCs/>
                      <w:szCs w:val="24"/>
                      <w:lang w:eastAsia="lt-LT"/>
                    </w:rPr>
                    <w:t>T</w:t>
                  </w:r>
                  <w:r>
                    <w:rPr>
                      <w:szCs w:val="24"/>
                      <w:lang w:eastAsia="lt-LT"/>
                    </w:rPr>
                    <w:t xml:space="preserve"> – atskaitinio laikotarpio valandų skaičius.</w:t>
                  </w:r>
                </w:p>
              </w:sdtContent>
            </w:sdt>
            <w:sdt>
              <w:sdtPr>
                <w:alias w:val="25 p."/>
                <w:tag w:val="part_c3b7cf4a003d4c779328c9de79accd9b"/>
                <w:lock w:val="sdtLocked"/>
                <w:richText/>
              </w:sdtPr>
              <w:sdtContent>
                <w:p>
                  <w:pPr>
                    <w:tabs>
                      <w:tab w:val="left" w:pos="725"/>
                    </w:tabs>
                    <w:spacing w:line="276" w:lineRule="auto"/>
                    <w:ind w:firstLine="720"/>
                    <w:jc w:val="both"/>
                    <w:rPr>
                      <w:szCs w:val="24"/>
                      <w:lang w:eastAsia="lt-LT"/>
                    </w:rPr>
                  </w:pPr>
                  <w:sdt>
                    <w:sdtPr>
                      <w:alias w:val="Numeris"/>
                      <w:tag w:val="nr_c3b7cf4a003d4c779328c9de79accd9b"/>
                      <w:lock w:val="sdtLocked"/>
                      <w:richText/>
                    </w:sdtPr>
                    <w:sdtContent>
                      <w:r>
                        <w:rPr>
                          <w:szCs w:val="24"/>
                          <w:lang w:eastAsia="lt-LT"/>
                        </w:rPr>
                        <w:t>25</w:t>
                      </w:r>
                    </w:sdtContent>
                  </w:sdt>
                  <w:r>
                    <w:rPr>
                      <w:szCs w:val="24"/>
                      <w:lang w:eastAsia="lt-LT"/>
                    </w:rPr>
                    <w:t>. Atliekant skaičiavimus pagal (1) ir (2) formules, 180 Eur/MWh pajamų viršutinė riba, pajamoms gautoms pardavus elektros energiją, elektros energijos biržoje „Nord Pool“ Lietuvos prekybos zonoje, einamosios paros rinkoje CET laiku, t valandą, Eur/MWh, R</w:t>
                  </w:r>
                  <w:r>
                    <w:rPr>
                      <w:szCs w:val="24"/>
                      <w:vertAlign w:val="subscript"/>
                      <w:lang w:eastAsia="lt-LT"/>
                    </w:rPr>
                    <w:t>EMt,2</w:t>
                  </w:r>
                  <w:r>
                    <w:rPr>
                      <w:szCs w:val="24"/>
                      <w:lang w:eastAsia="lt-LT"/>
                    </w:rPr>
                    <w:t xml:space="preserve">, taikoma nuo kiekvieno sandorio sudaryto valandos metu didesne nei 180 Eur/MWh kaina. </w:t>
                  </w:r>
                </w:p>
              </w:sdtContent>
            </w:sdt>
            <w:sdt>
              <w:sdtPr>
                <w:alias w:val="26 p."/>
                <w:tag w:val="part_1e122d06de9841499d9c00ade7e921ba"/>
                <w:lock w:val="sdtLocked"/>
                <w:richText/>
              </w:sdtPr>
              <w:sdtContent>
                <w:p>
                  <w:pPr>
                    <w:tabs>
                      <w:tab w:val="left" w:pos="725"/>
                    </w:tabs>
                    <w:spacing w:line="276" w:lineRule="auto"/>
                    <w:ind w:firstLine="720"/>
                    <w:jc w:val="both"/>
                    <w:rPr>
                      <w:szCs w:val="24"/>
                      <w:lang w:eastAsia="lt-LT"/>
                    </w:rPr>
                  </w:pPr>
                  <w:sdt>
                    <w:sdtPr>
                      <w:alias w:val="Numeris"/>
                      <w:tag w:val="nr_1e122d06de9841499d9c00ade7e921ba"/>
                      <w:lock w:val="sdtLocked"/>
                      <w:richText/>
                    </w:sdtPr>
                    <w:sdtContent>
                      <w:r>
                        <w:rPr>
                          <w:szCs w:val="24"/>
                          <w:lang w:eastAsia="lt-LT"/>
                        </w:rPr>
                        <w:t>26</w:t>
                      </w:r>
                    </w:sdtContent>
                  </w:sdt>
                  <w:r>
                    <w:rPr>
                      <w:szCs w:val="24"/>
                      <w:lang w:eastAsia="lt-LT"/>
                    </w:rPr>
                    <w:t>. Atliekant skaičiavimus pagal (1) ir (2) formules, einamosios paros rinkoje patiriamos elektros energijos įsigijimo sąnaudos dėl pagamintos elektros energijos kiekio nuokrypio nuo subjekto pozicijos kitos paros rinkoje, CET laiku, t valandą, Eur/MWh, C</w:t>
                  </w:r>
                  <w:r>
                    <w:rPr>
                      <w:szCs w:val="24"/>
                      <w:vertAlign w:val="subscript"/>
                      <w:lang w:eastAsia="lt-LT"/>
                    </w:rPr>
                    <w:t>EMt,2</w:t>
                  </w:r>
                  <w:r>
                    <w:rPr>
                      <w:szCs w:val="24"/>
                      <w:lang w:eastAsia="lt-LT"/>
                    </w:rPr>
                    <w:t>, skaičiuojamos pagal kiekvieną valandos metu sudarytą sandorį.</w:t>
                  </w:r>
                </w:p>
              </w:sdtContent>
            </w:sdt>
            <w:sdt>
              <w:sdtPr>
                <w:alias w:val="27 p."/>
                <w:tag w:val="part_fd28372d4a104ef3b82d76164e742538"/>
                <w:lock w:val="sdtLocked"/>
                <w:richText/>
              </w:sdtPr>
              <w:sdtContent>
                <w:p>
                  <w:pPr>
                    <w:tabs>
                      <w:tab w:val="left" w:pos="725"/>
                    </w:tabs>
                    <w:spacing w:line="276" w:lineRule="auto"/>
                    <w:ind w:firstLine="720"/>
                    <w:jc w:val="both"/>
                    <w:rPr>
                      <w:szCs w:val="24"/>
                      <w:lang w:eastAsia="lt-LT"/>
                    </w:rPr>
                  </w:pPr>
                  <w:sdt>
                    <w:sdtPr>
                      <w:alias w:val="Numeris"/>
                      <w:tag w:val="nr_fd28372d4a104ef3b82d76164e742538"/>
                      <w:lock w:val="sdtLocked"/>
                      <w:richText/>
                    </w:sdtPr>
                    <w:sdtContent>
                      <w:r>
                        <w:rPr>
                          <w:szCs w:val="24"/>
                          <w:lang w:eastAsia="lt-LT"/>
                        </w:rPr>
                        <w:t>27</w:t>
                      </w:r>
                    </w:sdtContent>
                  </w:sdt>
                  <w:r>
                    <w:rPr>
                      <w:szCs w:val="24"/>
                      <w:lang w:eastAsia="lt-LT"/>
                    </w:rPr>
                    <w:t>. Atliekant skaičiavimus pagal (1) formulę, subjekto patiriamos sąnaudos C</w:t>
                  </w:r>
                  <w:r>
                    <w:rPr>
                      <w:szCs w:val="24"/>
                      <w:vertAlign w:val="subscript"/>
                      <w:lang w:eastAsia="lt-LT"/>
                    </w:rPr>
                    <w:t>Der n, t</w:t>
                  </w:r>
                  <w:r>
                    <w:rPr>
                      <w:szCs w:val="24"/>
                      <w:lang w:eastAsia="lt-LT"/>
                    </w:rPr>
                    <w:t xml:space="preserve"> yra vertinamos tik tuo atveju, kuomet Metodikos (1) formulės pirmojo nario dydžių suma yra neigiama ir </w:t>
                  </w:r>
                  <m:oMath>
                    <m:sSub>
                      <m:sSubPr>
                        <m:ctrlPr>
                          <w:rPr>
                            <w:rFonts w:ascii="Cambria Math" w:hAnsi="Cambria Math"/>
                            <w:i/>
                            <w:szCs w:val="24"/>
                            <w:lang w:eastAsia="lt-LT"/>
                          </w:rPr>
                        </m:ctrlPr>
                      </m:sSubPr>
                      <m:e>
                        <m:sSub>
                          <m:sSubPr>
                            <m:ctrlPr>
                              <w:rPr>
                                <w:rFonts w:ascii="Cambria Math" w:hAnsi="Cambria Math"/>
                                <w:i/>
                                <w:szCs w:val="24"/>
                                <w:lang w:eastAsia="lt-LT"/>
                              </w:rPr>
                            </m:ctrlPr>
                          </m:sSubPr>
                          <m:e>
                            <m:r>
                              <w:rPr>
                                <w:rFonts w:ascii="Cambria Math" w:hAnsi="Cambria Math"/>
                                <w:szCs w:val="24"/>
                                <w:lang w:eastAsia="lt-LT"/>
                              </w:rPr>
                              <m:t>P</m:t>
                            </m:r>
                          </m:e>
                          <m:sub>
                            <m:r>
                              <w:rPr>
                                <w:rFonts w:ascii="Cambria Math" w:hAnsi="Cambria Math"/>
                                <w:szCs w:val="24"/>
                                <w:lang w:eastAsia="lt-LT"/>
                              </w:rPr>
                              <m:t>der</m:t>
                            </m:r>
                          </m:sub>
                        </m:sSub>
                      </m:e>
                      <m:sub>
                        <m:r>
                          <w:rPr>
                            <w:rFonts w:ascii="Cambria Math" w:hAnsi="Cambria Math"/>
                            <w:szCs w:val="24"/>
                            <w:lang w:eastAsia="lt-LT"/>
                          </w:rPr>
                          <m:t>n</m:t>
                        </m:r>
                        <m:r>
                          <w:rPr>
                            <w:rFonts w:ascii="Cambria Math" w:hAnsi="Cambria Math"/>
                            <w:szCs w:val="24"/>
                            <w:lang w:eastAsia="lt-LT"/>
                          </w:rPr>
                          <m:t>,</m:t>
                        </m:r>
                        <m:r>
                          <w:rPr>
                            <w:rFonts w:ascii="Cambria Math" w:hAnsi="Cambria Math"/>
                            <w:szCs w:val="24"/>
                            <w:lang w:eastAsia="lt-LT"/>
                          </w:rPr>
                          <m:t>t</m:t>
                        </m:r>
                      </m:sub>
                    </m:sSub>
                    <m:r>
                      <w:rPr>
                        <w:rFonts w:ascii="Cambria Math" w:hAnsi="Cambria Math"/>
                        <w:szCs w:val="24"/>
                        <w:lang w:eastAsia="lt-LT"/>
                      </w:rPr>
                      <m:t>-</m:t>
                    </m:r>
                    <m:sSub>
                      <m:sSubPr>
                        <m:ctrlPr>
                          <w:rPr>
                            <w:rFonts w:ascii="Cambria Math" w:hAnsi="Cambria Math"/>
                            <w:i/>
                            <w:szCs w:val="24"/>
                            <w:lang w:eastAsia="lt-LT"/>
                          </w:rPr>
                        </m:ctrlPr>
                      </m:sSubPr>
                      <m:e>
                        <m:sSub>
                          <m:sSubPr>
                            <m:ctrlPr>
                              <w:rPr>
                                <w:rFonts w:ascii="Cambria Math" w:hAnsi="Cambria Math"/>
                                <w:i/>
                                <w:szCs w:val="24"/>
                                <w:lang w:eastAsia="lt-LT"/>
                              </w:rPr>
                            </m:ctrlPr>
                          </m:sSubPr>
                          <m:e>
                            <m:r>
                              <w:rPr>
                                <w:rFonts w:ascii="Cambria Math" w:hAnsi="Cambria Math"/>
                                <w:szCs w:val="24"/>
                                <w:lang w:eastAsia="lt-LT"/>
                              </w:rPr>
                              <m:t>P</m:t>
                            </m:r>
                          </m:e>
                          <m:sub>
                            <m:r>
                              <w:rPr>
                                <w:rFonts w:ascii="Cambria Math" w:hAnsi="Cambria Math"/>
                                <w:szCs w:val="24"/>
                                <w:lang w:eastAsia="lt-LT"/>
                              </w:rPr>
                              <m:t>ref</m:t>
                            </m:r>
                          </m:sub>
                        </m:sSub>
                      </m:e>
                      <m:sub>
                        <m:r>
                          <w:rPr>
                            <w:rFonts w:ascii="Cambria Math" w:hAnsi="Cambria Math"/>
                            <w:szCs w:val="24"/>
                            <w:lang w:eastAsia="lt-LT"/>
                          </w:rPr>
                          <m:t>n</m:t>
                        </m:r>
                        <m:r>
                          <w:rPr>
                            <w:rFonts w:ascii="Cambria Math" w:hAnsi="Cambria Math"/>
                            <w:szCs w:val="24"/>
                            <w:lang w:eastAsia="lt-LT"/>
                          </w:rPr>
                          <m:t>,</m:t>
                        </m:r>
                        <m:r>
                          <w:rPr>
                            <w:rFonts w:ascii="Cambria Math" w:hAnsi="Cambria Math"/>
                            <w:szCs w:val="24"/>
                            <w:lang w:eastAsia="lt-LT"/>
                          </w:rPr>
                          <m:t>t</m:t>
                        </m:r>
                      </m:sub>
                    </m:sSub>
                  </m:oMath>
                  <w:r>
                    <w:rPr>
                      <w:szCs w:val="24"/>
                      <w:lang w:eastAsia="lt-LT"/>
                    </w:rPr>
                    <w:t>skirtumas yra neigiamas ir C</w:t>
                  </w:r>
                  <w:r>
                    <w:rPr>
                      <w:szCs w:val="24"/>
                      <w:vertAlign w:val="subscript"/>
                      <w:lang w:eastAsia="lt-LT"/>
                    </w:rPr>
                    <w:t>Der n, t</w:t>
                  </w:r>
                  <w:r>
                    <w:rPr>
                      <w:szCs w:val="24"/>
                      <w:lang w:eastAsia="lt-LT"/>
                    </w:rPr>
                    <w:t xml:space="preserve"> yra lygios </w:t>
                  </w:r>
                  <m:oMath>
                    <m:sSub>
                      <m:sSubPr>
                        <m:ctrlPr>
                          <w:rPr>
                            <w:rFonts w:ascii="Cambria Math" w:hAnsi="Cambria Math"/>
                            <w:i/>
                            <w:szCs w:val="24"/>
                            <w:lang w:eastAsia="lt-LT"/>
                          </w:rPr>
                        </m:ctrlPr>
                      </m:sSubPr>
                      <m:e>
                        <m:sSub>
                          <m:sSubPr>
                            <m:ctrlPr>
                              <w:rPr>
                                <w:rFonts w:ascii="Cambria Math" w:hAnsi="Cambria Math"/>
                                <w:i/>
                                <w:szCs w:val="24"/>
                                <w:lang w:eastAsia="lt-LT"/>
                              </w:rPr>
                            </m:ctrlPr>
                          </m:sSubPr>
                          <m:e>
                            <m:r>
                              <w:rPr>
                                <w:rFonts w:ascii="Cambria Math" w:hAnsi="Cambria Math"/>
                                <w:szCs w:val="24"/>
                                <w:lang w:eastAsia="lt-LT"/>
                              </w:rPr>
                              <m:t>P</m:t>
                            </m:r>
                          </m:e>
                          <m:sub>
                            <m:r>
                              <w:rPr>
                                <w:rFonts w:ascii="Cambria Math" w:hAnsi="Cambria Math"/>
                                <w:szCs w:val="24"/>
                                <w:lang w:eastAsia="lt-LT"/>
                              </w:rPr>
                              <m:t>der</m:t>
                            </m:r>
                          </m:sub>
                        </m:sSub>
                      </m:e>
                      <m:sub>
                        <m:r>
                          <w:rPr>
                            <w:rFonts w:ascii="Cambria Math" w:hAnsi="Cambria Math"/>
                            <w:szCs w:val="24"/>
                            <w:lang w:eastAsia="lt-LT"/>
                          </w:rPr>
                          <m:t>n</m:t>
                        </m:r>
                        <m:r>
                          <w:rPr>
                            <w:rFonts w:ascii="Cambria Math" w:hAnsi="Cambria Math"/>
                            <w:szCs w:val="24"/>
                            <w:lang w:eastAsia="lt-LT"/>
                          </w:rPr>
                          <m:t>,</m:t>
                        </m:r>
                        <m:r>
                          <w:rPr>
                            <w:rFonts w:ascii="Cambria Math" w:hAnsi="Cambria Math"/>
                            <w:szCs w:val="24"/>
                            <w:lang w:eastAsia="lt-LT"/>
                          </w:rPr>
                          <m:t>t</m:t>
                        </m:r>
                      </m:sub>
                    </m:sSub>
                    <m:r>
                      <w:rPr>
                        <w:rFonts w:ascii="Cambria Math" w:hAnsi="Cambria Math"/>
                        <w:szCs w:val="24"/>
                        <w:lang w:eastAsia="lt-LT"/>
                      </w:rPr>
                      <m:t>-</m:t>
                    </m:r>
                    <m:sSub>
                      <m:sSubPr>
                        <m:ctrlPr>
                          <w:rPr>
                            <w:rFonts w:ascii="Cambria Math" w:hAnsi="Cambria Math"/>
                            <w:i/>
                            <w:szCs w:val="24"/>
                            <w:lang w:eastAsia="lt-LT"/>
                          </w:rPr>
                        </m:ctrlPr>
                      </m:sSubPr>
                      <m:e>
                        <m:sSub>
                          <m:sSubPr>
                            <m:ctrlPr>
                              <w:rPr>
                                <w:rFonts w:ascii="Cambria Math" w:hAnsi="Cambria Math"/>
                                <w:i/>
                                <w:szCs w:val="24"/>
                                <w:lang w:eastAsia="lt-LT"/>
                              </w:rPr>
                            </m:ctrlPr>
                          </m:sSubPr>
                          <m:e>
                            <m:r>
                              <w:rPr>
                                <w:rFonts w:ascii="Cambria Math" w:hAnsi="Cambria Math"/>
                                <w:szCs w:val="24"/>
                                <w:lang w:eastAsia="lt-LT"/>
                              </w:rPr>
                              <m:t>P</m:t>
                            </m:r>
                          </m:e>
                          <m:sub>
                            <m:r>
                              <w:rPr>
                                <w:rFonts w:ascii="Cambria Math" w:hAnsi="Cambria Math"/>
                                <w:szCs w:val="24"/>
                                <w:lang w:eastAsia="lt-LT"/>
                              </w:rPr>
                              <m:t>ref</m:t>
                            </m:r>
                          </m:sub>
                        </m:sSub>
                      </m:e>
                      <m:sub>
                        <m:r>
                          <w:rPr>
                            <w:rFonts w:ascii="Cambria Math" w:hAnsi="Cambria Math"/>
                            <w:szCs w:val="24"/>
                            <w:lang w:eastAsia="lt-LT"/>
                          </w:rPr>
                          <m:t>n</m:t>
                        </m:r>
                        <m:r>
                          <w:rPr>
                            <w:rFonts w:ascii="Cambria Math" w:hAnsi="Cambria Math"/>
                            <w:szCs w:val="24"/>
                            <w:lang w:eastAsia="lt-LT"/>
                          </w:rPr>
                          <m:t>,</m:t>
                        </m:r>
                        <m:r>
                          <w:rPr>
                            <w:rFonts w:ascii="Cambria Math" w:hAnsi="Cambria Math"/>
                            <w:szCs w:val="24"/>
                            <w:lang w:eastAsia="lt-LT"/>
                          </w:rPr>
                          <m:t>t</m:t>
                        </m:r>
                      </m:sub>
                    </m:sSub>
                  </m:oMath>
                  <w:r>
                    <w:rPr>
                      <w:szCs w:val="24"/>
                      <w:lang w:eastAsia="lt-LT"/>
                    </w:rPr>
                    <w:t>skirtumui.</w:t>
                  </w:r>
                </w:p>
              </w:sdtContent>
            </w:sdt>
            <w:sdt>
              <w:sdtPr>
                <w:alias w:val="28 p."/>
                <w:tag w:val="part_14e5847831d141d28afef3d5bb2ef50b"/>
                <w:lock w:val="sdtLocked"/>
                <w:richText/>
              </w:sdtPr>
              <w:sdtContent>
                <w:p>
                  <w:pPr>
                    <w:spacing w:line="276" w:lineRule="auto"/>
                    <w:ind w:firstLine="720"/>
                    <w:jc w:val="both"/>
                    <w:rPr>
                      <w:szCs w:val="24"/>
                      <w:lang w:eastAsia="lt-LT"/>
                    </w:rPr>
                  </w:pPr>
                  <w:sdt>
                    <w:sdtPr>
                      <w:alias w:val="Numeris"/>
                      <w:tag w:val="nr_14e5847831d141d28afef3d5bb2ef50b"/>
                      <w:lock w:val="sdtLocked"/>
                      <w:richText/>
                    </w:sdtPr>
                    <w:sdtContent>
                      <w:r>
                        <w:rPr>
                          <w:szCs w:val="24"/>
                          <w:lang w:eastAsia="lt-LT"/>
                        </w:rPr>
                        <w:t>28</w:t>
                      </w:r>
                    </w:sdtContent>
                  </w:sdt>
                  <w:r>
                    <w:rPr>
                      <w:szCs w:val="24"/>
                      <w:lang w:eastAsia="lt-LT"/>
                    </w:rPr>
                    <w:t>. Jeigu subjektas nėra sudaręs išvestinių finansinių priemonių, tokiu atveju nėra taikomas Metodikos 23 punktas ir skaičiavimas iš karto atliekamas vadovaujantis Metodikos 24 punktu.</w:t>
                  </w:r>
                </w:p>
              </w:sdtContent>
            </w:sdt>
            <w:sdt>
              <w:sdtPr>
                <w:alias w:val="29 p."/>
                <w:tag w:val="part_6273555028634c5ba12d375f9d8a11e2"/>
                <w:lock w:val="sdtLocked"/>
                <w:richText/>
              </w:sdtPr>
              <w:sdtContent>
                <w:p>
                  <w:pPr>
                    <w:tabs>
                      <w:tab w:val="left" w:pos="725"/>
                    </w:tabs>
                    <w:spacing w:line="276" w:lineRule="auto"/>
                    <w:ind w:firstLine="720"/>
                    <w:jc w:val="both"/>
                    <w:rPr>
                      <w:szCs w:val="24"/>
                      <w:lang w:eastAsia="lt-LT"/>
                    </w:rPr>
                  </w:pPr>
                  <w:sdt>
                    <w:sdtPr>
                      <w:alias w:val="Numeris"/>
                      <w:tag w:val="nr_6273555028634c5ba12d375f9d8a11e2"/>
                      <w:lock w:val="sdtLocked"/>
                      <w:richText/>
                    </w:sdtPr>
                    <w:sdtContent>
                      <w:r>
                        <w:rPr>
                          <w:szCs w:val="24"/>
                          <w:lang w:eastAsia="lt-LT"/>
                        </w:rPr>
                        <w:t>29</w:t>
                      </w:r>
                    </w:sdtContent>
                  </w:sdt>
                  <w:r>
                    <w:rPr>
                      <w:szCs w:val="24"/>
                      <w:lang w:eastAsia="lt-LT"/>
                    </w:rPr>
                    <w:t>. Visi skaičiavimai vadovaujantis (1) ir (2) formulėmis, kas valandą, atliekami apvalinant skaičius vieno euro cento tikslumu.</w:t>
                  </w:r>
                </w:p>
                <w:p>
                  <w:pPr>
                    <w:spacing w:line="276" w:lineRule="auto"/>
                    <w:rPr>
                      <w:rFonts w:eastAsia="Calibri"/>
                      <w:szCs w:val="24"/>
                    </w:rPr>
                  </w:pPr>
                </w:p>
              </w:sdtContent>
            </w:sdt>
          </w:sdtContent>
        </w:sdt>
        <w:sdt>
          <w:sdtPr>
            <w:alias w:val="skyrius"/>
            <w:tag w:val="part_8df2d2c8f2ed48528ac1bf709fd18afb"/>
            <w:lock w:val="sdtLocked"/>
            <w:richText/>
          </w:sdtPr>
          <w:sdtContent>
            <w:p>
              <w:pPr>
                <w:spacing w:line="276" w:lineRule="auto"/>
                <w:ind w:firstLine="720"/>
                <w:jc w:val="center"/>
                <w:rPr>
                  <w:b/>
                  <w:szCs w:val="24"/>
                  <w:lang w:eastAsia="lt-LT"/>
                </w:rPr>
              </w:pPr>
              <w:sdt>
                <w:sdtPr>
                  <w:alias w:val="Numeris"/>
                  <w:tag w:val="nr_8df2d2c8f2ed48528ac1bf709fd18afb"/>
                  <w:lock w:val="sdtLocked"/>
                  <w:richText/>
                </w:sdtPr>
                <w:sdtContent>
                  <w:r>
                    <w:rPr>
                      <w:b/>
                      <w:szCs w:val="24"/>
                      <w:lang w:eastAsia="lt-LT"/>
                    </w:rPr>
                    <w:t>IV</w:t>
                  </w:r>
                </w:sdtContent>
              </w:sdt>
              <w:r>
                <w:rPr>
                  <w:b/>
                  <w:szCs w:val="24"/>
                  <w:lang w:eastAsia="lt-LT"/>
                </w:rPr>
                <w:t xml:space="preserve"> SKYRIUS</w:t>
              </w:r>
            </w:p>
            <w:p>
              <w:pPr>
                <w:spacing w:line="276" w:lineRule="auto"/>
                <w:jc w:val="center"/>
                <w:rPr>
                  <w:b/>
                  <w:szCs w:val="24"/>
                  <w:lang w:eastAsia="lt-LT"/>
                </w:rPr>
              </w:pPr>
              <w:sdt>
                <w:sdtPr>
                  <w:alias w:val="Pavadinimas"/>
                  <w:tag w:val="title_8df2d2c8f2ed48528ac1bf709fd18afb"/>
                  <w:lock w:val="sdtLocked"/>
                  <w:richText/>
                </w:sdtPr>
                <w:sdtContent>
                  <w:r>
                    <w:rPr>
                      <w:b/>
                      <w:szCs w:val="24"/>
                      <w:lang w:eastAsia="lt-LT"/>
                    </w:rPr>
                    <w:t>DUOMENŲ, REIKALINGŲ RINKOS PAJAMŲ PERVIRŠIUI APSKAIČIUOTI, PATEIKIMAS, PAJAMŲ PERVIRŠIO SUMOS APSKAIČIAVIMAS IR PERVEDIMAS BEI JŲ KONTROLĖ</w:t>
                  </w:r>
                </w:sdtContent>
              </w:sdt>
            </w:p>
            <w:p>
              <w:pPr>
                <w:spacing w:line="276" w:lineRule="auto"/>
                <w:rPr>
                  <w:rFonts w:eastAsia="Calibri"/>
                  <w:szCs w:val="24"/>
                </w:rPr>
              </w:pPr>
            </w:p>
            <w:sdt>
              <w:sdtPr>
                <w:alias w:val="30 p."/>
                <w:tag w:val="part_7c7b0b910c6642fab9c240054ce85fa6"/>
                <w:lock w:val="sdtLocked"/>
                <w:richText/>
              </w:sdtPr>
              <w:sdtContent>
                <w:p>
                  <w:pPr>
                    <w:tabs>
                      <w:tab w:val="left" w:pos="485"/>
                    </w:tabs>
                    <w:spacing w:line="276" w:lineRule="auto"/>
                    <w:ind w:firstLine="567"/>
                    <w:jc w:val="both"/>
                    <w:rPr>
                      <w:szCs w:val="24"/>
                      <w:lang w:eastAsia="lt-LT"/>
                    </w:rPr>
                  </w:pPr>
                  <w:sdt>
                    <w:sdtPr>
                      <w:alias w:val="Numeris"/>
                      <w:tag w:val="nr_7c7b0b910c6642fab9c240054ce85fa6"/>
                      <w:lock w:val="sdtLocked"/>
                      <w:richText/>
                    </w:sdtPr>
                    <w:sdtContent>
                      <w:r>
                        <w:rPr>
                          <w:szCs w:val="24"/>
                          <w:lang w:eastAsia="lt-LT"/>
                        </w:rPr>
                        <w:t>30</w:t>
                      </w:r>
                    </w:sdtContent>
                  </w:sdt>
                  <w:r>
                    <w:rPr>
                      <w:szCs w:val="24"/>
                      <w:lang w:eastAsia="lt-LT"/>
                    </w:rPr>
                    <w:t xml:space="preserve">. Subjektai administratoriui Rinkos pajamų ir pajamų perviršio deklaraciją, nustatytą Metodikos 1 priede (toliau – deklaracija), teikia ne vėliau kaip iki kalendorinio mėnesio, einančio po ataskaitinio mėnesio pabaigos. Deklaracija už 2022 m. gruodžio mėnesį teikiama ne vėliau negu 2023 m. vasario 28 d. </w:t>
                  </w:r>
                </w:p>
              </w:sdtContent>
            </w:sdt>
            <w:sdt>
              <w:sdtPr>
                <w:alias w:val="31 p."/>
                <w:tag w:val="part_6bc91a0d063d496eb428336acf0ed89b"/>
                <w:lock w:val="sdtLocked"/>
                <w:richText/>
              </w:sdtPr>
              <w:sdtContent>
                <w:p>
                  <w:pPr>
                    <w:tabs>
                      <w:tab w:val="left" w:pos="485"/>
                    </w:tabs>
                    <w:spacing w:line="276" w:lineRule="auto"/>
                    <w:ind w:firstLine="567"/>
                    <w:jc w:val="both"/>
                    <w:rPr>
                      <w:szCs w:val="24"/>
                      <w:lang w:eastAsia="lt-LT"/>
                    </w:rPr>
                  </w:pPr>
                  <w:sdt>
                    <w:sdtPr>
                      <w:alias w:val="Numeris"/>
                      <w:tag w:val="nr_6bc91a0d063d496eb428336acf0ed89b"/>
                      <w:lock w:val="sdtLocked"/>
                      <w:richText/>
                    </w:sdtPr>
                    <w:sdtContent>
                      <w:r>
                        <w:rPr>
                          <w:szCs w:val="24"/>
                          <w:lang w:eastAsia="lt-LT"/>
                        </w:rPr>
                        <w:t>31</w:t>
                      </w:r>
                    </w:sdtContent>
                  </w:sdt>
                  <w:r>
                    <w:rPr>
                      <w:szCs w:val="24"/>
                      <w:lang w:eastAsia="lt-LT"/>
                    </w:rPr>
                    <w:t xml:space="preserve">. Jeigu subjekto atsiskaitymas (angl. </w:t>
                  </w:r>
                  <w:r>
                    <w:rPr>
                      <w:i/>
                      <w:szCs w:val="24"/>
                      <w:lang w:eastAsia="lt-LT"/>
                    </w:rPr>
                    <w:t>settlement</w:t>
                  </w:r>
                  <w:r>
                    <w:rPr>
                      <w:szCs w:val="24"/>
                      <w:lang w:eastAsia="lt-LT"/>
                    </w:rPr>
                    <w:t xml:space="preserve">) pagal sudarytas sutartis atliekamas ne po kalendorinio mėnesio pabaigos, subjektas deklaracijoje nenurodo su tokiais sandoriais susijusių rinkos pajamų ir pajamų perviršio. Tačiau atitinkamai deklaracijoje pažymi, jog turi įsipareigojimus pagal tokius sandorius. Šiuo atveju, subjektas, įvykus atsiskaitymui, pateikia patikslintą (-as) deklaraciją (-as) už praėjusį (-ius) ataskaitinius laikotarpius ne vėliau kaip iki kalendorinio mėnesio, einančio po vėliausio ataskaitinio mėnesio pabaigos. Paskutinis deklaracijų patikslinimas turi būti atliktas ne vėliau nei 2024 m. sausio 31 d. </w:t>
                  </w:r>
                </w:p>
              </w:sdtContent>
            </w:sdt>
            <w:sdt>
              <w:sdtPr>
                <w:alias w:val="32 p."/>
                <w:tag w:val="part_46fc6549f6b34d86b2f62abe5fe987e2"/>
                <w:lock w:val="sdtLocked"/>
                <w:richText/>
              </w:sdtPr>
              <w:sdtContent>
                <w:p>
                  <w:pPr>
                    <w:tabs>
                      <w:tab w:val="left" w:pos="485"/>
                    </w:tabs>
                    <w:spacing w:line="276" w:lineRule="auto"/>
                    <w:ind w:firstLine="567"/>
                    <w:jc w:val="both"/>
                    <w:rPr>
                      <w:szCs w:val="24"/>
                      <w:lang w:eastAsia="lt-LT"/>
                    </w:rPr>
                  </w:pPr>
                  <w:sdt>
                    <w:sdtPr>
                      <w:alias w:val="Numeris"/>
                      <w:tag w:val="nr_46fc6549f6b34d86b2f62abe5fe987e2"/>
                      <w:lock w:val="sdtLocked"/>
                      <w:richText/>
                    </w:sdtPr>
                    <w:sdtContent>
                      <w:r>
                        <w:rPr>
                          <w:szCs w:val="24"/>
                          <w:lang w:eastAsia="lt-LT"/>
                        </w:rPr>
                        <w:t>32</w:t>
                      </w:r>
                    </w:sdtContent>
                  </w:sdt>
                  <w:r>
                    <w:rPr>
                      <w:szCs w:val="24"/>
                      <w:lang w:eastAsia="lt-LT"/>
                    </w:rPr>
                    <w:t xml:space="preserve">. Lėšų administratorius įvertina susidariusį pajamų perviršio skirtumą dėl deklaracijų patikslinimo ir esant pajamų perviršio permokėjimui, subjektui grąžina permokėtą pajamų perviršio dalį arba esant pajamų perviršio nesurinkimui nustato mokėjimo subjektų pareigą sumokėti trūkstamą pajamų perviršio dalį. Vertinimas atliekamas už laikotarpį nuo </w:t>
                  </w:r>
                  <w:r>
                    <w:rPr>
                      <w:szCs w:val="24"/>
                    </w:rPr>
                    <w:t>2022 m. gruodžio 1 d. iki 2023 m. birželio 30 d.</w:t>
                  </w:r>
                </w:p>
              </w:sdtContent>
            </w:sdt>
            <w:sdt>
              <w:sdtPr>
                <w:alias w:val="33 p."/>
                <w:tag w:val="part_995ff73a20fb4347aaf27aab30f98a38"/>
                <w:lock w:val="sdtLocked"/>
                <w:richText/>
              </w:sdtPr>
              <w:sdtContent>
                <w:p>
                  <w:pPr>
                    <w:tabs>
                      <w:tab w:val="left" w:pos="485"/>
                    </w:tabs>
                    <w:spacing w:line="276" w:lineRule="auto"/>
                    <w:ind w:firstLine="567"/>
                    <w:jc w:val="both"/>
                    <w:rPr>
                      <w:szCs w:val="24"/>
                      <w:lang w:eastAsia="lt-LT"/>
                    </w:rPr>
                  </w:pPr>
                  <w:sdt>
                    <w:sdtPr>
                      <w:alias w:val="Numeris"/>
                      <w:tag w:val="nr_995ff73a20fb4347aaf27aab30f98a38"/>
                      <w:lock w:val="sdtLocked"/>
                      <w:richText/>
                    </w:sdtPr>
                    <w:sdtContent>
                      <w:r>
                        <w:rPr>
                          <w:szCs w:val="24"/>
                          <w:lang w:eastAsia="lt-LT"/>
                        </w:rPr>
                        <w:t>33</w:t>
                      </w:r>
                    </w:sdtContent>
                  </w:sdt>
                  <w:r>
                    <w:rPr>
                      <w:szCs w:val="24"/>
                      <w:lang w:eastAsia="lt-LT"/>
                    </w:rPr>
                    <w:t>. Subjektai, išskyrus subjektus sudariusius PPA BL, o kai taikoma, – ir su jais susiję asmenys ne vėliau kaip iki kalendorinio mėnesio, einančio po ataskaitinio mėnesio pabaigos, pateikia lėšų administratoriui pajamų perviršio deklaraciją ir (ar) patikslintą deklaraciją ir perveda 90 procentų pajamų perviršio deklaracijoje nurodytos pajamų perviršio sumos į administratoriaus tinklalapyje skelbiamą lėšoms pervesti skirtą sąskaitą.</w:t>
                  </w:r>
                </w:p>
              </w:sdtContent>
            </w:sdt>
            <w:sdt>
              <w:sdtPr>
                <w:alias w:val="34 p."/>
                <w:tag w:val="part_ac987f4c5ec242c4b4abb47e270dba84"/>
                <w:lock w:val="sdtLocked"/>
                <w:richText/>
              </w:sdtPr>
              <w:sdtContent>
                <w:p>
                  <w:pPr>
                    <w:tabs>
                      <w:tab w:val="left" w:pos="485"/>
                    </w:tabs>
                    <w:spacing w:line="276" w:lineRule="auto"/>
                    <w:ind w:firstLine="567"/>
                    <w:jc w:val="both"/>
                    <w:rPr>
                      <w:szCs w:val="24"/>
                      <w:lang w:eastAsia="lt-LT"/>
                    </w:rPr>
                  </w:pPr>
                  <w:sdt>
                    <w:sdtPr>
                      <w:alias w:val="Numeris"/>
                      <w:tag w:val="nr_ac987f4c5ec242c4b4abb47e270dba84"/>
                      <w:lock w:val="sdtLocked"/>
                      <w:richText/>
                    </w:sdtPr>
                    <w:sdtContent>
                      <w:r>
                        <w:rPr>
                          <w:szCs w:val="24"/>
                          <w:lang w:eastAsia="lt-LT"/>
                        </w:rPr>
                        <w:t>34</w:t>
                      </w:r>
                    </w:sdtContent>
                  </w:sdt>
                  <w:r>
                    <w:rPr>
                      <w:szCs w:val="24"/>
                      <w:lang w:eastAsia="lt-LT"/>
                    </w:rPr>
                    <w:t xml:space="preserve">. PPA BL atveju, subjektai, o kai taikoma, – ir su jais susiję asmenys administratoriui deklaracijas teikia Metodikos 30 punkte numatyta tvarka. Pajamų perviršio mokėjimui atlikti PPA BL atveju, subjektai, o kai taikoma, – ir su jais susiję asmenys ne vėliau kaip iki 2023 m. liepos 31 d. pateikia lėšų administratoriui pajamų perviršio deklaraciją ir (ar) patikslintą deklaraciją ir perveda 90 procentų pajamų perviršio deklaracijoje nurodytos pajamų perviršio sumos į administratoriaus tinklalapyje skelbiamą lėšoms pervesti skirtą sąskaitą. </w:t>
                  </w:r>
                </w:p>
              </w:sdtContent>
            </w:sdt>
            <w:sdt>
              <w:sdtPr>
                <w:alias w:val="35 p."/>
                <w:tag w:val="part_77af26ee89e749588f0ed66648107a0e"/>
                <w:lock w:val="sdtLocked"/>
                <w:richText/>
              </w:sdtPr>
              <w:sdtContent>
                <w:p>
                  <w:pPr>
                    <w:tabs>
                      <w:tab w:val="left" w:pos="485"/>
                    </w:tabs>
                    <w:spacing w:line="276" w:lineRule="auto"/>
                    <w:ind w:firstLine="567"/>
                    <w:jc w:val="both"/>
                    <w:rPr>
                      <w:szCs w:val="24"/>
                      <w:lang w:eastAsia="lt-LT"/>
                    </w:rPr>
                  </w:pPr>
                  <w:sdt>
                    <w:sdtPr>
                      <w:alias w:val="Numeris"/>
                      <w:tag w:val="nr_77af26ee89e749588f0ed66648107a0e"/>
                      <w:lock w:val="sdtLocked"/>
                      <w:richText/>
                    </w:sdtPr>
                    <w:sdtContent>
                      <w:r>
                        <w:rPr>
                          <w:szCs w:val="24"/>
                          <w:lang w:eastAsia="lt-LT"/>
                        </w:rPr>
                        <w:t>35</w:t>
                      </w:r>
                    </w:sdtContent>
                  </w:sdt>
                  <w:r>
                    <w:rPr>
                      <w:szCs w:val="24"/>
                      <w:lang w:eastAsia="lt-LT"/>
                    </w:rPr>
                    <w:t>. Vadovaujantis Įstatymo 12 straipsnio 5 dalimi, Taryba kontroliuoja pajamų perviršio mokėjimo subjektų apskaičiuoto pajamų perviršio dydžio teisingumą ir pagrįstumą. Tarybai po atlikto vertinimo nustačius deklaracijos neatitikimus ir priėmus sprendimą dėl pajamų perviršio papildomo sumokėjimo, pajamų perviršio mokėjimo subjektas sumoka:</w:t>
                  </w:r>
                </w:p>
                <w:sdt>
                  <w:sdtPr>
                    <w:alias w:val="35.1 pp."/>
                    <w:tag w:val="part_14f7b2cd9a6d4698865805e6ac1463fc"/>
                    <w:lock w:val="sdtLocked"/>
                    <w:richText/>
                  </w:sdtPr>
                  <w:sdtContent>
                    <w:p>
                      <w:pPr>
                        <w:spacing w:line="276" w:lineRule="auto"/>
                        <w:ind w:firstLine="567"/>
                        <w:jc w:val="both"/>
                        <w:rPr>
                          <w:szCs w:val="24"/>
                          <w:lang w:eastAsia="lt-LT"/>
                        </w:rPr>
                      </w:pPr>
                      <w:sdt>
                        <w:sdtPr>
                          <w:alias w:val="Numeris"/>
                          <w:tag w:val="nr_14f7b2cd9a6d4698865805e6ac1463fc"/>
                          <w:lock w:val="sdtLocked"/>
                          <w:richText/>
                        </w:sdtPr>
                        <w:sdtContent>
                          <w:r>
                            <w:rPr>
                              <w:szCs w:val="24"/>
                              <w:lang w:eastAsia="lt-LT"/>
                            </w:rPr>
                            <w:t>35.1</w:t>
                          </w:r>
                        </w:sdtContent>
                      </w:sdt>
                      <w:r>
                        <w:rPr>
                          <w:szCs w:val="24"/>
                          <w:lang w:eastAsia="lt-LT"/>
                        </w:rPr>
                        <w:t>. 100 procentų Tarybos atlikto vertinimo metu suskaičiuotos pajamų perviršio sumos, taip pat delspinigius, lygius 0,03 procentinio punkto nuo papildomai mokėtinos perviršio pajamų sumos už kiekvieną pavėluotą dieną, kai Tarybos nustatytų neatitikimų dydis sudaro 5 procentus ar daugiau, skaičiuojant nuo pajamų perviršio sumos;</w:t>
                      </w:r>
                    </w:p>
                  </w:sdtContent>
                </w:sdt>
                <w:sdt>
                  <w:sdtPr>
                    <w:alias w:val="35.2 pp."/>
                    <w:tag w:val="part_781373dcad3c4ca2b088c3689dcd5d0b"/>
                    <w:lock w:val="sdtLocked"/>
                    <w:richText/>
                  </w:sdtPr>
                  <w:sdtContent>
                    <w:p>
                      <w:pPr>
                        <w:spacing w:line="276" w:lineRule="auto"/>
                        <w:ind w:firstLine="567"/>
                        <w:jc w:val="both"/>
                        <w:rPr>
                          <w:szCs w:val="24"/>
                          <w:lang w:eastAsia="lt-LT"/>
                        </w:rPr>
                      </w:pPr>
                      <w:sdt>
                        <w:sdtPr>
                          <w:alias w:val="Numeris"/>
                          <w:tag w:val="nr_781373dcad3c4ca2b088c3689dcd5d0b"/>
                          <w:lock w:val="sdtLocked"/>
                          <w:richText/>
                        </w:sdtPr>
                        <w:sdtContent>
                          <w:r>
                            <w:rPr>
                              <w:szCs w:val="24"/>
                              <w:lang w:eastAsia="lt-LT"/>
                            </w:rPr>
                            <w:t>35.2</w:t>
                          </w:r>
                        </w:sdtContent>
                      </w:sdt>
                      <w:r>
                        <w:rPr>
                          <w:szCs w:val="24"/>
                          <w:lang w:eastAsia="lt-LT"/>
                        </w:rPr>
                        <w:t>. 90 procentų Tarybos atlikto patikrinimo metu suskaičiuotos pajamų perviršio sumos, pridėjus neatitikimo dydį, padaugintą iš dviejų, taip pat delspinigius, lygius 0,03 procentinio punkto nuo papildomai mokėtinos perviršio pajamų sumos už kiekvieną pavėluotą dieną, kai Tarybos nustatytų neatitikimų dydis sudaro mažiau kaip 5 procentus nuo pajamų perviršio sumos.</w:t>
                      </w:r>
                    </w:p>
                  </w:sdtContent>
                </w:sdt>
              </w:sdtContent>
            </w:sdt>
            <w:sdt>
              <w:sdtPr>
                <w:alias w:val="36 p."/>
                <w:tag w:val="part_2b61a83b71e54390916788ce2ae37d05"/>
                <w:lock w:val="sdtLocked"/>
                <w:richText/>
              </w:sdtPr>
              <w:sdtContent>
                <w:p>
                  <w:pPr>
                    <w:tabs>
                      <w:tab w:val="left" w:pos="485"/>
                    </w:tabs>
                    <w:spacing w:line="276" w:lineRule="auto"/>
                    <w:ind w:firstLine="567"/>
                    <w:jc w:val="both"/>
                    <w:rPr>
                      <w:szCs w:val="24"/>
                      <w:lang w:eastAsia="lt-LT"/>
                    </w:rPr>
                  </w:pPr>
                  <w:sdt>
                    <w:sdtPr>
                      <w:alias w:val="Numeris"/>
                      <w:tag w:val="nr_2b61a83b71e54390916788ce2ae37d05"/>
                      <w:lock w:val="sdtLocked"/>
                      <w:richText/>
                    </w:sdtPr>
                    <w:sdtContent>
                      <w:r>
                        <w:rPr>
                          <w:szCs w:val="24"/>
                          <w:lang w:eastAsia="lt-LT"/>
                        </w:rPr>
                        <w:t>36</w:t>
                      </w:r>
                    </w:sdtContent>
                  </w:sdt>
                  <w:r>
                    <w:rPr>
                      <w:szCs w:val="24"/>
                      <w:lang w:eastAsia="lt-LT"/>
                    </w:rPr>
                    <w:t>. Tarybos vertinimas, nurodytas Metodikos 35 punkte, atliekamas ir sprendimas dėl vertinimo priimamas Tarybos posėdyje, T</w:t>
                  </w:r>
                  <w:r>
                    <w:rPr>
                      <w:szCs w:val="24"/>
                    </w:rPr>
                    <w:t>arybos darbo reglamento nustatyta tvarka</w:t>
                  </w:r>
                  <w:r>
                    <w:rPr>
                      <w:szCs w:val="24"/>
                      <w:lang w:eastAsia="lt-LT"/>
                    </w:rPr>
                    <w:t xml:space="preserve">. Taryba gali pradėti atlikti planinį arba neplaninį subjekto reguliuojamos veiklos patikrinimą vadovaudamasi </w:t>
                  </w:r>
                  <w:r>
                    <w:rPr>
                      <w:szCs w:val="24"/>
                    </w:rPr>
                    <w:t>Energetikos įmonių reguliuojamos veiklos patikrinimų tvarkos aprašo, patvirtinto Tarybos 2014 m. gegužės 26 d. nutarimu Nr. O3-140 „Dėl Energetikos įmonių reguliuojamos veiklos patikrinimų tvarkos aprašo patvirtinimo“</w:t>
                  </w:r>
                  <w:r>
                    <w:rPr>
                      <w:szCs w:val="24"/>
                      <w:lang w:eastAsia="lt-LT"/>
                    </w:rPr>
                    <w:t>, nuostatomis.</w:t>
                  </w:r>
                </w:p>
              </w:sdtContent>
            </w:sdt>
            <w:sdt>
              <w:sdtPr>
                <w:alias w:val="37 p."/>
                <w:tag w:val="part_0f20c0b6caa241c09f3ba60c3bed0a18"/>
                <w:lock w:val="sdtLocked"/>
                <w:richText/>
              </w:sdtPr>
              <w:sdtContent>
                <w:p>
                  <w:pPr>
                    <w:tabs>
                      <w:tab w:val="left" w:pos="485"/>
                    </w:tabs>
                    <w:spacing w:line="276" w:lineRule="auto"/>
                    <w:ind w:firstLine="567"/>
                    <w:jc w:val="both"/>
                    <w:rPr>
                      <w:szCs w:val="24"/>
                      <w:lang w:eastAsia="lt-LT"/>
                    </w:rPr>
                  </w:pPr>
                  <w:sdt>
                    <w:sdtPr>
                      <w:alias w:val="Numeris"/>
                      <w:tag w:val="nr_0f20c0b6caa241c09f3ba60c3bed0a18"/>
                      <w:lock w:val="sdtLocked"/>
                      <w:richText/>
                    </w:sdtPr>
                    <w:sdtContent>
                      <w:r>
                        <w:rPr>
                          <w:szCs w:val="24"/>
                          <w:lang w:eastAsia="lt-LT"/>
                        </w:rPr>
                        <w:t>37</w:t>
                      </w:r>
                    </w:sdtContent>
                  </w:sdt>
                  <w:r>
                    <w:rPr>
                      <w:szCs w:val="24"/>
                      <w:lang w:eastAsia="lt-LT"/>
                    </w:rPr>
                    <w:t>. Vadovaujantis Įstatymo 12 straipsnio 6 dalimi administratorius užtikrina lėšų iš pajamų perviršio mokėjimo subjektų surinkimą.</w:t>
                  </w:r>
                </w:p>
              </w:sdtContent>
            </w:sdt>
            <w:sdt>
              <w:sdtPr>
                <w:alias w:val="38 p."/>
                <w:tag w:val="part_50d1be13de454312bfc49c3c632d85c9"/>
                <w:lock w:val="sdtLocked"/>
                <w:richText/>
              </w:sdtPr>
              <w:sdtContent>
                <w:p>
                  <w:pPr>
                    <w:tabs>
                      <w:tab w:val="left" w:pos="485"/>
                    </w:tabs>
                    <w:spacing w:line="276" w:lineRule="auto"/>
                    <w:ind w:firstLine="567"/>
                    <w:jc w:val="both"/>
                    <w:rPr>
                      <w:szCs w:val="24"/>
                      <w:lang w:eastAsia="lt-LT"/>
                    </w:rPr>
                  </w:pPr>
                  <w:sdt>
                    <w:sdtPr>
                      <w:alias w:val="Numeris"/>
                      <w:tag w:val="nr_50d1be13de454312bfc49c3c632d85c9"/>
                      <w:lock w:val="sdtLocked"/>
                      <w:richText/>
                    </w:sdtPr>
                    <w:sdtContent>
                      <w:r>
                        <w:rPr>
                          <w:szCs w:val="24"/>
                          <w:lang w:eastAsia="lt-LT"/>
                        </w:rPr>
                        <w:t>38</w:t>
                      </w:r>
                    </w:sdtContent>
                  </w:sdt>
                  <w:r>
                    <w:rPr>
                      <w:szCs w:val="24"/>
                      <w:lang w:eastAsia="lt-LT"/>
                    </w:rPr>
                    <w:t>. Vadovaujantis Įstatymo 12 straipsnio 7 dalimi, kilus pagrįstų abejonių dėl pateiktų duomenų ar skaičiavimų teisingumo ir (ar) patikimumo, administratorius turi teisę reikalauti, o duomenis ir (ar) dokumentus pateikęs asmuo – pareigą pateikti papildomus duomenis ir (ar) dokumentus, pagrindžiančius duomenų teisingumą ir (ar) patikimumą.</w:t>
                  </w:r>
                </w:p>
              </w:sdtContent>
            </w:sdt>
            <w:sdt>
              <w:sdtPr>
                <w:alias w:val="39 p."/>
                <w:tag w:val="part_afd8f2d6d24841a4a44ccf0d76068278"/>
                <w:lock w:val="sdtLocked"/>
                <w:richText/>
              </w:sdtPr>
              <w:sdtContent>
                <w:p>
                  <w:pPr>
                    <w:tabs>
                      <w:tab w:val="left" w:pos="485"/>
                    </w:tabs>
                    <w:spacing w:line="276" w:lineRule="auto"/>
                    <w:ind w:firstLine="567"/>
                    <w:jc w:val="both"/>
                    <w:rPr>
                      <w:szCs w:val="24"/>
                      <w:lang w:eastAsia="lt-LT"/>
                    </w:rPr>
                  </w:pPr>
                  <w:sdt>
                    <w:sdtPr>
                      <w:alias w:val="Numeris"/>
                      <w:tag w:val="nr_afd8f2d6d24841a4a44ccf0d76068278"/>
                      <w:lock w:val="sdtLocked"/>
                      <w:richText/>
                    </w:sdtPr>
                    <w:sdtContent>
                      <w:r>
                        <w:rPr>
                          <w:szCs w:val="24"/>
                          <w:lang w:eastAsia="lt-LT"/>
                        </w:rPr>
                        <w:t>39</w:t>
                      </w:r>
                    </w:sdtContent>
                  </w:sdt>
                  <w:r>
                    <w:rPr>
                      <w:szCs w:val="24"/>
                      <w:lang w:eastAsia="lt-LT"/>
                    </w:rPr>
                    <w:t>. Vadovaujantis Įstatymo 12 straipsnio 8 dalimi už duomenų nepateikimą ir (ar) neteisingą pajamų perviršio suskaičiavimą Taryba taiko Lietuvos Respublikos energetikos įstatymo 36 straipsnyje nustatytas sankcijas.</w:t>
                  </w:r>
                </w:p>
              </w:sdtContent>
            </w:sdt>
            <w:sdt>
              <w:sdtPr>
                <w:alias w:val="40 p."/>
                <w:tag w:val="part_f519836ee81b43009f3c1c167250f5d3"/>
                <w:lock w:val="sdtLocked"/>
                <w:richText/>
              </w:sdtPr>
              <w:sdtContent>
                <w:p>
                  <w:pPr>
                    <w:tabs>
                      <w:tab w:val="left" w:pos="485"/>
                    </w:tabs>
                    <w:spacing w:line="276" w:lineRule="auto"/>
                    <w:ind w:firstLine="567"/>
                    <w:jc w:val="both"/>
                    <w:rPr>
                      <w:szCs w:val="24"/>
                      <w:lang w:eastAsia="lt-LT"/>
                    </w:rPr>
                  </w:pPr>
                  <w:sdt>
                    <w:sdtPr>
                      <w:alias w:val="Numeris"/>
                      <w:tag w:val="nr_f519836ee81b43009f3c1c167250f5d3"/>
                      <w:lock w:val="sdtLocked"/>
                      <w:richText/>
                    </w:sdtPr>
                    <w:sdtContent>
                      <w:r>
                        <w:rPr>
                          <w:szCs w:val="24"/>
                          <w:lang w:eastAsia="lt-LT"/>
                        </w:rPr>
                        <w:t>40</w:t>
                      </w:r>
                    </w:sdtContent>
                  </w:sdt>
                  <w:r>
                    <w:rPr>
                      <w:szCs w:val="24"/>
                      <w:lang w:eastAsia="lt-LT"/>
                    </w:rPr>
                    <w:t>. Administratorius per 20 darbo dienų nuo kalendorinio mėnesio, einančio po ataskaitinio mėnesio pabaigos, Tarybai teikia informaciją apie subjektų rinkos pajamas ir pajamų perviršį ir su jo nustatymu susijusią informaciją.</w:t>
                  </w:r>
                </w:p>
              </w:sdtContent>
            </w:sdt>
            <w:sdt>
              <w:sdtPr>
                <w:alias w:val="41 p."/>
                <w:tag w:val="part_6e0b0bf0bc974c44aba561dd26b54128"/>
                <w:lock w:val="sdtLocked"/>
                <w:richText/>
              </w:sdtPr>
              <w:sdtContent>
                <w:p>
                  <w:pPr>
                    <w:tabs>
                      <w:tab w:val="left" w:pos="485"/>
                    </w:tabs>
                    <w:spacing w:line="276" w:lineRule="auto"/>
                    <w:ind w:firstLine="567"/>
                    <w:jc w:val="both"/>
                    <w:rPr>
                      <w:szCs w:val="24"/>
                      <w:lang w:eastAsia="lt-LT"/>
                    </w:rPr>
                  </w:pPr>
                  <w:sdt>
                    <w:sdtPr>
                      <w:alias w:val="Numeris"/>
                      <w:tag w:val="nr_6e0b0bf0bc974c44aba561dd26b54128"/>
                      <w:lock w:val="sdtLocked"/>
                      <w:richText/>
                    </w:sdtPr>
                    <w:sdtContent>
                      <w:r>
                        <w:rPr>
                          <w:szCs w:val="24"/>
                          <w:lang w:eastAsia="lt-LT"/>
                        </w:rPr>
                        <w:t>41</w:t>
                      </w:r>
                    </w:sdtContent>
                  </w:sdt>
                  <w:r>
                    <w:rPr>
                      <w:szCs w:val="24"/>
                      <w:lang w:eastAsia="lt-LT"/>
                    </w:rPr>
                    <w:t>. Administratorius turi pareigą per 20 darbo dienų nuo deklaracijos gavimo datos ir visos vertinimui atlikti reikalingos informacijos gavimo datos įvertinti pateiktos deklaracijos atitiktį Metodikai ir esant neatitikimams apie tai nedelsiant informuoti Tarybą.</w:t>
                  </w:r>
                </w:p>
              </w:sdtContent>
            </w:sdt>
            <w:sdt>
              <w:sdtPr>
                <w:alias w:val="42 p."/>
                <w:tag w:val="part_480f24c0ee1340cfab1a279fb48ef1c8"/>
                <w:lock w:val="sdtLocked"/>
                <w:richText/>
              </w:sdtPr>
              <w:sdtContent>
                <w:p>
                  <w:pPr>
                    <w:tabs>
                      <w:tab w:val="left" w:pos="485"/>
                    </w:tabs>
                    <w:spacing w:line="276" w:lineRule="auto"/>
                    <w:ind w:firstLine="567"/>
                    <w:jc w:val="both"/>
                    <w:rPr>
                      <w:szCs w:val="24"/>
                      <w:lang w:eastAsia="lt-LT"/>
                    </w:rPr>
                  </w:pPr>
                  <w:sdt>
                    <w:sdtPr>
                      <w:alias w:val="Numeris"/>
                      <w:tag w:val="nr_480f24c0ee1340cfab1a279fb48ef1c8"/>
                      <w:lock w:val="sdtLocked"/>
                      <w:richText/>
                    </w:sdtPr>
                    <w:sdtContent>
                      <w:r>
                        <w:rPr>
                          <w:szCs w:val="24"/>
                          <w:lang w:eastAsia="lt-LT"/>
                        </w:rPr>
                        <w:t>42</w:t>
                      </w:r>
                    </w:sdtContent>
                  </w:sdt>
                  <w:r>
                    <w:rPr>
                      <w:szCs w:val="24"/>
                      <w:lang w:eastAsia="lt-LT"/>
                    </w:rPr>
                    <w:t>. Vadovaudamasi Įstatymo 12 straipsnio 3 dalimi, Taryba turi teisę teikti lėšų administratoriui informaciją, reikalingą jo šiame įstatyme numatytoms pareigoms vykdyti. Ši informacija teikiama atsižvelgus į pagrįstą administratoriaus prašymą.</w:t>
                  </w:r>
                </w:p>
              </w:sdtContent>
            </w:sdt>
            <w:sdt>
              <w:sdtPr>
                <w:alias w:val="43 p."/>
                <w:tag w:val="part_889b715d1f344e96a44e5521b8028000"/>
                <w:lock w:val="sdtLocked"/>
                <w:richText/>
              </w:sdtPr>
              <w:sdtContent>
                <w:p>
                  <w:pPr>
                    <w:tabs>
                      <w:tab w:val="left" w:pos="485"/>
                    </w:tabs>
                    <w:spacing w:line="276" w:lineRule="auto"/>
                    <w:ind w:firstLine="567"/>
                    <w:jc w:val="both"/>
                    <w:rPr>
                      <w:szCs w:val="24"/>
                      <w:lang w:eastAsia="lt-LT"/>
                    </w:rPr>
                  </w:pPr>
                  <w:sdt>
                    <w:sdtPr>
                      <w:alias w:val="Numeris"/>
                      <w:tag w:val="nr_889b715d1f344e96a44e5521b8028000"/>
                      <w:lock w:val="sdtLocked"/>
                      <w:richText/>
                    </w:sdtPr>
                    <w:sdtContent>
                      <w:r>
                        <w:rPr>
                          <w:szCs w:val="24"/>
                          <w:lang w:eastAsia="lt-LT"/>
                        </w:rPr>
                        <w:t>43</w:t>
                      </w:r>
                    </w:sdtContent>
                  </w:sdt>
                  <w:r>
                    <w:rPr>
                      <w:szCs w:val="24"/>
                      <w:lang w:eastAsia="lt-LT"/>
                    </w:rPr>
                    <w:t xml:space="preserve">. </w:t>
                  </w:r>
                  <w:r>
                    <w:rPr>
                      <w:szCs w:val="24"/>
                    </w:rPr>
                    <w:t>Perdavimo sistemos operatorius ir skirstomųjų tinklų operatoriai administratoriui pateikia duomenis apie subjektų, prijungtų jų valdomo tinklo energetikos įrenginių ir objektų sąrašą, nurodant subjekto pavadinimą, kodą, elektros energijos gamybai naudojamus išteklius, įrenginių galią, energijos identifikavimo kodą (EIK), leidimo gaminti numerį, jei žinomi – subjekto kontaktinius duomenis ir esant jo pasikeitimams jį atnaujina.</w:t>
                  </w:r>
                </w:p>
              </w:sdtContent>
            </w:sdt>
            <w:sdt>
              <w:sdtPr>
                <w:alias w:val="44 p."/>
                <w:tag w:val="part_c62673bae2514f7985b8a439ddba9753"/>
                <w:lock w:val="sdtLocked"/>
                <w:richText/>
              </w:sdtPr>
              <w:sdtContent>
                <w:p>
                  <w:pPr>
                    <w:tabs>
                      <w:tab w:val="left" w:pos="485"/>
                    </w:tabs>
                    <w:spacing w:line="276" w:lineRule="auto"/>
                    <w:ind w:firstLine="567"/>
                    <w:jc w:val="both"/>
                    <w:rPr>
                      <w:szCs w:val="24"/>
                      <w:lang w:eastAsia="lt-LT"/>
                    </w:rPr>
                  </w:pPr>
                  <w:sdt>
                    <w:sdtPr>
                      <w:alias w:val="Numeris"/>
                      <w:tag w:val="nr_c62673bae2514f7985b8a439ddba9753"/>
                      <w:lock w:val="sdtLocked"/>
                      <w:richText/>
                    </w:sdtPr>
                    <w:sdtContent>
                      <w:r>
                        <w:rPr>
                          <w:szCs w:val="24"/>
                          <w:lang w:eastAsia="lt-LT"/>
                        </w:rPr>
                        <w:t>44</w:t>
                      </w:r>
                    </w:sdtContent>
                  </w:sdt>
                  <w:r>
                    <w:rPr>
                      <w:szCs w:val="24"/>
                      <w:lang w:eastAsia="lt-LT"/>
                    </w:rPr>
                    <w:t xml:space="preserve">. </w:t>
                  </w:r>
                  <w:r>
                    <w:rPr>
                      <w:szCs w:val="24"/>
                    </w:rPr>
                    <w:t xml:space="preserve">Perdavimo sistemos operatorius ir skirstomųjų tinklų operatoriai ne vėliau kaip iki kiekvieno mėnesio, einančio po ataskaitinio mėnesio, 10 darbo dienų administratoriui pateikia duomenis apie subjektų, prijungtų prie jų valdomo tinklo per praėjusį ataskaitinį mėnesį faktiškai pagamintą ir į elektros tinklus patiektą elektros energijos kiekį. Duomenys teikiami atsiskaitymo už disbalansą laikotarpio tikslumu (valandos tikslumu). </w:t>
                  </w:r>
                  <w:r>
                    <w:rPr>
                      <w:bCs/>
                      <w:szCs w:val="24"/>
                      <w:lang w:eastAsia="lt-LT"/>
                    </w:rPr>
                    <w:t>Tuo atveju, jeigu subjektai elektros energiją parduoda pagal fiksuotas elektros energijos kainas, operatoriai administratoriui pateikia subjekto per mėnesį į tinklą patiektus elektros energijos kiekius mėnesio tikslumu.</w:t>
                  </w:r>
                </w:p>
              </w:sdtContent>
            </w:sdt>
            <w:sdt>
              <w:sdtPr>
                <w:alias w:val="45 p."/>
                <w:tag w:val="part_0004f61da5ea4f18ab306a4fe30d9fdc"/>
                <w:lock w:val="sdtLocked"/>
                <w:richText/>
              </w:sdtPr>
              <w:sdtContent>
                <w:p>
                  <w:pPr>
                    <w:tabs>
                      <w:tab w:val="left" w:pos="485"/>
                    </w:tabs>
                    <w:spacing w:line="276" w:lineRule="auto"/>
                    <w:ind w:firstLine="567"/>
                    <w:jc w:val="both"/>
                    <w:rPr>
                      <w:szCs w:val="24"/>
                      <w:lang w:eastAsia="lt-LT"/>
                    </w:rPr>
                  </w:pPr>
                  <w:sdt>
                    <w:sdtPr>
                      <w:alias w:val="Numeris"/>
                      <w:tag w:val="nr_0004f61da5ea4f18ab306a4fe30d9fdc"/>
                      <w:lock w:val="sdtLocked"/>
                      <w:richText/>
                    </w:sdtPr>
                    <w:sdtContent>
                      <w:r>
                        <w:rPr>
                          <w:szCs w:val="24"/>
                          <w:lang w:eastAsia="lt-LT"/>
                        </w:rPr>
                        <w:t>45</w:t>
                      </w:r>
                    </w:sdtContent>
                  </w:sdt>
                  <w:r>
                    <w:rPr>
                      <w:szCs w:val="24"/>
                      <w:lang w:eastAsia="lt-LT"/>
                    </w:rPr>
                    <w:t xml:space="preserve">. </w:t>
                  </w:r>
                  <w:r>
                    <w:rPr>
                      <w:szCs w:val="24"/>
                    </w:rPr>
                    <w:t xml:space="preserve">Subjektai, </w:t>
                  </w:r>
                  <w:r>
                    <w:rPr>
                      <w:szCs w:val="24"/>
                      <w:lang w:eastAsia="lt-LT"/>
                    </w:rPr>
                    <w:t>įgyvendindami Reglamento (ES) 2022/1854 7 straipsnio 6 dalies nuostatą, papildomai su deklaracija privalo</w:t>
                  </w:r>
                  <w:r>
                    <w:rPr>
                      <w:szCs w:val="24"/>
                    </w:rPr>
                    <w:t xml:space="preserve"> administratoriui pateikti </w:t>
                  </w:r>
                  <w:r>
                    <w:rPr>
                      <w:szCs w:val="24"/>
                      <w:lang w:eastAsia="lt-LT"/>
                    </w:rPr>
                    <w:t>žemiau nurodytus</w:t>
                  </w:r>
                  <w:r>
                    <w:rPr>
                      <w:szCs w:val="24"/>
                    </w:rPr>
                    <w:t xml:space="preserve"> duomenis ir (ar) dokumentus ne vėliau kaip iki kalendorinio mėnesio, einančio po ataskaitinio mėnesio pabaigos:</w:t>
                  </w:r>
                </w:p>
                <w:sdt>
                  <w:sdtPr>
                    <w:alias w:val="45.1 pp."/>
                    <w:tag w:val="part_993ee841eadb4e2c97a5c76e0333e33e"/>
                    <w:lock w:val="sdtLocked"/>
                    <w:richText/>
                  </w:sdtPr>
                  <w:sdtContent>
                    <w:p>
                      <w:pPr>
                        <w:tabs>
                          <w:tab w:val="left" w:pos="485"/>
                        </w:tabs>
                        <w:spacing w:line="276" w:lineRule="auto"/>
                        <w:ind w:firstLine="720"/>
                        <w:jc w:val="both"/>
                        <w:rPr>
                          <w:szCs w:val="24"/>
                          <w:lang w:eastAsia="lt-LT"/>
                        </w:rPr>
                      </w:pPr>
                      <w:sdt>
                        <w:sdtPr>
                          <w:alias w:val="Numeris"/>
                          <w:tag w:val="nr_993ee841eadb4e2c97a5c76e0333e33e"/>
                          <w:lock w:val="sdtLocked"/>
                          <w:richText/>
                        </w:sdtPr>
                        <w:sdtContent>
                          <w:r>
                            <w:rPr>
                              <w:szCs w:val="24"/>
                              <w:lang w:eastAsia="lt-LT"/>
                            </w:rPr>
                            <w:t>45.1</w:t>
                          </w:r>
                        </w:sdtContent>
                      </w:sdt>
                      <w:r>
                        <w:rPr>
                          <w:szCs w:val="24"/>
                          <w:lang w:eastAsia="lt-LT"/>
                        </w:rPr>
                        <w:t>. pajamų perviršio apskaičiavimo detalizaciją su paaiškinimais (MS Excel ar analogišku formatu);</w:t>
                      </w:r>
                    </w:p>
                  </w:sdtContent>
                </w:sdt>
                <w:sdt>
                  <w:sdtPr>
                    <w:alias w:val="45.2 pp."/>
                    <w:tag w:val="part_080b1459e57f4fd381436cd58bf4fe38"/>
                    <w:lock w:val="sdtLocked"/>
                    <w:richText/>
                  </w:sdtPr>
                  <w:sdtContent>
                    <w:p>
                      <w:pPr>
                        <w:tabs>
                          <w:tab w:val="left" w:pos="485"/>
                        </w:tabs>
                        <w:spacing w:line="276" w:lineRule="auto"/>
                        <w:ind w:firstLine="720"/>
                        <w:jc w:val="both"/>
                        <w:rPr>
                          <w:szCs w:val="24"/>
                          <w:lang w:eastAsia="lt-LT"/>
                        </w:rPr>
                      </w:pPr>
                      <w:sdt>
                        <w:sdtPr>
                          <w:alias w:val="Numeris"/>
                          <w:tag w:val="nr_080b1459e57f4fd381436cd58bf4fe38"/>
                          <w:lock w:val="sdtLocked"/>
                          <w:richText/>
                        </w:sdtPr>
                        <w:sdtContent>
                          <w:r>
                            <w:rPr>
                              <w:szCs w:val="24"/>
                              <w:lang w:eastAsia="lt-LT"/>
                            </w:rPr>
                            <w:t>45.2</w:t>
                          </w:r>
                        </w:sdtContent>
                      </w:sdt>
                      <w:r>
                        <w:rPr>
                          <w:szCs w:val="24"/>
                          <w:lang w:eastAsia="lt-LT"/>
                        </w:rPr>
                        <w:t>. elektros energijos biržoje sudarytų sandorių duomenis (kainos ir kiekiai kas valandą);</w:t>
                      </w:r>
                    </w:p>
                  </w:sdtContent>
                </w:sdt>
                <w:sdt>
                  <w:sdtPr>
                    <w:alias w:val="45.3 pp."/>
                    <w:tag w:val="part_e516fa67b29b41599381a41dcf671695"/>
                    <w:lock w:val="sdtLocked"/>
                    <w:richText/>
                  </w:sdtPr>
                  <w:sdtContent>
                    <w:p>
                      <w:pPr>
                        <w:tabs>
                          <w:tab w:val="left" w:pos="485"/>
                        </w:tabs>
                        <w:spacing w:line="276" w:lineRule="auto"/>
                        <w:ind w:firstLine="720"/>
                        <w:jc w:val="both"/>
                        <w:rPr>
                          <w:szCs w:val="24"/>
                          <w:lang w:eastAsia="lt-LT"/>
                        </w:rPr>
                      </w:pPr>
                      <w:sdt>
                        <w:sdtPr>
                          <w:alias w:val="Numeris"/>
                          <w:tag w:val="nr_e516fa67b29b41599381a41dcf671695"/>
                          <w:lock w:val="sdtLocked"/>
                          <w:richText/>
                        </w:sdtPr>
                        <w:sdtContent>
                          <w:r>
                            <w:rPr>
                              <w:szCs w:val="24"/>
                              <w:lang w:eastAsia="lt-LT"/>
                            </w:rPr>
                            <w:t>45.3</w:t>
                          </w:r>
                        </w:sdtContent>
                      </w:sdt>
                      <w:r>
                        <w:rPr>
                          <w:szCs w:val="24"/>
                          <w:lang w:eastAsia="lt-LT"/>
                        </w:rPr>
                        <w:t>. pagal galiojančias ir (ar) sudarytas dvišales pirkimo–pardavimo sutartis dėl elektros energijos prekybos duomenis (kainos, kiekiai ir sumos);</w:t>
                      </w:r>
                    </w:p>
                  </w:sdtContent>
                </w:sdt>
                <w:sdt>
                  <w:sdtPr>
                    <w:alias w:val="45.4 pp."/>
                    <w:tag w:val="part_564d01482180486799f7e0e16d5a74b5"/>
                    <w:lock w:val="sdtLocked"/>
                    <w:richText/>
                  </w:sdtPr>
                  <w:sdtContent>
                    <w:p>
                      <w:pPr>
                        <w:tabs>
                          <w:tab w:val="left" w:pos="485"/>
                        </w:tabs>
                        <w:spacing w:line="276" w:lineRule="auto"/>
                        <w:ind w:firstLine="720"/>
                        <w:jc w:val="both"/>
                        <w:rPr>
                          <w:szCs w:val="24"/>
                          <w:lang w:eastAsia="lt-LT"/>
                        </w:rPr>
                      </w:pPr>
                      <w:sdt>
                        <w:sdtPr>
                          <w:alias w:val="Numeris"/>
                          <w:tag w:val="nr_564d01482180486799f7e0e16d5a74b5"/>
                          <w:lock w:val="sdtLocked"/>
                          <w:richText/>
                        </w:sdtPr>
                        <w:sdtContent>
                          <w:r>
                            <w:rPr>
                              <w:szCs w:val="24"/>
                              <w:lang w:eastAsia="lt-LT"/>
                            </w:rPr>
                            <w:t>45.4</w:t>
                          </w:r>
                        </w:sdtContent>
                      </w:sdt>
                      <w:r>
                        <w:rPr>
                          <w:szCs w:val="24"/>
                          <w:lang w:eastAsia="lt-LT"/>
                        </w:rPr>
                        <w:t>. pagal galiojančius ir (ar) sudarytus sandorius dėl elektros energijos išvestinių finansinių priemonių (kainos, kiekiai ir sumos);</w:t>
                      </w:r>
                    </w:p>
                  </w:sdtContent>
                </w:sdt>
                <w:sdt>
                  <w:sdtPr>
                    <w:alias w:val="45.5 pp."/>
                    <w:tag w:val="part_34016bf86f5640c0988430de285c7657"/>
                    <w:lock w:val="sdtLocked"/>
                    <w:richText/>
                  </w:sdtPr>
                  <w:sdtContent>
                    <w:p>
                      <w:pPr>
                        <w:tabs>
                          <w:tab w:val="left" w:pos="485"/>
                        </w:tabs>
                        <w:spacing w:line="276" w:lineRule="auto"/>
                        <w:ind w:firstLine="720"/>
                        <w:jc w:val="both"/>
                        <w:rPr>
                          <w:szCs w:val="24"/>
                          <w:lang w:eastAsia="lt-LT"/>
                        </w:rPr>
                      </w:pPr>
                      <w:sdt>
                        <w:sdtPr>
                          <w:alias w:val="Numeris"/>
                          <w:tag w:val="nr_34016bf86f5640c0988430de285c7657"/>
                          <w:lock w:val="sdtLocked"/>
                          <w:richText/>
                        </w:sdtPr>
                        <w:sdtContent>
                          <w:r>
                            <w:rPr>
                              <w:szCs w:val="24"/>
                              <w:lang w:eastAsia="lt-LT"/>
                            </w:rPr>
                            <w:t>45.5</w:t>
                          </w:r>
                        </w:sdtContent>
                      </w:sdt>
                      <w:r>
                        <w:rPr>
                          <w:szCs w:val="24"/>
                          <w:lang w:eastAsia="lt-LT"/>
                        </w:rPr>
                        <w:t>. subjektui pateiktų ir subjekto išrašytų PVM sąskaitų–faktūrų, susijusių su 45.3–45.4 papunkčiuose nurodytomis sutartimis, kopijas;</w:t>
                      </w:r>
                    </w:p>
                  </w:sdtContent>
                </w:sdt>
                <w:sdt>
                  <w:sdtPr>
                    <w:alias w:val="45.6 pp."/>
                    <w:tag w:val="part_7126ad026645483dae22cd5e98686761"/>
                    <w:lock w:val="sdtLocked"/>
                    <w:richText/>
                  </w:sdtPr>
                  <w:sdtContent>
                    <w:p>
                      <w:pPr>
                        <w:tabs>
                          <w:tab w:val="left" w:pos="485"/>
                        </w:tabs>
                        <w:spacing w:line="276" w:lineRule="auto"/>
                        <w:ind w:firstLine="720"/>
                        <w:jc w:val="both"/>
                        <w:rPr>
                          <w:szCs w:val="24"/>
                          <w:lang w:eastAsia="lt-LT"/>
                        </w:rPr>
                      </w:pPr>
                      <w:sdt>
                        <w:sdtPr>
                          <w:alias w:val="Numeris"/>
                          <w:tag w:val="nr_7126ad026645483dae22cd5e98686761"/>
                          <w:lock w:val="sdtLocked"/>
                          <w:richText/>
                        </w:sdtPr>
                        <w:sdtContent>
                          <w:r>
                            <w:rPr>
                              <w:szCs w:val="24"/>
                              <w:lang w:eastAsia="lt-LT"/>
                            </w:rPr>
                            <w:t>45.6</w:t>
                          </w:r>
                        </w:sdtContent>
                      </w:sdt>
                      <w:r>
                        <w:rPr>
                          <w:szCs w:val="24"/>
                          <w:lang w:eastAsia="lt-LT"/>
                        </w:rPr>
                        <w:t>. subjektų, kuriems taikoma Įstatymo 11 straipsnio 10 dalis, patirtus faktinius elektros energijos gamybos kintamuosius kaštus, valandos tikslumu;</w:t>
                      </w:r>
                    </w:p>
                  </w:sdtContent>
                </w:sdt>
                <w:sdt>
                  <w:sdtPr>
                    <w:alias w:val="45.7 pp."/>
                    <w:tag w:val="part_819608f8956b4e05b0b966e3c62caab8"/>
                    <w:lock w:val="sdtLocked"/>
                    <w:richText/>
                  </w:sdtPr>
                  <w:sdtContent>
                    <w:p>
                      <w:pPr>
                        <w:tabs>
                          <w:tab w:val="left" w:pos="485"/>
                        </w:tabs>
                        <w:spacing w:line="276" w:lineRule="auto"/>
                        <w:ind w:firstLine="720"/>
                        <w:jc w:val="both"/>
                        <w:rPr>
                          <w:szCs w:val="24"/>
                          <w:lang w:eastAsia="lt-LT"/>
                        </w:rPr>
                      </w:pPr>
                      <w:sdt>
                        <w:sdtPr>
                          <w:alias w:val="Numeris"/>
                          <w:tag w:val="nr_819608f8956b4e05b0b966e3c62caab8"/>
                          <w:lock w:val="sdtLocked"/>
                          <w:richText/>
                        </w:sdtPr>
                        <w:sdtContent>
                          <w:r>
                            <w:rPr>
                              <w:szCs w:val="24"/>
                              <w:lang w:eastAsia="lt-LT"/>
                            </w:rPr>
                            <w:t>45.7</w:t>
                          </w:r>
                        </w:sdtContent>
                      </w:sdt>
                      <w:r>
                        <w:rPr>
                          <w:szCs w:val="24"/>
                          <w:lang w:eastAsia="lt-LT"/>
                        </w:rPr>
                        <w:t xml:space="preserve">. informaciją apie susijusius asmenis, atskleidžiant detalią informaciją apie susijusius asmenis, siekiant nustatyti, ar subjektų bei su subjektais susijusių asmenų nuosavybės teise ar kitais teisėtais pagrindais valdomų elektros energijos gamybos įrenginių, elektros energijos gamybai naudojančių Reglamento (ES) 2022/1854 7 straipsnio 1 dalyje nurodytus išteklius, įrengtųjų galių suma neviršija </w:t>
                      </w:r>
                      <w:r>
                        <w:rPr>
                          <w:szCs w:val="24"/>
                        </w:rPr>
                        <w:t xml:space="preserve">(yra mažesnė arba lygi) </w:t>
                      </w:r>
                      <w:r>
                        <w:rPr>
                          <w:szCs w:val="24"/>
                          <w:lang w:eastAsia="lt-LT"/>
                        </w:rPr>
                        <w:t>1 MW. Taip pat siekiant užtikrinti lėšų iš pajamų perviršio mokėjimo subjektų deklaravimo teisingumą, Įstatymo 11 straipsnio 4 dalyje nustatytais atvejais informaciją dėl su sandorio sudarymu susijusių sąnaudų, kai sandorius sudaro ne pats subjektas, bet su juo susijusios įmonės;</w:t>
                      </w:r>
                    </w:p>
                  </w:sdtContent>
                </w:sdt>
                <w:sdt>
                  <w:sdtPr>
                    <w:alias w:val="45.8 pp."/>
                    <w:tag w:val="part_a46799cd0aef4063b8f76c75187e7a1f"/>
                    <w:lock w:val="sdtLocked"/>
                    <w:richText/>
                  </w:sdtPr>
                  <w:sdtContent>
                    <w:p>
                      <w:pPr>
                        <w:tabs>
                          <w:tab w:val="left" w:pos="485"/>
                        </w:tabs>
                        <w:spacing w:line="276" w:lineRule="auto"/>
                        <w:ind w:firstLine="720"/>
                        <w:jc w:val="both"/>
                        <w:rPr>
                          <w:szCs w:val="24"/>
                          <w:lang w:eastAsia="lt-LT"/>
                        </w:rPr>
                      </w:pPr>
                      <w:sdt>
                        <w:sdtPr>
                          <w:alias w:val="Numeris"/>
                          <w:tag w:val="nr_a46799cd0aef4063b8f76c75187e7a1f"/>
                          <w:lock w:val="sdtLocked"/>
                          <w:richText/>
                        </w:sdtPr>
                        <w:sdtContent>
                          <w:r>
                            <w:rPr>
                              <w:szCs w:val="24"/>
                              <w:lang w:eastAsia="lt-LT"/>
                            </w:rPr>
                            <w:t>45.8</w:t>
                          </w:r>
                        </w:sdtContent>
                      </w:sdt>
                      <w:r>
                        <w:rPr>
                          <w:szCs w:val="24"/>
                          <w:lang w:eastAsia="lt-LT"/>
                        </w:rPr>
                        <w:t>. informaciją apie šiame punkte nurodytos informacijos pasikeitimus;</w:t>
                      </w:r>
                    </w:p>
                  </w:sdtContent>
                </w:sdt>
                <w:sdt>
                  <w:sdtPr>
                    <w:alias w:val="45.9 pp."/>
                    <w:tag w:val="part_fd31a69c2648432bb26c2769f4ef63f9"/>
                    <w:lock w:val="sdtLocked"/>
                    <w:richText/>
                  </w:sdtPr>
                  <w:sdtContent>
                    <w:p>
                      <w:pPr>
                        <w:tabs>
                          <w:tab w:val="left" w:pos="485"/>
                        </w:tabs>
                        <w:spacing w:line="276" w:lineRule="auto"/>
                        <w:ind w:firstLine="720"/>
                        <w:jc w:val="both"/>
                        <w:rPr>
                          <w:szCs w:val="24"/>
                          <w:lang w:eastAsia="lt-LT"/>
                        </w:rPr>
                      </w:pPr>
                      <w:sdt>
                        <w:sdtPr>
                          <w:alias w:val="Numeris"/>
                          <w:tag w:val="nr_fd31a69c2648432bb26c2769f4ef63f9"/>
                          <w:lock w:val="sdtLocked"/>
                          <w:richText/>
                        </w:sdtPr>
                        <w:sdtContent>
                          <w:r>
                            <w:rPr>
                              <w:szCs w:val="24"/>
                              <w:lang w:eastAsia="lt-LT"/>
                            </w:rPr>
                            <w:t>45.9</w:t>
                          </w:r>
                        </w:sdtContent>
                      </w:sdt>
                      <w:r>
                        <w:rPr>
                          <w:szCs w:val="24"/>
                          <w:lang w:eastAsia="lt-LT"/>
                        </w:rPr>
                        <w:t>. kitą su pajamų perviršio nustatymu susijusią informaciją vadovaudamiesi administratoriaus arba Tarybos prašymu.</w:t>
                      </w:r>
                    </w:p>
                  </w:sdtContent>
                </w:sdt>
              </w:sdtContent>
            </w:sdt>
            <w:sdt>
              <w:sdtPr>
                <w:alias w:val="46 p."/>
                <w:tag w:val="part_d42bc238e4d8467caedb893517fc3de3"/>
                <w:lock w:val="sdtLocked"/>
                <w:richText/>
              </w:sdtPr>
              <w:sdtContent>
                <w:p>
                  <w:pPr>
                    <w:tabs>
                      <w:tab w:val="left" w:pos="485"/>
                    </w:tabs>
                    <w:spacing w:line="276" w:lineRule="auto"/>
                    <w:ind w:firstLine="720"/>
                    <w:jc w:val="both"/>
                    <w:rPr>
                      <w:szCs w:val="24"/>
                      <w:lang w:eastAsia="lt-LT"/>
                    </w:rPr>
                  </w:pPr>
                  <w:sdt>
                    <w:sdtPr>
                      <w:alias w:val="Numeris"/>
                      <w:tag w:val="nr_d42bc238e4d8467caedb893517fc3de3"/>
                      <w:lock w:val="sdtLocked"/>
                      <w:richText/>
                    </w:sdtPr>
                    <w:sdtContent>
                      <w:r>
                        <w:rPr>
                          <w:szCs w:val="24"/>
                          <w:lang w:eastAsia="lt-LT"/>
                        </w:rPr>
                        <w:t>46</w:t>
                      </w:r>
                    </w:sdtContent>
                  </w:sdt>
                  <w:r>
                    <w:rPr>
                      <w:szCs w:val="24"/>
                      <w:lang w:eastAsia="lt-LT"/>
                    </w:rPr>
                    <w:t>. Informacija nurodyta 45 punkte administratoriui nėra teikiama su deklaracijomis už kitus ataskaitinius laikotarpius, jeigu tokia informacija jau buvo pateikta praeityje.</w:t>
                  </w:r>
                </w:p>
              </w:sdtContent>
            </w:sdt>
            <w:sdt>
              <w:sdtPr>
                <w:alias w:val="47 p."/>
                <w:tag w:val="part_bbddfdccfab04c8c8e59b6b9659e2fc0"/>
                <w:lock w:val="sdtLocked"/>
                <w:richText/>
              </w:sdtPr>
              <w:sdtContent>
                <w:p>
                  <w:pPr>
                    <w:tabs>
                      <w:tab w:val="left" w:pos="485"/>
                    </w:tabs>
                    <w:spacing w:line="276" w:lineRule="auto"/>
                    <w:ind w:firstLine="720"/>
                    <w:jc w:val="both"/>
                    <w:rPr>
                      <w:szCs w:val="24"/>
                      <w:lang w:eastAsia="lt-LT"/>
                    </w:rPr>
                  </w:pPr>
                  <w:sdt>
                    <w:sdtPr>
                      <w:alias w:val="Numeris"/>
                      <w:tag w:val="nr_bbddfdccfab04c8c8e59b6b9659e2fc0"/>
                      <w:lock w:val="sdtLocked"/>
                      <w:richText/>
                    </w:sdtPr>
                    <w:sdtContent>
                      <w:r>
                        <w:rPr>
                          <w:szCs w:val="24"/>
                          <w:lang w:eastAsia="lt-LT"/>
                        </w:rPr>
                        <w:t>47</w:t>
                      </w:r>
                    </w:sdtContent>
                  </w:sdt>
                  <w:r>
                    <w:rPr>
                      <w:szCs w:val="24"/>
                      <w:lang w:eastAsia="lt-LT"/>
                    </w:rPr>
                    <w:t xml:space="preserve">. </w:t>
                  </w:r>
                  <w:r>
                    <w:rPr>
                      <w:szCs w:val="24"/>
                    </w:rPr>
                    <w:t xml:space="preserve">Metodikos 45 punkte nustatyta </w:t>
                  </w:r>
                  <w:r>
                    <w:rPr>
                      <w:szCs w:val="24"/>
                      <w:lang w:eastAsia="lt-LT"/>
                    </w:rPr>
                    <w:t xml:space="preserve">informacija teikiama administratoriui jo viešai paskelbta forma ir būdu. Administratorius turi teisę duomenis rinkti naudojant administratoriaus vystomą informacinę sistemą. Jeigu ataskaitų pateikimo metu administratoriaus informacinė sistema neveikia ir (ar) dėl techninių kliūčių subjektai negali pateikti ataskaitų bei kitos informacijos elektronine forma per administratoriaus informacinę sistemą, subjektai, nurodydami konkrečias priežastis, dėl kurių ataskaitos teikiamos ne per administratoriaus informacinę sistemą, ataskaitas, parengtas užpildant ataskaitų pateikimo metu aktualias ataskaitų formas, bei kitą pareikalautą informaciją turi pateikti pasirašytas elektroniniu parašu tinklalapyje nurodytu elektroninio pašto adresu </w:t>
                  </w:r>
                  <w:r>
                    <w:rPr>
                      <w:szCs w:val="24"/>
                      <w:u w:val="single"/>
                      <w:lang w:eastAsia="lt-LT"/>
                    </w:rPr>
                    <w:t>info@baltpool.eu</w:t>
                  </w:r>
                  <w:r>
                    <w:rPr>
                      <w:szCs w:val="24"/>
                      <w:lang w:eastAsia="lt-LT"/>
                    </w:rPr>
                    <w:t>.</w:t>
                  </w:r>
                </w:p>
              </w:sdtContent>
            </w:sdt>
            <w:sdt>
              <w:sdtPr>
                <w:alias w:val="48 p."/>
                <w:tag w:val="part_8b4a1e7fead04b06af9a7efa77fd04c6"/>
                <w:lock w:val="sdtLocked"/>
                <w:richText/>
              </w:sdtPr>
              <w:sdtContent>
                <w:p>
                  <w:pPr>
                    <w:tabs>
                      <w:tab w:val="left" w:pos="485"/>
                    </w:tabs>
                    <w:spacing w:line="276" w:lineRule="auto"/>
                    <w:ind w:firstLine="720"/>
                    <w:jc w:val="both"/>
                    <w:rPr>
                      <w:szCs w:val="24"/>
                      <w:lang w:eastAsia="lt-LT"/>
                    </w:rPr>
                  </w:pPr>
                  <w:sdt>
                    <w:sdtPr>
                      <w:alias w:val="Numeris"/>
                      <w:tag w:val="nr_8b4a1e7fead04b06af9a7efa77fd04c6"/>
                      <w:lock w:val="sdtLocked"/>
                      <w:richText/>
                    </w:sdtPr>
                    <w:sdtContent>
                      <w:r>
                        <w:rPr>
                          <w:szCs w:val="24"/>
                          <w:lang w:eastAsia="lt-LT"/>
                        </w:rPr>
                        <w:t>48</w:t>
                      </w:r>
                    </w:sdtContent>
                  </w:sdt>
                  <w:r>
                    <w:rPr>
                      <w:szCs w:val="24"/>
                      <w:lang w:eastAsia="lt-LT"/>
                    </w:rPr>
                    <w:t>. Teikdami konfidencialią informaciją subjektai privalo tai nurodyti siunčiamame lydraštyje bei teikdami konfidencialią informaciją, privalo nurodyti, kuri informacija yra konfidenciali. Subjektai privalo pateikti informacijos konfidencialumą pagrindžiančius dokumentus.</w:t>
                  </w:r>
                </w:p>
              </w:sdtContent>
            </w:sdt>
            <w:sdt>
              <w:sdtPr>
                <w:alias w:val="49 p."/>
                <w:tag w:val="part_a6e45f00c54d42919cf564d843aceed7"/>
                <w:lock w:val="sdtLocked"/>
                <w:richText/>
              </w:sdtPr>
              <w:sdtContent>
                <w:p>
                  <w:pPr>
                    <w:tabs>
                      <w:tab w:val="left" w:pos="485"/>
                    </w:tabs>
                    <w:spacing w:line="276" w:lineRule="auto"/>
                    <w:ind w:firstLine="720"/>
                    <w:jc w:val="both"/>
                    <w:rPr>
                      <w:szCs w:val="24"/>
                      <w:lang w:eastAsia="lt-LT"/>
                    </w:rPr>
                  </w:pPr>
                  <w:sdt>
                    <w:sdtPr>
                      <w:alias w:val="Numeris"/>
                      <w:tag w:val="nr_a6e45f00c54d42919cf564d843aceed7"/>
                      <w:lock w:val="sdtLocked"/>
                      <w:richText/>
                    </w:sdtPr>
                    <w:sdtContent>
                      <w:r>
                        <w:rPr>
                          <w:szCs w:val="24"/>
                          <w:lang w:eastAsia="lt-LT"/>
                        </w:rPr>
                        <w:t>49</w:t>
                      </w:r>
                    </w:sdtContent>
                  </w:sdt>
                  <w:r>
                    <w:rPr>
                      <w:szCs w:val="24"/>
                      <w:lang w:eastAsia="lt-LT"/>
                    </w:rPr>
                    <w:t xml:space="preserve">. Šio skyriaus nuostatos </w:t>
                  </w:r>
                  <w:r>
                    <w:rPr>
                      <w:i/>
                      <w:iCs/>
                      <w:szCs w:val="24"/>
                      <w:lang w:eastAsia="lt-LT"/>
                    </w:rPr>
                    <w:t>mutatis mutandis</w:t>
                  </w:r>
                  <w:r>
                    <w:rPr>
                      <w:szCs w:val="24"/>
                      <w:lang w:eastAsia="lt-LT"/>
                    </w:rPr>
                    <w:t xml:space="preserve"> taikomos su subjektais susijusiems asmenims.</w:t>
                  </w:r>
                </w:p>
                <w:p>
                  <w:pPr>
                    <w:spacing w:line="276" w:lineRule="auto"/>
                    <w:ind w:firstLine="720"/>
                    <w:jc w:val="center"/>
                    <w:rPr>
                      <w:b/>
                      <w:szCs w:val="24"/>
                      <w:lang w:eastAsia="lt-LT"/>
                    </w:rPr>
                  </w:pPr>
                </w:p>
              </w:sdtContent>
            </w:sdt>
          </w:sdtContent>
        </w:sdt>
        <w:sdt>
          <w:sdtPr>
            <w:alias w:val="skyrius"/>
            <w:tag w:val="part_b311b56dedcb43608d6de8ed4104f4f6"/>
            <w:lock w:val="sdtLocked"/>
            <w:richText/>
          </w:sdtPr>
          <w:sdtContent>
            <w:p>
              <w:pPr>
                <w:spacing w:line="276" w:lineRule="auto"/>
                <w:ind w:firstLine="720"/>
                <w:jc w:val="center"/>
                <w:rPr>
                  <w:b/>
                  <w:szCs w:val="24"/>
                  <w:lang w:eastAsia="lt-LT"/>
                </w:rPr>
              </w:pPr>
              <w:sdt>
                <w:sdtPr>
                  <w:alias w:val="Numeris"/>
                  <w:tag w:val="nr_b311b56dedcb43608d6de8ed4104f4f6"/>
                  <w:lock w:val="sdtLocked"/>
                  <w:richText/>
                </w:sdtPr>
                <w:sdtContent>
                  <w:r>
                    <w:rPr>
                      <w:b/>
                      <w:szCs w:val="24"/>
                      <w:lang w:eastAsia="lt-LT"/>
                    </w:rPr>
                    <w:t>V</w:t>
                  </w:r>
                </w:sdtContent>
              </w:sdt>
              <w:r>
                <w:rPr>
                  <w:b/>
                  <w:szCs w:val="24"/>
                  <w:lang w:eastAsia="lt-LT"/>
                </w:rPr>
                <w:t xml:space="preserve"> SKYRIUS</w:t>
              </w:r>
            </w:p>
            <w:p>
              <w:pPr>
                <w:spacing w:line="276" w:lineRule="auto"/>
                <w:ind w:firstLine="720"/>
                <w:jc w:val="center"/>
                <w:rPr>
                  <w:b/>
                  <w:szCs w:val="24"/>
                  <w:lang w:eastAsia="lt-LT"/>
                </w:rPr>
              </w:pPr>
              <w:sdt>
                <w:sdtPr>
                  <w:alias w:val="Pavadinimas"/>
                  <w:tag w:val="title_b311b56dedcb43608d6de8ed4104f4f6"/>
                  <w:lock w:val="sdtLocked"/>
                  <w:richText/>
                </w:sdtPr>
                <w:sdtContent>
                  <w:r>
                    <w:rPr>
                      <w:b/>
                      <w:szCs w:val="24"/>
                      <w:lang w:eastAsia="lt-LT"/>
                    </w:rPr>
                    <w:t>BAIGIAMOSIOS NUOSTATOS</w:t>
                  </w:r>
                </w:sdtContent>
              </w:sdt>
            </w:p>
            <w:p>
              <w:pPr>
                <w:tabs>
                  <w:tab w:val="left" w:pos="485"/>
                </w:tabs>
                <w:spacing w:line="276" w:lineRule="auto"/>
                <w:jc w:val="both"/>
                <w:rPr>
                  <w:szCs w:val="24"/>
                  <w:lang w:eastAsia="lt-LT"/>
                </w:rPr>
              </w:pPr>
            </w:p>
            <w:sdt>
              <w:sdtPr>
                <w:alias w:val="50 p."/>
                <w:tag w:val="part_08f80a69247b41f5913a18b35a87d88f"/>
                <w:lock w:val="sdtLocked"/>
                <w:richText/>
              </w:sdtPr>
              <w:sdtContent>
                <w:p>
                  <w:pPr>
                    <w:tabs>
                      <w:tab w:val="left" w:pos="485"/>
                    </w:tabs>
                    <w:spacing w:line="276" w:lineRule="auto"/>
                    <w:ind w:firstLine="720"/>
                    <w:jc w:val="both"/>
                    <w:rPr>
                      <w:szCs w:val="24"/>
                      <w:lang w:eastAsia="lt-LT"/>
                    </w:rPr>
                  </w:pPr>
                  <w:sdt>
                    <w:sdtPr>
                      <w:alias w:val="Numeris"/>
                      <w:tag w:val="nr_08f80a69247b41f5913a18b35a87d88f"/>
                      <w:lock w:val="sdtLocked"/>
                      <w:richText/>
                    </w:sdtPr>
                    <w:sdtContent>
                      <w:r>
                        <w:rPr>
                          <w:szCs w:val="24"/>
                          <w:lang w:eastAsia="lt-LT"/>
                        </w:rPr>
                        <w:t>50</w:t>
                      </w:r>
                    </w:sdtContent>
                  </w:sdt>
                  <w:r>
                    <w:rPr>
                      <w:szCs w:val="24"/>
                      <w:lang w:eastAsia="lt-LT"/>
                    </w:rPr>
                    <w:t>. Taryba, vadovaudamasi Energetikos įstatymo 25 straipsnio 1 dalimi, Elektros energetikos įstatymo 57 straipsnio 2 dalimi ir kitų teisės aktų nustatyta tvarka, turi teisę iš energetikos įmonių ar asmenų, kurių vykdoma veikla tiesiogiai ar netiesiogiai susijusi su energetikos veikla, bei valstybės institucijų gauti visą reikalingą informaciją ir dokumentus, būtinus rinkos pajamoms ir pajamų perviršiui nustatyti.</w:t>
                  </w:r>
                </w:p>
              </w:sdtContent>
            </w:sdt>
            <w:sdt>
              <w:sdtPr>
                <w:alias w:val="51 p."/>
                <w:tag w:val="part_63a3ab261a79408082425f5e1873af82"/>
                <w:lock w:val="sdtLocked"/>
                <w:richText/>
              </w:sdtPr>
              <w:sdtContent>
                <w:p>
                  <w:pPr>
                    <w:tabs>
                      <w:tab w:val="left" w:pos="485"/>
                    </w:tabs>
                    <w:spacing w:line="276" w:lineRule="auto"/>
                    <w:ind w:firstLine="720"/>
                    <w:jc w:val="both"/>
                    <w:rPr>
                      <w:szCs w:val="24"/>
                      <w:lang w:eastAsia="lt-LT"/>
                    </w:rPr>
                  </w:pPr>
                  <w:sdt>
                    <w:sdtPr>
                      <w:alias w:val="Numeris"/>
                      <w:tag w:val="nr_63a3ab261a79408082425f5e1873af82"/>
                      <w:lock w:val="sdtLocked"/>
                      <w:richText/>
                    </w:sdtPr>
                    <w:sdtContent>
                      <w:r>
                        <w:rPr>
                          <w:szCs w:val="24"/>
                          <w:lang w:eastAsia="lt-LT"/>
                        </w:rPr>
                        <w:t>51</w:t>
                      </w:r>
                    </w:sdtContent>
                  </w:sdt>
                  <w:r>
                    <w:rPr>
                      <w:szCs w:val="24"/>
                      <w:lang w:eastAsia="lt-LT"/>
                    </w:rPr>
                    <w:t>. Vadovaudamasis Įstatymo 17 straipsnio 1 dalimi administratorius savo interneto svetainėje ne vėliau kaip paskutinę kiekvieno mėnesio dieną, laikydamasis konfidencialumo reikalavimų, skelbia apibendrintą informaciją apie per praėjusį mėnesį ir nuo Įstatymo įsigaliojimo dienos pagal Įstatymo 11 straipsnio nuostatas surinktas lėšas (surinktą pajamų perviršį).</w:t>
                  </w:r>
                </w:p>
              </w:sdtContent>
            </w:sdt>
            <w:sdt>
              <w:sdtPr>
                <w:alias w:val="52 p."/>
                <w:tag w:val="part_88866bc8d0d04a968f8dc7f71c9f1978"/>
                <w:lock w:val="sdtLocked"/>
                <w:richText/>
              </w:sdtPr>
              <w:sdtContent>
                <w:p>
                  <w:pPr>
                    <w:tabs>
                      <w:tab w:val="left" w:pos="485"/>
                    </w:tabs>
                    <w:spacing w:line="276" w:lineRule="auto"/>
                    <w:ind w:firstLine="720"/>
                    <w:jc w:val="both"/>
                    <w:rPr>
                      <w:szCs w:val="24"/>
                      <w:lang w:eastAsia="lt-LT"/>
                    </w:rPr>
                  </w:pPr>
                  <w:sdt>
                    <w:sdtPr>
                      <w:alias w:val="Numeris"/>
                      <w:tag w:val="nr_88866bc8d0d04a968f8dc7f71c9f1978"/>
                      <w:lock w:val="sdtLocked"/>
                      <w:richText/>
                    </w:sdtPr>
                    <w:sdtContent>
                      <w:r>
                        <w:rPr>
                          <w:szCs w:val="24"/>
                          <w:lang w:eastAsia="lt-LT"/>
                        </w:rPr>
                        <w:t>52</w:t>
                      </w:r>
                    </w:sdtContent>
                  </w:sdt>
                  <w:r>
                    <w:rPr>
                      <w:szCs w:val="24"/>
                      <w:lang w:eastAsia="lt-LT"/>
                    </w:rPr>
                    <w:t>. Asmenys, pažeidę šios Metodikos reikalavimus, atsako Lietuvos Respublikos įstatymų nustatyta tvarka.</w:t>
                  </w:r>
                </w:p>
              </w:sdtContent>
            </w:sdt>
            <w:sdt>
              <w:sdtPr>
                <w:alias w:val="53 p."/>
                <w:tag w:val="part_b5c344b2a30949c8b26eadaf3a45df03"/>
                <w:lock w:val="sdtLocked"/>
                <w:richText/>
              </w:sdtPr>
              <w:sdtContent>
                <w:p>
                  <w:pPr>
                    <w:tabs>
                      <w:tab w:val="left" w:pos="485"/>
                    </w:tabs>
                    <w:spacing w:line="276" w:lineRule="auto"/>
                    <w:ind w:firstLine="720"/>
                    <w:jc w:val="both"/>
                    <w:rPr>
                      <w:szCs w:val="24"/>
                      <w:lang w:eastAsia="lt-LT"/>
                    </w:rPr>
                  </w:pPr>
                  <w:sdt>
                    <w:sdtPr>
                      <w:alias w:val="Numeris"/>
                      <w:tag w:val="nr_b5c344b2a30949c8b26eadaf3a45df03"/>
                      <w:lock w:val="sdtLocked"/>
                      <w:richText/>
                    </w:sdtPr>
                    <w:sdtContent>
                      <w:r>
                        <w:rPr>
                          <w:szCs w:val="24"/>
                          <w:lang w:eastAsia="lt-LT"/>
                        </w:rPr>
                        <w:t>53</w:t>
                      </w:r>
                    </w:sdtContent>
                  </w:sdt>
                  <w:r>
                    <w:rPr>
                      <w:szCs w:val="24"/>
                      <w:lang w:eastAsia="lt-LT"/>
                    </w:rPr>
                    <w:t>. Tarybos veiksmai ar neveikimas įgyvendinant šią Metodiką gali būti skundžiami Lietuvos Respublikos administracinių bylų teisenos įstatymo nustatyta tvarka ir sąlygomis.</w:t>
                  </w:r>
                </w:p>
              </w:sdtContent>
            </w:sdt>
          </w:sdtContent>
        </w:sdt>
        <w:sdt>
          <w:sdtPr>
            <w:alias w:val="pabaiga"/>
            <w:tag w:val="part_838ce19fd19747fca264c4e6a3a008c8"/>
            <w:lock w:val="sdtLocked"/>
            <w:richText/>
          </w:sdtPr>
          <w:sdtContent>
            <w:p>
              <w:pPr>
                <w:tabs>
                  <w:tab w:val="left" w:pos="485"/>
                </w:tabs>
                <w:spacing w:line="276" w:lineRule="auto"/>
                <w:ind w:firstLine="3969"/>
                <w:jc w:val="both"/>
                <w:rPr>
                  <w:szCs w:val="24"/>
                  <w:lang w:eastAsia="lt-LT"/>
                </w:rPr>
              </w:pPr>
              <w:r>
                <w:rPr>
                  <w:szCs w:val="24"/>
                  <w:lang w:eastAsia="lt-LT"/>
                </w:rPr>
                <w:t>_________________</w:t>
              </w:r>
            </w:p>
            <w:p>
              <w:pPr>
                <w:tabs>
                  <w:tab w:val="center" w:pos="4819"/>
                  <w:tab w:val="right" w:pos="9638"/>
                </w:tabs>
                <w:spacing w:line="276" w:lineRule="auto"/>
                <w:ind w:firstLine="720"/>
                <w:jc w:val="center"/>
                <w:rPr>
                  <w:szCs w:val="24"/>
                  <w:lang w:eastAsia="lt-LT"/>
                </w:rPr>
              </w:pPr>
            </w:p>
          </w:sdtContent>
        </w:sdt>
      </w:sdtContent>
    </w:sdt>
    <w:sdt>
      <w:sdtPr>
        <w:alias w:val="pr."/>
        <w:tag w:val="part_55faf16e087d4367a36adc9f153116c2"/>
        <w:lock w:val="sdtLocked"/>
        <w:richText/>
      </w:sdtPr>
      <w:sdtContent>
        <w:p>
          <w:pPr>
            <w:ind w:left="5102" w:right="-426"/>
            <w:sectPr>
              <w:headerReference w:type="even" r:id="rId20"/>
              <w:headerReference w:type="default" r:id="rId21"/>
              <w:footerReference w:type="even" r:id="rId22"/>
              <w:footerReference w:type="default" r:id="rId23"/>
              <w:headerReference w:type="first" r:id="rId24"/>
              <w:footerReference w:type="first" r:id="rId25"/>
              <w:pgSz w:w="11907" w:h="16840" w:code="9"/>
              <w:pgMar w:top="568" w:right="1134" w:bottom="851" w:left="1134" w:header="567" w:footer="284" w:gutter="0"/>
              <w:pgNumType w:start="1"/>
              <w:cols w:space="1296"/>
              <w:titlePg/>
              <w:docGrid w:linePitch="360"/>
            </w:sectPr>
          </w:pPr>
        </w:p>
        <w:p>
          <w:pPr>
            <w:ind w:left="5102" w:right="-426"/>
            <w:rPr>
              <w:szCs w:val="24"/>
              <w:lang w:eastAsia="lt-LT"/>
            </w:rPr>
          </w:pPr>
          <w:r>
            <w:rPr>
              <w:szCs w:val="24"/>
              <w:lang w:eastAsia="lt-LT"/>
            </w:rPr>
            <w:t xml:space="preserve">Rinkos pajamų nustatymo ir pajamų perviršio </w:t>
          </w:r>
        </w:p>
        <w:p>
          <w:pPr>
            <w:ind w:left="5102" w:right="-426"/>
          </w:pPr>
          <w:r>
            <w:rPr>
              <w:szCs w:val="24"/>
              <w:lang w:eastAsia="lt-LT"/>
            </w:rPr>
            <w:t xml:space="preserve">skaičiavimo metodikos </w:t>
          </w:r>
          <w:r>
            <w:t>priedas</w:t>
          </w:r>
        </w:p>
        <w:p>
          <w:pPr>
            <w:spacing w:line="276" w:lineRule="auto"/>
            <w:ind w:left="5102" w:right="-426"/>
            <w:rPr>
              <w:szCs w:val="24"/>
            </w:rPr>
          </w:pPr>
        </w:p>
        <w:p>
          <w:pPr>
            <w:spacing w:line="276" w:lineRule="auto"/>
            <w:ind w:right="-426"/>
            <w:jc w:val="center"/>
            <w:rPr>
              <w:szCs w:val="24"/>
            </w:rPr>
          </w:pPr>
          <w:r>
            <w:rPr>
              <w:szCs w:val="24"/>
            </w:rPr>
            <w:t>______________________________________________________________________________</w:t>
          </w:r>
        </w:p>
        <w:p>
          <w:pPr>
            <w:spacing w:line="276" w:lineRule="auto"/>
            <w:ind w:right="-426"/>
            <w:jc w:val="center"/>
            <w:rPr>
              <w:sz w:val="20"/>
            </w:rPr>
          </w:pPr>
          <w:r>
            <w:rPr>
              <w:sz w:val="20"/>
            </w:rPr>
            <w:t>(ūkio subjekto fizinio asmens – vardas, pavardė, telefono ryšio numeris, elektroninio pašto adresas; juridinio asmens – pavadinimas, juridinio asmens kodas ir juridinio asmens buveinės adresas; telefono ryšio numeris ir fakso numeris, elektroninio pašto adresas)</w:t>
          </w:r>
        </w:p>
        <w:p>
          <w:pPr>
            <w:ind w:right="-426"/>
            <w:jc w:val="both"/>
            <w:rPr>
              <w:strike/>
              <w:color w:val="000000"/>
            </w:rPr>
          </w:pPr>
        </w:p>
        <w:p>
          <w:pPr>
            <w:ind w:right="-426"/>
            <w:jc w:val="both"/>
            <w:rPr>
              <w:bCs/>
              <w:color w:val="000000"/>
            </w:rPr>
          </w:pPr>
          <w:r>
            <w:rPr>
              <w:bCs/>
              <w:color w:val="000000"/>
            </w:rPr>
            <w:t xml:space="preserve">BALTPOOL, UAB </w:t>
          </w:r>
        </w:p>
        <w:p>
          <w:pPr>
            <w:ind w:right="-426"/>
            <w:jc w:val="both"/>
            <w:rPr>
              <w:bCs/>
              <w:color w:val="000000"/>
            </w:rPr>
          </w:pPr>
          <w:r>
            <w:rPr>
              <w:bCs/>
              <w:color w:val="000000"/>
            </w:rPr>
            <w:t xml:space="preserve">Žalgirio g. 90 </w:t>
          </w:r>
        </w:p>
        <w:p>
          <w:pPr>
            <w:ind w:right="-426"/>
            <w:jc w:val="both"/>
            <w:rPr>
              <w:bCs/>
              <w:color w:val="000000"/>
            </w:rPr>
          </w:pPr>
          <w:r>
            <w:rPr>
              <w:bCs/>
              <w:color w:val="000000"/>
            </w:rPr>
            <w:t>LT-09303 Vilnius</w:t>
          </w:r>
        </w:p>
        <w:p>
          <w:pPr>
            <w:ind w:right="-426"/>
            <w:jc w:val="both"/>
            <w:rPr>
              <w:spacing w:val="50"/>
            </w:rPr>
          </w:pPr>
        </w:p>
        <w:sdt>
          <w:sdtPr>
            <w:alias w:val="Pavadinimas"/>
            <w:tag w:val="title_55faf16e087d4367a36adc9f153116c2"/>
            <w:lock w:val="sdtLocked"/>
            <w:richText/>
          </w:sdtPr>
          <w:sdtContent>
            <w:p>
              <w:pPr>
                <w:ind w:right="-426"/>
                <w:jc w:val="center"/>
                <w:rPr>
                  <w:b/>
                  <w:spacing w:val="60"/>
                </w:rPr>
              </w:pPr>
              <w:r>
                <w:rPr>
                  <w:b/>
                  <w:spacing w:val="60"/>
                </w:rPr>
                <w:t>DEKLARACIJA</w:t>
              </w:r>
            </w:p>
            <w:p>
              <w:pPr>
                <w:ind w:right="-426"/>
                <w:jc w:val="center"/>
                <w:rPr>
                  <w:b/>
                </w:rPr>
              </w:pPr>
              <w:r>
                <w:rPr>
                  <w:b/>
                </w:rPr>
                <w:t>DĖL RINKOS PAJAMŲ NUSTATYMO IR PAJAMŲ PERVIRŠIO SKAIČIAVIMO</w:t>
              </w:r>
            </w:p>
          </w:sdtContent>
        </w:sdt>
        <w:p>
          <w:pPr>
            <w:ind w:right="-426"/>
            <w:jc w:val="both"/>
          </w:pPr>
        </w:p>
        <w:p>
          <w:pPr>
            <w:ind w:right="-426"/>
            <w:jc w:val="center"/>
          </w:pPr>
          <w:r>
            <w:t>__________________</w:t>
          </w:r>
        </w:p>
        <w:p>
          <w:pPr>
            <w:ind w:right="-426"/>
            <w:jc w:val="center"/>
            <w:rPr>
              <w:sz w:val="20"/>
              <w:szCs w:val="16"/>
            </w:rPr>
          </w:pPr>
          <w:r>
            <w:rPr>
              <w:sz w:val="20"/>
              <w:szCs w:val="16"/>
            </w:rPr>
            <w:t>(data)</w:t>
          </w:r>
        </w:p>
        <w:p>
          <w:pPr>
            <w:ind w:right="-426"/>
            <w:jc w:val="center"/>
          </w:pPr>
          <w:r>
            <w:t>__________________</w:t>
          </w:r>
        </w:p>
        <w:p>
          <w:pPr>
            <w:ind w:right="-426"/>
            <w:jc w:val="center"/>
            <w:rPr>
              <w:sz w:val="20"/>
              <w:szCs w:val="16"/>
            </w:rPr>
          </w:pPr>
          <w:r>
            <w:rPr>
              <w:sz w:val="20"/>
              <w:szCs w:val="16"/>
            </w:rPr>
            <w:t>(vieta)</w:t>
          </w:r>
        </w:p>
        <w:p>
          <w:pPr>
            <w:ind w:right="-426"/>
            <w:jc w:val="center"/>
            <w:rPr>
              <w:sz w:val="20"/>
              <w:szCs w:val="16"/>
            </w:rPr>
          </w:pPr>
        </w:p>
        <w:p>
          <w:pPr>
            <w:tabs>
              <w:tab w:val="right" w:leader="underscore" w:pos="9072"/>
            </w:tabs>
            <w:ind w:right="-426"/>
            <w:jc w:val="both"/>
          </w:pPr>
        </w:p>
        <w:p>
          <w:pPr>
            <w:tabs>
              <w:tab w:val="right" w:leader="underscore" w:pos="9639"/>
            </w:tabs>
            <w:ind w:right="-426"/>
            <w:jc w:val="both"/>
          </w:pPr>
          <w:r>
            <w:tab/>
          </w:r>
        </w:p>
        <w:p>
          <w:pPr>
            <w:tabs>
              <w:tab w:val="center" w:pos="4800"/>
            </w:tabs>
            <w:ind w:right="-426"/>
            <w:jc w:val="both"/>
            <w:rPr>
              <w:sz w:val="20"/>
            </w:rPr>
          </w:pPr>
          <w:r>
            <w:tab/>
          </w:r>
          <w:r>
            <w:rPr>
              <w:sz w:val="20"/>
            </w:rPr>
            <w:t>(ūkio subjekto fizinio asmens – vardas, pavardė; juridinio asmens – pavadinimas)</w:t>
          </w:r>
        </w:p>
        <w:p>
          <w:pPr>
            <w:tabs>
              <w:tab w:val="center" w:pos="4800"/>
            </w:tabs>
            <w:ind w:right="-426"/>
            <w:jc w:val="both"/>
          </w:pPr>
        </w:p>
        <w:p>
          <w:pPr>
            <w:tabs>
              <w:tab w:val="right" w:leader="underscore" w:pos="9639"/>
            </w:tabs>
            <w:ind w:right="-426"/>
            <w:jc w:val="both"/>
          </w:pPr>
          <w:r>
            <w:t>deklaruoja pajamų perviršį už _______________________________________ ataskaitinį laikotarpį.</w:t>
          </w:r>
        </w:p>
        <w:p>
          <w:pPr>
            <w:tabs>
              <w:tab w:val="center" w:pos="4800"/>
            </w:tabs>
            <w:ind w:right="-426"/>
            <w:jc w:val="both"/>
          </w:pPr>
          <w:r>
            <w:tab/>
          </w:r>
          <w:r>
            <w:rPr>
              <w:sz w:val="20"/>
            </w:rPr>
            <w:t>(metai, mėnesis)</w:t>
          </w:r>
        </w:p>
        <w:p>
          <w:pPr>
            <w:tabs>
              <w:tab w:val="right" w:leader="underscore" w:pos="9639"/>
            </w:tabs>
            <w:ind w:right="-426"/>
            <w:jc w:val="both"/>
          </w:pPr>
        </w:p>
        <w:p>
          <w:pPr>
            <w:tabs>
              <w:tab w:val="right" w:leader="underscore" w:pos="9639"/>
            </w:tabs>
            <w:ind w:firstLine="709"/>
            <w:jc w:val="both"/>
          </w:pPr>
          <w:r>
            <w:t>Nurodau, kad su mano valdomais elektros energijos gamybos įrenginiais faktiškai pagamintas ir į elektros energijos tinklus perduotas kiekis sudaro: ______________ MWh;</w:t>
          </w:r>
        </w:p>
        <w:p>
          <w:pPr>
            <w:tabs>
              <w:tab w:val="right" w:leader="underscore" w:pos="9639"/>
            </w:tabs>
            <w:ind w:right="-426" w:firstLine="709"/>
            <w:jc w:val="both"/>
          </w:pPr>
          <w:r>
            <w:t>Nurodau, kad rinkos pajamos sudaro: ______________ Eur;</w:t>
          </w:r>
        </w:p>
        <w:p>
          <w:pPr>
            <w:tabs>
              <w:tab w:val="right" w:leader="underscore" w:pos="9639"/>
            </w:tabs>
            <w:ind w:right="-426" w:firstLine="709"/>
            <w:jc w:val="both"/>
          </w:pPr>
        </w:p>
        <w:p>
          <w:pPr>
            <w:tabs>
              <w:tab w:val="right" w:leader="underscore" w:pos="9639"/>
            </w:tabs>
            <w:ind w:right="-426" w:firstLine="709"/>
            <w:jc w:val="both"/>
          </w:pPr>
          <w:r>
            <w:t>Nurodau, kad pajamų perviršis sudaro: ______________ Eur;</w:t>
          </w:r>
        </w:p>
        <w:p>
          <w:pPr>
            <w:tabs>
              <w:tab w:val="right" w:leader="underscore" w:pos="9639"/>
            </w:tabs>
            <w:ind w:right="-426" w:firstLine="709"/>
            <w:jc w:val="both"/>
          </w:pPr>
        </w:p>
        <w:p>
          <w:pPr>
            <w:tabs>
              <w:tab w:val="right" w:leader="underscore" w:pos="9639"/>
            </w:tabs>
            <w:ind w:right="-426" w:firstLine="709"/>
            <w:jc w:val="both"/>
          </w:pPr>
          <w:r>
            <w:t>Nurodau, kad 90 proc. pajamų perviršis sudaro: ______________ Eur;</w:t>
          </w:r>
        </w:p>
        <w:p>
          <w:pPr>
            <w:tabs>
              <w:tab w:val="right" w:leader="underscore" w:pos="9639"/>
            </w:tabs>
            <w:ind w:right="-426" w:firstLine="709"/>
            <w:jc w:val="both"/>
          </w:pPr>
        </w:p>
        <w:p>
          <w:pPr>
            <w:tabs>
              <w:tab w:val="right" w:leader="underscore" w:pos="9639"/>
            </w:tabs>
            <w:ind w:firstLine="709"/>
            <w:jc w:val="both"/>
          </w:pPr>
          <w:r>
            <w:t>Nurodau, kad nurodytą elektros energijos kiekį pardaviau ir rinkos pajamas gavau šiais būdais:</w:t>
          </w:r>
        </w:p>
        <w:p>
          <w:pPr>
            <w:tabs>
              <w:tab w:val="right" w:leader="underscore" w:pos="9639"/>
            </w:tabs>
            <w:ind w:right="-426" w:firstLine="709"/>
            <w:jc w:val="both"/>
          </w:pPr>
          <w:r>
            <w:rPr>
              <w:rFonts w:ascii="MS Gothic" w:eastAsia="MS Gothic" w:hAnsi="MS Gothic"/>
              <w:iCs/>
              <w:szCs w:val="24"/>
              <w:lang w:eastAsia="lt-LT"/>
            </w:rPr>
            <w:t>☐</w:t>
          </w:r>
          <w:r>
            <w:rPr>
              <w:iCs/>
              <w:szCs w:val="24"/>
              <w:lang w:eastAsia="lt-LT"/>
            </w:rPr>
            <w:t xml:space="preserve"> elektros energijos biržoje, parduotas kiekis sudaro _____ MWh;</w:t>
          </w:r>
        </w:p>
        <w:p>
          <w:pPr>
            <w:tabs>
              <w:tab w:val="right" w:leader="underscore" w:pos="9639"/>
            </w:tabs>
            <w:ind w:firstLine="709"/>
            <w:jc w:val="both"/>
          </w:pPr>
          <w:r>
            <w:rPr>
              <w:rFonts w:ascii="MS Gothic" w:eastAsia="MS Gothic" w:hAnsi="MS Gothic"/>
              <w:iCs/>
              <w:szCs w:val="24"/>
              <w:lang w:eastAsia="lt-LT"/>
            </w:rPr>
            <w:t>☐</w:t>
          </w:r>
          <w:r>
            <w:rPr>
              <w:iCs/>
              <w:szCs w:val="24"/>
              <w:lang w:eastAsia="lt-LT"/>
            </w:rPr>
            <w:t xml:space="preserve"> Pagal „Mokėk, kiek pagaminta“ pirkimo–pardavimo sutartį (-is) dėl elektros energijos, parduotas kiekis sudaro ________ MWh;</w:t>
          </w:r>
        </w:p>
        <w:p>
          <w:pPr>
            <w:tabs>
              <w:tab w:val="right" w:leader="underscore" w:pos="9639"/>
            </w:tabs>
            <w:ind w:firstLine="709"/>
            <w:jc w:val="both"/>
          </w:pPr>
          <w:r>
            <w:rPr>
              <w:rFonts w:ascii="MS Gothic" w:eastAsia="MS Gothic" w:hAnsi="MS Gothic"/>
            </w:rPr>
            <w:t>☐</w:t>
          </w:r>
          <w:r>
            <w:t xml:space="preserve"> </w:t>
          </w:r>
          <w:r>
            <w:rPr>
              <w:iCs/>
              <w:szCs w:val="24"/>
              <w:lang w:eastAsia="lt-LT"/>
            </w:rPr>
            <w:t xml:space="preserve">Pagal </w:t>
          </w:r>
          <w:r>
            <w:t>Bazinės apkrovos kiekio dvišalę pirkimo–pardavimo sutartį (-is) dėl elektros energijos, parduotas kiekis sudaro ________ MWh;</w:t>
          </w:r>
        </w:p>
        <w:p>
          <w:pPr>
            <w:tabs>
              <w:tab w:val="right" w:leader="underscore" w:pos="9639"/>
            </w:tabs>
            <w:ind w:firstLine="709"/>
            <w:jc w:val="both"/>
          </w:pPr>
          <w:r>
            <w:rPr>
              <w:rFonts w:ascii="MS Gothic" w:eastAsia="MS Gothic" w:hAnsi="MS Gothic"/>
              <w:iCs/>
              <w:szCs w:val="24"/>
              <w:lang w:eastAsia="lt-LT"/>
            </w:rPr>
            <w:t>☐</w:t>
          </w:r>
          <w:r>
            <w:rPr>
              <w:iCs/>
              <w:szCs w:val="24"/>
              <w:lang w:eastAsia="lt-LT"/>
            </w:rPr>
            <w:t xml:space="preserve"> Pagal išvestinę (-es) finansines priemonę (-es), kurios(-ių) atsiskaitymo laikotarpis yra ataskaitinis mėnuo, parduotas kiekis sudaro ________ MWh;</w:t>
          </w:r>
        </w:p>
        <w:p>
          <w:pPr>
            <w:tabs>
              <w:tab w:val="right" w:leader="underscore" w:pos="9639"/>
            </w:tabs>
            <w:ind w:firstLine="709"/>
            <w:jc w:val="both"/>
          </w:pPr>
          <w:r>
            <w:rPr>
              <w:rFonts w:ascii="MS Gothic" w:eastAsia="MS Gothic" w:hAnsi="MS Gothic"/>
              <w:iCs/>
              <w:szCs w:val="24"/>
              <w:lang w:eastAsia="lt-LT"/>
            </w:rPr>
            <w:t>☐</w:t>
          </w:r>
          <w:r>
            <w:rPr>
              <w:iCs/>
              <w:szCs w:val="24"/>
              <w:lang w:eastAsia="lt-LT"/>
            </w:rPr>
            <w:t xml:space="preserve"> Pagal išvestinę (-es) finansines priemonę (-es), kurios (-ių) atsiskaitymo laikotarpis yra metų ketvirtis, parduotas kiekis sudaro ________ MWh;</w:t>
          </w:r>
        </w:p>
        <w:p>
          <w:pPr>
            <w:tabs>
              <w:tab w:val="right" w:leader="underscore" w:pos="9639"/>
            </w:tabs>
            <w:ind w:firstLine="709"/>
            <w:jc w:val="both"/>
          </w:pPr>
          <w:r>
            <w:rPr>
              <w:rFonts w:ascii="MS Gothic" w:eastAsia="MS Gothic" w:hAnsi="MS Gothic"/>
              <w:iCs/>
              <w:szCs w:val="24"/>
              <w:lang w:eastAsia="lt-LT"/>
            </w:rPr>
            <w:t>☐</w:t>
          </w:r>
          <w:r>
            <w:rPr>
              <w:iCs/>
              <w:szCs w:val="24"/>
              <w:lang w:eastAsia="lt-LT"/>
            </w:rPr>
            <w:t xml:space="preserve"> Pagal išvestinę (-es) finansines priemonę (-es), kurios(-ių) atsiskaitymo laikotarpis yra kalendoriniai metai, parduotas kiekis sudaro ________ MWh.</w:t>
          </w:r>
        </w:p>
        <w:p>
          <w:pPr>
            <w:tabs>
              <w:tab w:val="right" w:leader="underscore" w:pos="9639"/>
            </w:tabs>
            <w:ind w:right="-426" w:firstLine="709"/>
            <w:jc w:val="both"/>
          </w:pPr>
        </w:p>
        <w:p>
          <w:pPr>
            <w:keepNext/>
            <w:keepLines/>
            <w:tabs>
              <w:tab w:val="right" w:leader="underscore" w:pos="9639"/>
            </w:tabs>
            <w:ind w:firstLine="709"/>
            <w:jc w:val="both"/>
          </w:pPr>
          <w:r>
            <w:t xml:space="preserve">Nurodau, kad </w:t>
          </w:r>
          <w:r>
            <w:rPr>
              <w:iCs/>
              <w:szCs w:val="24"/>
              <w:lang w:eastAsia="lt-LT"/>
            </w:rPr>
            <w:t>________ MWh</w:t>
          </w:r>
          <w:r>
            <w:t xml:space="preserve"> elektros energijos pardaviau susijusiam (-iems) asmenims (</w:t>
            <w:noBreakHyphen/>
            <w:t>ims).</w:t>
          </w:r>
        </w:p>
        <w:p>
          <w:pPr>
            <w:tabs>
              <w:tab w:val="right" w:leader="underscore" w:pos="9639"/>
            </w:tabs>
            <w:ind w:right="-426" w:firstLine="709"/>
            <w:jc w:val="both"/>
          </w:pPr>
        </w:p>
        <w:p>
          <w:pPr>
            <w:tabs>
              <w:tab w:val="right" w:leader="underscore" w:pos="9639"/>
            </w:tabs>
            <w:ind w:firstLine="709"/>
            <w:jc w:val="both"/>
          </w:pPr>
          <w:r>
            <w:t>Ūkio subjektas, teikdamas deklaraciją patikina, kad informacija pateikiama deklaracijoje, atitinka Lietuvos Respublikos įstatymo dėl Reglamento (ES) 2022/1854 įgyvendinimo ir Rinkos pajamų nustatymo ir pajamų perviršio skaičiavimo metodikos nurodytus reikalavimus.</w:t>
          </w:r>
        </w:p>
        <w:p>
          <w:pPr>
            <w:ind w:right="-426"/>
            <w:jc w:val="both"/>
          </w:pPr>
        </w:p>
        <w:p>
          <w:pPr>
            <w:ind w:right="-426"/>
            <w:jc w:val="both"/>
          </w:pPr>
          <w:r>
            <w:t>PRIDEDAMA:</w:t>
          </w:r>
        </w:p>
        <w:p>
          <w:pPr>
            <w:tabs>
              <w:tab w:val="right" w:leader="underscore" w:pos="9639"/>
            </w:tabs>
            <w:ind w:right="-426" w:firstLine="709"/>
            <w:jc w:val="both"/>
          </w:pPr>
          <w:r>
            <w:rPr>
              <w:rFonts w:ascii="MS Gothic" w:eastAsia="MS Gothic" w:hAnsi="MS Gothic"/>
              <w:iCs/>
              <w:szCs w:val="24"/>
              <w:lang w:eastAsia="lt-LT"/>
            </w:rPr>
            <w:t>☐</w:t>
          </w:r>
          <w:r>
            <w:rPr>
              <w:iCs/>
              <w:szCs w:val="24"/>
              <w:lang w:eastAsia="lt-LT"/>
            </w:rPr>
            <w:t xml:space="preserve"> Dokumentas pagal Metodikos 45.1 papunktį, ___ lapai (-ų);</w:t>
          </w:r>
        </w:p>
        <w:p>
          <w:pPr>
            <w:tabs>
              <w:tab w:val="right" w:leader="underscore" w:pos="9639"/>
            </w:tabs>
            <w:ind w:right="-426" w:firstLine="709"/>
            <w:jc w:val="both"/>
          </w:pPr>
          <w:r>
            <w:rPr>
              <w:rFonts w:ascii="MS Gothic" w:eastAsia="MS Gothic" w:hAnsi="MS Gothic"/>
              <w:iCs/>
              <w:szCs w:val="24"/>
              <w:lang w:eastAsia="lt-LT"/>
            </w:rPr>
            <w:t>☐</w:t>
          </w:r>
          <w:r>
            <w:rPr>
              <w:iCs/>
              <w:szCs w:val="24"/>
              <w:lang w:eastAsia="lt-LT"/>
            </w:rPr>
            <w:t xml:space="preserve"> Dokumentas pagal Metodikos 45.2 papunktį, ___ lapai (-ų);</w:t>
          </w:r>
        </w:p>
        <w:p>
          <w:pPr>
            <w:tabs>
              <w:tab w:val="right" w:leader="underscore" w:pos="9639"/>
            </w:tabs>
            <w:ind w:right="-426" w:firstLine="709"/>
            <w:jc w:val="both"/>
          </w:pPr>
          <w:r>
            <w:rPr>
              <w:rFonts w:ascii="MS Gothic" w:eastAsia="MS Gothic" w:hAnsi="MS Gothic"/>
            </w:rPr>
            <w:t>☐</w:t>
          </w:r>
          <w:r>
            <w:t xml:space="preserve"> </w:t>
          </w:r>
          <w:r>
            <w:rPr>
              <w:iCs/>
              <w:szCs w:val="24"/>
              <w:lang w:eastAsia="lt-LT"/>
            </w:rPr>
            <w:t>Dokumentas pagal Metodikos 45.3 papunktį, ___ lapai (-ų);</w:t>
          </w:r>
        </w:p>
        <w:p>
          <w:pPr>
            <w:tabs>
              <w:tab w:val="right" w:leader="underscore" w:pos="9639"/>
            </w:tabs>
            <w:ind w:right="-426" w:firstLine="709"/>
            <w:jc w:val="both"/>
          </w:pPr>
          <w:r>
            <w:rPr>
              <w:rFonts w:ascii="MS Gothic" w:eastAsia="MS Gothic" w:hAnsi="MS Gothic"/>
              <w:iCs/>
              <w:szCs w:val="24"/>
              <w:lang w:eastAsia="lt-LT"/>
            </w:rPr>
            <w:t>☐</w:t>
          </w:r>
          <w:r>
            <w:rPr>
              <w:iCs/>
              <w:szCs w:val="24"/>
              <w:lang w:eastAsia="lt-LT"/>
            </w:rPr>
            <w:t xml:space="preserve"> Dokumentas pagal Metodikos 45.4 papunktį, ___ lapai (-ų);</w:t>
          </w:r>
        </w:p>
        <w:p>
          <w:pPr>
            <w:tabs>
              <w:tab w:val="right" w:leader="underscore" w:pos="9639"/>
            </w:tabs>
            <w:ind w:right="-426" w:firstLine="709"/>
            <w:jc w:val="both"/>
          </w:pPr>
          <w:r>
            <w:rPr>
              <w:rFonts w:ascii="MS Gothic" w:eastAsia="MS Gothic" w:hAnsi="MS Gothic"/>
              <w:iCs/>
              <w:szCs w:val="24"/>
              <w:lang w:eastAsia="lt-LT"/>
            </w:rPr>
            <w:t>☐</w:t>
          </w:r>
          <w:r>
            <w:rPr>
              <w:iCs/>
              <w:szCs w:val="24"/>
              <w:lang w:eastAsia="lt-LT"/>
            </w:rPr>
            <w:t xml:space="preserve"> Dokumentas pagal Metodikos 45.5 papunktį, ___ lapai (-ų);</w:t>
          </w:r>
        </w:p>
        <w:p>
          <w:pPr>
            <w:tabs>
              <w:tab w:val="right" w:leader="underscore" w:pos="9639"/>
            </w:tabs>
            <w:ind w:right="-426" w:firstLine="709"/>
            <w:jc w:val="both"/>
            <w:rPr>
              <w:iCs/>
              <w:szCs w:val="24"/>
              <w:lang w:eastAsia="lt-LT"/>
            </w:rPr>
          </w:pPr>
          <w:r>
            <w:rPr>
              <w:rFonts w:ascii="MS Gothic" w:eastAsia="MS Gothic" w:hAnsi="MS Gothic"/>
              <w:iCs/>
              <w:szCs w:val="24"/>
              <w:lang w:eastAsia="lt-LT"/>
            </w:rPr>
            <w:t>☐</w:t>
          </w:r>
          <w:r>
            <w:rPr>
              <w:iCs/>
              <w:szCs w:val="24"/>
              <w:lang w:eastAsia="lt-LT"/>
            </w:rPr>
            <w:t xml:space="preserve"> Dokumentas pagal Metodikos 45.6 papunktį, ___ lapai (-ų);</w:t>
          </w:r>
        </w:p>
        <w:p>
          <w:pPr>
            <w:tabs>
              <w:tab w:val="right" w:leader="underscore" w:pos="9639"/>
            </w:tabs>
            <w:ind w:right="-426" w:firstLine="709"/>
            <w:jc w:val="both"/>
          </w:pPr>
          <w:r>
            <w:rPr>
              <w:rFonts w:ascii="MS Gothic" w:eastAsia="MS Gothic" w:hAnsi="MS Gothic"/>
              <w:iCs/>
              <w:szCs w:val="24"/>
              <w:lang w:eastAsia="lt-LT"/>
            </w:rPr>
            <w:t>☐</w:t>
          </w:r>
          <w:r>
            <w:rPr>
              <w:iCs/>
              <w:szCs w:val="24"/>
              <w:lang w:eastAsia="lt-LT"/>
            </w:rPr>
            <w:t xml:space="preserve"> Dokumentas pagal Metodikos 45.7 papunktį, ___ lapai (-ų);</w:t>
          </w:r>
        </w:p>
        <w:p>
          <w:pPr>
            <w:tabs>
              <w:tab w:val="right" w:leader="underscore" w:pos="9639"/>
            </w:tabs>
            <w:ind w:right="-426" w:firstLine="709"/>
            <w:jc w:val="both"/>
          </w:pPr>
          <w:r>
            <w:rPr>
              <w:rFonts w:ascii="MS Gothic" w:eastAsia="MS Gothic" w:hAnsi="MS Gothic"/>
              <w:iCs/>
              <w:szCs w:val="24"/>
              <w:lang w:eastAsia="lt-LT"/>
            </w:rPr>
            <w:t>☐</w:t>
          </w:r>
          <w:r>
            <w:rPr>
              <w:iCs/>
              <w:szCs w:val="24"/>
              <w:lang w:eastAsia="lt-LT"/>
            </w:rPr>
            <w:t xml:space="preserve"> Dokumentas pagal Metodikos 45.8 papunktį, ___ lapai (-ų);</w:t>
          </w:r>
        </w:p>
        <w:p>
          <w:pPr>
            <w:tabs>
              <w:tab w:val="right" w:leader="underscore" w:pos="9639"/>
            </w:tabs>
            <w:ind w:right="-426" w:firstLine="709"/>
            <w:jc w:val="both"/>
          </w:pPr>
          <w:r>
            <w:rPr>
              <w:rFonts w:ascii="MS Gothic" w:eastAsia="MS Gothic" w:hAnsi="MS Gothic"/>
            </w:rPr>
            <w:t>☐</w:t>
          </w:r>
          <w:r>
            <w:t xml:space="preserve"> </w:t>
          </w:r>
          <w:r>
            <w:rPr>
              <w:iCs/>
              <w:szCs w:val="24"/>
              <w:lang w:eastAsia="lt-LT"/>
            </w:rPr>
            <w:t>Dokumentas pagal Metodikos 45.9 papunktį, ___ lapai (-ų).</w:t>
          </w:r>
        </w:p>
        <w:p>
          <w:pPr>
            <w:ind w:right="-426"/>
            <w:jc w:val="both"/>
          </w:pPr>
        </w:p>
        <w:p>
          <w:pPr>
            <w:ind w:right="-426"/>
            <w:jc w:val="both"/>
          </w:pPr>
        </w:p>
        <w:tbl>
          <w:tblPr>
            <w:tblW w:w="9645" w:type="dxa"/>
            <w:tblLayout w:type="fixed"/>
            <w:tblCellMar>
              <w:left w:w="0" w:type="dxa"/>
              <w:right w:w="0" w:type="dxa"/>
            </w:tblCellMar>
            <w:tblLook w:val="01E0" w:firstRow="1" w:lastRow="1" w:firstColumn="1" w:lastColumn="1" w:noHBand="0" w:noVBand="0"/>
          </w:tblPr>
          <w:tblGrid>
            <w:gridCol w:w="4070"/>
            <w:gridCol w:w="1787"/>
            <w:gridCol w:w="3788"/>
          </w:tblGrid>
          <w:tr>
            <w:tc>
              <w:tcPr>
                <w:tcW w:w="4070" w:type="dxa"/>
                <w:hideMark/>
              </w:tcPr>
              <w:p>
                <w:pPr>
                  <w:ind w:right="-426"/>
                  <w:jc w:val="both"/>
                </w:pPr>
                <w:r>
                  <w:t>(Pareigų pavadinimas)</w:t>
                </w:r>
              </w:p>
            </w:tc>
            <w:tc>
              <w:tcPr>
                <w:tcW w:w="1787" w:type="dxa"/>
                <w:hideMark/>
              </w:tcPr>
              <w:p>
                <w:pPr>
                  <w:ind w:right="-426"/>
                  <w:jc w:val="center"/>
                </w:pPr>
                <w:r>
                  <w:t>(Parašas)</w:t>
                </w:r>
              </w:p>
            </w:tc>
            <w:tc>
              <w:tcPr>
                <w:tcW w:w="3788" w:type="dxa"/>
                <w:hideMark/>
              </w:tcPr>
              <w:p>
                <w:pPr>
                  <w:ind w:right="-426"/>
                  <w:jc w:val="center"/>
                </w:pPr>
                <w:r>
                  <w:t>(Vardas ir pavardė)</w:t>
                </w:r>
              </w:p>
            </w:tc>
          </w:tr>
          <w:tr>
            <w:tc>
              <w:tcPr>
                <w:tcW w:w="4070" w:type="dxa"/>
              </w:tcPr>
              <w:p>
                <w:pPr>
                  <w:ind w:right="-426"/>
                  <w:jc w:val="both"/>
                </w:pPr>
              </w:p>
            </w:tc>
            <w:tc>
              <w:tcPr>
                <w:tcW w:w="1787" w:type="dxa"/>
              </w:tcPr>
              <w:p>
                <w:pPr>
                  <w:ind w:right="-426"/>
                  <w:jc w:val="center"/>
                </w:pPr>
              </w:p>
            </w:tc>
            <w:tc>
              <w:tcPr>
                <w:tcW w:w="3788" w:type="dxa"/>
              </w:tcPr>
              <w:p>
                <w:pPr>
                  <w:ind w:right="-426"/>
                  <w:jc w:val="right"/>
                </w:pPr>
              </w:p>
            </w:tc>
          </w:tr>
        </w:tbl>
        <w:p>
          <w:pPr>
            <w:widowControl w:val="0"/>
            <w:spacing w:line="276" w:lineRule="auto"/>
            <w:ind w:right="-426"/>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7c0820b37711ed8df094f359a60216">
            <w:r w:rsidRPr="00532B9F">
              <w:rPr>
                <w:rFonts w:ascii="Times New Roman" w:eastAsia="MS Mincho" w:hAnsi="Times New Roman"/>
                <w:sz w:val="20"/>
                <w:i/>
                <w:iCs/>
                <w:color w:val="0000FF" w:themeColor="hyperlink"/>
                <w:u w:val="single"/>
              </w:rPr>
              <w:t>O3E-209</w:t>
            </w:r>
          </w:fldSimple>
          <w:r>
            <w:rPr>
              <w:rFonts w:ascii="Times New Roman" w:eastAsia="MS Mincho" w:hAnsi="Times New Roman"/>
              <w:sz w:val="20"/>
              <w:i/>
              <w:iCs/>
            </w:rPr>
            <w:t>,
2023-02-23,
paskelbta TAR 2023-02-23, i. k. 2023-03221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energetikos reguliavimo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57c0820b37711ed8df094f359a60216">
            <w:r w:rsidRPr="00532B9F">
              <w:rPr>
                <w:rFonts w:ascii="Times New Roman" w:eastAsia="MS Mincho" w:hAnsi="Times New Roman"/>
                <w:sz w:val="20"/>
                <w:iCs/>
                <w:color w:val="0000FF" w:themeColor="hyperlink"/>
                <w:u w:val="single"/>
              </w:rPr>
              <w:t>O3E-209</w:t>
            </w:r>
          </w:fldSimple>
          <w:r>
            <w:rPr>
              <w:rFonts w:ascii="Times New Roman" w:eastAsia="MS Mincho" w:hAnsi="Times New Roman"/>
              <w:sz w:val="20"/>
              <w:iCs/>
            </w:rPr>
            <w:t>,
2023-02-23,
paskelbta TAR 2023-02-23, i. k. 2023-03221                </w:t>
          </w:r>
        </w:p>
        <w:p>
          <w:pPr>
            <w:jc w:val="both"/>
            <w:rPr>
              <w:rFonts w:ascii="Times New Roman" w:hAnsi="Times New Roman"/>
            </w:rPr>
          </w:pPr>
          <w:r>
            <w:rPr>
              <w:rFonts w:ascii="Times New Roman" w:hAnsi="Times New Roman"/>
              <w:sz w:val="20"/>
            </w:rPr>
            <w:t>Dėl valstybinės energetikos reguliavimo tarybos 2022 m. gruodžio 30 d. nutarimo Nr. O3E-1811 „Dėl Rinkos pajamų nustatymo ir pajamų perviršio skaičiavimo metodikos patvirtinimo“ pakeitimo</w:t>
          </w:r>
        </w:p>
        <w:p>
          <w:pPr>
            <w:jc w:val="both"/>
            <w:rPr>
              <w:rFonts w:ascii="Times New Roman" w:hAnsi="Times New Roman"/>
              <w:sz w:val="20"/>
            </w:rPr>
          </w:pPr>
        </w:p>
        <w:p>
          <w:pPr>
            <w:widowControl w:val="0"/>
            <w:rPr>
              <w:rFonts w:ascii="Times New Roman" w:hAnsi="Times New Roman"/>
              <w:snapToGrid w:val="0"/>
            </w:rPr>
          </w:pPr>
        </w:p>
      </w:sdtContent>
    </w:sdt>
    <w:p>
      <w:pPr>
        <w:widowControl w:val="0"/>
        <w:spacing w:line="276" w:lineRule="auto"/>
        <w:rPr>
          <w:szCs w:val="24"/>
        </w:rPr>
      </w:pPr>
    </w:p>
    <w:sectPr>
      <w:pgSz w:w="11907" w:h="16840" w:code="9"/>
      <w:pgMar w:top="568" w:right="1134" w:bottom="851" w:left="1134" w:header="567" w:footer="284"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 w:type="continuationNotice" w:id="1">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Math">
    <w:panose1 w:val="02040503050406030204"/>
    <w:charset w:val="BA"/>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Vrinda">
    <w:panose1 w:val="00000400000000000000"/>
    <w:charset w:val="00"/>
    <w:family w:val="swiss"/>
    <w:pitch w:val="variable"/>
    <w:sig w:usb0="00010003" w:usb1="00000000" w:usb2="00000000" w:usb3="00000000" w:csb0="00000001"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 w:type="continuationNotice" w:id="1">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tabs>
        <w:tab w:val="center" w:pos="4819"/>
        <w:tab w:val="right" w:pos="9638"/>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6"/>
  <w:proofState w:spelling="clean" w:grammar="clean"/>
  <w:defaultTabStop w:val="1298"/>
  <w:hyphenationZone w:val="396"/>
  <w:doNotHyphenateCaps/>
  <w:drawingGridHorizontalSpacing w:val="120"/>
  <w:displayHorizontalDrawingGridEvery w:val="2"/>
  <w:displayVerticalDrawingGridEvery w:val="2"/>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3A1F"/>
  </w:rsids>
  <m:mathPr>
    <m:mathFont m:val="Cambria Math"/>
    <m:brkBin m:val="before"/>
    <m:brkBinSub m:val="--"/>
    <m:smallFrac m:val="0"/>
    <m:dispDef/>
    <m:lMargin m:val="0"/>
    <m:rMargin m:val="0"/>
    <m:defJc m:val="centerGroup"/>
    <m:wrapIndent m:val="1440"/>
    <m:intLim m:val="subSup"/>
    <m:naryLim m:val="undOvr"/>
  </m:mathPr>
  <w:themeFontLang w:val="lt-LT" w:eastAsia="ja-JP" w:bidi="bn-I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CA1A70B"/>
  <w15:docId w15:val="{534BAFB0-085E-45F8-B6EB-D5F894D48A7C}"/>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91121199">
      <w:bodyDiv w:val="1"/>
      <w:marLeft w:val="0"/>
      <w:marRight w:val="0"/>
      <w:marTop w:val="0"/>
      <w:marBottom w:val="0"/>
      <w:divBdr>
        <w:top w:val="none" w:sz="0" w:space="0" w:color="auto"/>
        <w:left w:val="none" w:sz="0" w:space="0" w:color="auto"/>
        <w:bottom w:val="none" w:sz="0" w:space="0" w:color="auto"/>
        <w:right w:val="none" w:sz="0" w:space="0" w:color="auto"/>
      </w:divBdr>
    </w:div>
    <w:div w:id="964968785">
      <w:bodyDiv w:val="1"/>
      <w:marLeft w:val="0"/>
      <w:marRight w:val="0"/>
      <w:marTop w:val="0"/>
      <w:marBottom w:val="0"/>
      <w:divBdr>
        <w:top w:val="none" w:sz="0" w:space="0" w:color="auto"/>
        <w:left w:val="none" w:sz="0" w:space="0" w:color="auto"/>
        <w:bottom w:val="none" w:sz="0" w:space="0" w:color="auto"/>
        <w:right w:val="none" w:sz="0" w:space="0" w:color="auto"/>
      </w:divBdr>
    </w:div>
    <w:div w:id="1127165990">
      <w:bodyDiv w:val="1"/>
      <w:marLeft w:val="0"/>
      <w:marRight w:val="0"/>
      <w:marTop w:val="0"/>
      <w:marBottom w:val="0"/>
      <w:divBdr>
        <w:top w:val="none" w:sz="0" w:space="0" w:color="auto"/>
        <w:left w:val="none" w:sz="0" w:space="0" w:color="auto"/>
        <w:bottom w:val="none" w:sz="0" w:space="0" w:color="auto"/>
        <w:right w:val="none" w:sz="0" w:space="0" w:color="auto"/>
      </w:divBdr>
      <w:divsChild>
        <w:div w:id="59837335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theme" Target="theme/theme1.xml"/>
  <Relationship Id="rId11" Type="http://schemas.openxmlformats.org/officeDocument/2006/relationships/webSettings" Target="webSettings.xml"/>
  <Relationship Id="rId12" Type="http://schemas.openxmlformats.org/officeDocument/2006/relationships/image" Target="media/image1.png"/>
  <Relationship Id="rId13" Type="http://schemas.openxmlformats.org/officeDocument/2006/relationships/image" Target="media/image1.wmf"/>
  <Relationship Id="rId14" Type="http://schemas.openxmlformats.org/officeDocument/2006/relationships/header" Target="header4.xml"/>
  <Relationship Id="rId15" Type="http://schemas.openxmlformats.org/officeDocument/2006/relationships/header" Target="header5.xml"/>
  <Relationship Id="rId16" Type="http://schemas.openxmlformats.org/officeDocument/2006/relationships/footer" Target="footer4.xml"/>
  <Relationship Id="rId17" Type="http://schemas.openxmlformats.org/officeDocument/2006/relationships/footer" Target="footer5.xml"/>
  <Relationship Id="rId18" Type="http://schemas.openxmlformats.org/officeDocument/2006/relationships/header" Target="header6.xml"/>
  <Relationship Id="rId19" Type="http://schemas.openxmlformats.org/officeDocument/2006/relationships/footer" Target="footer6.xml"/>
  <Relationship Id="rId2" Type="http://schemas.openxmlformats.org/officeDocument/2006/relationships/customXml" Target="../customXml/item2.xml"/>
  <Relationship Id="rId20" Type="http://schemas.openxmlformats.org/officeDocument/2006/relationships/header" Target="header7.xml"/>
  <Relationship Id="rId21" Type="http://schemas.openxmlformats.org/officeDocument/2006/relationships/header" Target="header8.xml"/>
  <Relationship Id="rId22" Type="http://schemas.openxmlformats.org/officeDocument/2006/relationships/footer" Target="footer7.xml"/>
  <Relationship Id="rId23" Type="http://schemas.openxmlformats.org/officeDocument/2006/relationships/footer" Target="footer8.xml"/>
  <Relationship Id="rId24" Type="http://schemas.openxmlformats.org/officeDocument/2006/relationships/header" Target="header9.xml"/>
  <Relationship Id="rId25" Type="http://schemas.openxmlformats.org/officeDocument/2006/relationships/footer" Target="footer9.xml"/>
  <Relationship Id="rId26" Type="http://schemas.openxmlformats.org/officeDocument/2006/relationships/customXml" Target="../customXml/item4.xml"/>
  <Relationship Id="rId3" Type="http://schemas.openxmlformats.org/officeDocument/2006/relationships/customXml" Target="../customXml/item3.xml"/>
  <Relationship Id="rId4" Type="http://schemas.openxmlformats.org/officeDocument/2006/relationships/customXml" Target="../customXml/item6.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notes" Target="footnotes.xml"/>
  <Relationship Id="rId8" Type="http://schemas.openxmlformats.org/officeDocument/2006/relationships/settings" Target="settings.xml"/>
  <Relationship Id="rId9" Type="http://schemas.openxmlformats.org/officeDocument/2006/relationships/styles" Target="styl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73F15CCD-424C-445D-AE70-A540BDD0DCCF}"/>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Cambria Math">
    <w:panose1 w:val="02040503050406030204"/>
    <w:charset w:val="BA"/>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Vrinda">
    <w:panose1 w:val="00000400000000000000"/>
    <w:charset w:val="00"/>
    <w:family w:val="swiss"/>
    <w:pitch w:val="variable"/>
    <w:sig w:usb0="00010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revisionView w:comments="0"/>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6DB0"/>
    <w:rsid w:val="00F46DB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46DB0"/>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D62EEB771CCCAF49A3FF03473A1CC216" ma:contentTypeVersion="14" ma:contentTypeDescription="Kurkite naują dokumentą." ma:contentTypeScope="" ma:versionID="6b9ba5bf2ac77411f5b0f28348231628">
  <xsd:schema xmlns:xsd="http://www.w3.org/2001/XMLSchema" xmlns:ns3="af147e36-1013-4bd1-90cb-07922bee0ac0" xmlns:ns4="1f060228-0473-491b-a6c8-a25e86a750c1" targetNamespace="http://schemas.microsoft.com/office/2006/metadata/properties" ma:root="true" ma:fieldsID="94bec0b485585d7d61fc2d82cb37fbb8" ns3:_="" ns4:_="">
    <xsd:import namespace="af147e36-1013-4bd1-90cb-07922bee0ac0"/>
    <xsd:import namespace="1f060228-0473-491b-a6c8-a25e86a750c1"/>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all>
            </xsd:complexType>
          </xsd:element>
        </xsd:sequence>
      </xsd:complexType>
    </xsd:element>
  </xsd:schema>
  <xsd:schema xmlns:xsd="http://www.w3.org/2001/XMLSchema" targetNamespace="af147e36-1013-4bd1-90cb-07922bee0ac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targetNamespace="1f060228-0473-491b-a6c8-a25e86a750c1"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element name="SharingHintHash" ma:index="12" nillable="true" ma:displayName="Bendrinimo užuominos maiša" ma:hidden="true" ma:internalName="SharingHintHash" ma:readOnly="true">
      <xsd:simpleType>
        <xsd:restriction base="dms:Text"/>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a3db940bace645959dea93922c9a8407" PartId="b43a0249a3bd421d8bc9746932d552ab">
    <Part Type="preambule" DocPartId="02d6bbbeab674ceda4dad84db8828842" PartId="238328ad9a1b4e108b66dcc250596d1e"/>
    <Part Type="pastraipa" DocPartId="88d67de2c5db41528c5c05792a18fead" PartId="bb3d424a6ca44fb08e34b3f8b5c10358"/>
    <Part Type="signatura" DocPartId="a77d9acec9e84bb6a29b8c2aae5c1c91" PartId="3e9380ef69cc4fada8c598095968aa74"/>
  </Part>
  <Part Type="patvirtinta" Title="RINKOS PAJAMŲ NUSTATYMO IR PAJAMŲ PERVIRŠIO SKAIČIAVIMO METODIKA" DocPartId="5923089f59f746e49015c227f1ce69e4" PartId="56e4bf5e019b414cb81983479262092d">
    <Part Type="skyrius" Nr="1" Title="BENDROSIOS NUOSTATOS" DocPartId="0732af0c1e034102aacfedd850335290" PartId="ee4f406c782d41a1a5ffd51bfbbeefb7">
      <Part Type="punktas" Nr="1" Abbr="1 p." DocPartId="b19a6bb15e944d6cb88ca99e186b6623" PartId="44312d0662f64791b67eb7600a7911bf"/>
      <Part Type="punktas" Nr="2" Abbr="2 p." DocPartId="e845d438145041e4a80cf1d7f7199456" PartId="3ef451eaa54e4081aec454f4d5c52d01"/>
      <Part Type="punktas" Nr="3" Abbr="3 p." DocPartId="0de974aba21441b5ab8c6168082efae7" PartId="1cbcb6e1cd814ab9817785d49b98038d">
        <Part Type="papunktis" Nr="3.1" Abbr="3.1 pp." DocPartId="98894ef1397c449b8f120888ba839b3c" PartId="02d4d071bb7743cfa8333f0bdd9e4970"/>
        <Part Type="papunktis" Nr="3.2" Abbr="3.2 pp." DocPartId="84d30cbef55345ba9b0ca51b82022720" PartId="9e1c0d6ecc57449faf12ad4efc80b3a3"/>
        <Part Type="papunktis" Nr="3.3" Abbr="3.3 pp." DocPartId="fb1f5c09f4fb44479c09b2687d181a17" PartId="5b209bb454be4025b46fc71eb229405f"/>
        <Part Type="papunktis" Nr="3.4" Abbr="3.4 pp." DocPartId="9f8b2e951fd044ada9d1a0eff94cef8a" PartId="b97157926ca54dd59da6d257815bce91"/>
        <Part Type="papunktis" Nr="3.5" Abbr="3.5 pp." DocPartId="c9e243e5708249b29a5dd47ebbd83a6c" PartId="3627fa215342450691e218f10927181a"/>
        <Part Type="papunktis" Nr="3.6" Abbr="3.6 pp." DocPartId="e2d144846d1f4e20b84bf528fe7cf3ac" PartId="561903985ab2484db34c1c831bae4363"/>
        <Part Type="papunktis" Nr="3.7" Abbr="3.7 pp." DocPartId="6473c6fef99c4a2d8cf17fded09c2b5b" PartId="c67ef16dc87c450dbf6889601d46dc06"/>
      </Part>
      <Part Type="punktas" Nr="4" Abbr="4 p." DocPartId="de1f73232c4f485ab6a228cf4fad102a" PartId="f2aa865b269e4f099e76ddd53d325b18">
        <Part Type="papunktis" Nr="4.1" Abbr="4.1 pp." DocPartId="8703ef532aa44f119dbddfaec1dcfa31" PartId="71d63ce6d216462498786a48dd812e96"/>
        <Part Type="papunktis" Nr="4.2" Abbr="4.2 pp." DocPartId="04de7afbdb504eb58e3ddf2428616405" PartId="0f5f6bb189934388a1e92f467bf9dab8"/>
        <Part Type="papunktis" Nr="4.3" Abbr="4.3 pp." DocPartId="7e035ff80d2d4c03a9663c5c5cdda46b" PartId="d5083964b1c94893bca0e324d5305bf2"/>
      </Part>
      <Part Type="punktas" Nr="5" Abbr="5 p." DocPartId="1f65842d455a4def8d3fcbd56e9caa1e" PartId="9d85169475a7427798b8a256e203b3cd"/>
    </Part>
    <Part Type="skyrius" Nr="2" Title="RINKOS PAJAMŲ IR PAJAMŲ PERVIRŠIO NUSTATYMO TAIKYMAS" DocPartId="28311391157e478abde76cdb1bf6d1d5" PartId="57769163665549328312d7881c337aea">
      <Part Type="punktas" Nr="6" Abbr="6 p." DocPartId="4fa29dedb190465cbb109952143f0eaa" PartId="380d4bc075044c3abf3c601059529f1c">
        <Part Type="papunktis" Nr="6.1" Abbr="6.1 pp." DocPartId="a5903d6fbb0c495d83bc5dd7b197f378" PartId="b655850935734f29b12664fa7a1b1e9f"/>
        <Part Type="papunktis" Nr="6.2" Abbr="6.2 pp." DocPartId="c4561cb00b75454697d829889cd17c7c" PartId="70a309c48296412c9d776f0a9d1d5ec6"/>
        <Part Type="papunktis" Nr="6.3" Abbr="6.3 pp." DocPartId="70739b35342c46a7a5248e27e946fdb0" PartId="cc7bb9c5fc4f4861921be29e782eac76"/>
        <Part Type="papunktis" Nr="6.4" Abbr="6.4 pp." DocPartId="2457ee0b7387490998fd0dad4d00342d" PartId="058f6703e4d344fca95ad85b7a908af1"/>
        <Part Type="papunktis" Nr="6.5" Abbr="6.5 pp." DocPartId="911011284cf644ddadc9e4e1f7504676" PartId="d6c702a8e3e849899fc2a6ce251a42fd"/>
        <Part Type="papunktis" Nr="6.6" Abbr="6.6 pp." DocPartId="3b32b075244b4fc988306866f4746bc8" PartId="81683d12d3bb4b1a8fe7bba28d3df768"/>
        <Part Type="papunktis" Nr="6.7" Abbr="6.7 pp." DocPartId="fab1b9993aaf445ca6ea18cc92de28db" PartId="0129f143d17c49b3944e5aad50d71939"/>
        <Part Type="papunktis" Nr="6.8" Abbr="6.8 pp." DocPartId="73e365b273eb40d688206bea37cc3849" PartId="57ced6ad98754504b6d11036c9ac7883"/>
        <Part Type="papunktis" Nr="6.9" Abbr="6.9 pp." DocPartId="600da53be0844dc399147f9410b7b40c" PartId="7dc4051011434f3ba6a23178cfc14174"/>
        <Part Type="papunktis" Nr="6.10" Abbr="6.10 pp." DocPartId="a4a724883e8648be964d7691f716e6ad" PartId="7308c6109eea4580b00a5c9f09b6f4c4"/>
      </Part>
      <Part Type="punktas" Nr="7" Abbr="7 p." DocPartId="cddbdef362694cfda241c17d03ee5677" PartId="2e28b00688cf48989d4b3e91dbbc4256"/>
      <Part Type="punktas" Nr="8" Abbr="8 p." DocPartId="548240abc64642b6b683dca959109d23" PartId="e1547a512abd45f3a11b191822237f35"/>
      <Part Type="punktas" Nr="9" Abbr="9 p." DocPartId="315833805d5c41dd826ce0a09f65c499" PartId="86dd6c49d2bf48f8b4730449a9d48509"/>
      <Part Type="punktas" Nr="10" Abbr="10 p." DocPartId="e551db84697b46b0bee15d04ae071f89" PartId="e8ecc769bfb74d2b973d97f48e62d3ba"/>
      <Part Type="punktas" Nr="11" Abbr="11 p." DocPartId="974bad1d86004f09a4a3645426f72a4d" PartId="8d57104f01f448f084b706a9c949c2e2"/>
      <Part Type="punktas" Nr="12" Abbr="12 p." DocPartId="f1007cca8177476c84f6bb9bb0759c26" PartId="af66c4a802a44d8a9a9b51e6c7c7530f">
        <Part Type="papunktis" Nr="12.1" Abbr="12.1 pp." DocPartId="489795bc70f24bb89e8d6a38b2d296b1" PartId="040ed0ddce82486f8456aeee2470b5dc"/>
        <Part Type="papunktis" Nr="12.2" Abbr="12.2 pp." DocPartId="a694fc9ec788418a97208dee62d71253" PartId="91c68028824945959811adaca8921f32"/>
        <Part Type="papunktis" Nr="12.3" Abbr="12.3 pp." DocPartId="ef1b19a9f089459aabafc5d73b9df52b" PartId="4fc84fad6acc4b24952314a94a3aec73"/>
      </Part>
      <Part Type="punktas" Nr="13" Abbr="13 p." DocPartId="ac0e2de149d44b06b8bbe31f52c04f89" PartId="54687e1ae11242878af80cafc4dae67c">
        <Part Type="papunktis" Nr="13.1" Abbr="13.1 pp." DocPartId="15f5fbb6c7484a19a8f9c8c666afa00e" PartId="bdf3484d72e94a19b06d27d738a2d881"/>
        <Part Type="papunktis" Nr="13.2" Abbr="13.2 pp." DocPartId="6c5bdee736cf49d48f0e6009ffb9906f" PartId="89ca20ba6092463ab48fa61f1304d1c1"/>
        <Part Type="papunktis" Nr="13.3" Abbr="13.3 pp." DocPartId="656201aaca374449af267c397359d596" PartId="8afd5d31e8f140c08f02f167326d7de7"/>
        <Part Type="papunktis" Nr="13.4" Abbr="13.4 pp." DocPartId="e25fb34259054680a08bca87ef83c2a8" PartId="fa9c308d6c074ad4810921db760d812c"/>
        <Part Type="papunktis" Nr="13.5" Abbr="13.5 pp." DocPartId="5d483f7788b54cc1a54b20983921d9cd" PartId="b84110f0dfe2497d97062904e8f47efc"/>
      </Part>
      <Part Type="punktas" Nr="14" Abbr="14 p." DocPartId="ad7f5032a48248059cfa23a33ee96764" PartId="d724383d67b64b2b940c9bcf1ae7b16d"/>
      <Part Type="punktas" Nr="15" Abbr="15 p." DocPartId="84161d1c62cb4f0cb6ef20a2bb7a9d66" PartId="8fa0a3b1b33a4eb9945a41f817e5a96d"/>
      <Part Type="punktas" Nr="16" Abbr="16 p." DocPartId="1fbb6e0cf00144bca35c4bd3b2fab65b" PartId="dc7da20fc3f54ce89ed7b03f7d22bfcf"/>
      <Part Type="punktas" Nr="17" Abbr="17 p." DocPartId="232c45ba117e451f8dacc7f6dc95b32d" PartId="b1af4cc38412469ea88ffe4e713404a7"/>
      <Part Type="punktas" Nr="18" Abbr="18 p." DocPartId="2c78c69e4f184ef7b708e79c56e642be" PartId="faa4a238e53f4c76b6c90b3af31e328a"/>
      <Part Type="punktas" Nr="19" Abbr="19 p." DocPartId="dd6815ef1974421ea93603debfdae28f" PartId="6db10bef5fcf4b50bac44e10ff20bb01"/>
      <Part Type="punktas" Nr="20" Abbr="20 p." DocPartId="b697bfd9c914430a891cd513b1201cbc" PartId="c294b5648d614a838518afe9c299aa47"/>
    </Part>
    <Part Type="skyrius" Nr="3" Title="RINKOS PAJAMŲ IR PAJAMŲ PERVIRŠIO SKAIČIAVIMO TVARKA" DocPartId="251d1c6b61454602977d56e568cca51d" PartId="cb08d724af134ac69b6b3c16fa04991a">
      <Part Type="punktas" Nr="21" Abbr="21 p." DocPartId="c90f32e70bf048798ca0a8d3c17244f1" PartId="55758342702e4ac58dd98db67abe714e"/>
      <Part Type="punktas" Nr="22" Abbr="22 p." DocPartId="6d59a3bb1005490998b563e83bfad4a4" PartId="254ae394d6a14347b3762b1165721fb0"/>
      <Part Type="punktas" Nr="23" Abbr="23 p." DocPartId="04af0a0807ad4b0fabef1721b9d4dd94" PartId="13ccc78f73824248a95ed88e65477b87"/>
      <Part Type="punktas" Nr="24" Abbr="24 p." DocPartId="916643dfc4de42018fb7fff94c6ae358" PartId="50b1b5e82ed64d1c92b2987124b40e10"/>
      <Part Type="punktas" Nr="25" Abbr="25 p." DocPartId="a05c919c4b0a4343819fd69903e53c31" PartId="c3b7cf4a003d4c779328c9de79accd9b"/>
      <Part Type="punktas" Nr="26" Abbr="26 p." DocPartId="e99d6761778c41a6a32b0ebfa75f7af4" PartId="1e122d06de9841499d9c00ade7e921ba"/>
      <Part Type="punktas" Nr="27" Abbr="27 p." DocPartId="c00f85dc321d49f1b53bde944e7995d8" PartId="fd28372d4a104ef3b82d76164e742538"/>
      <Part Type="punktas" Nr="28" Abbr="28 p." DocPartId="06b19f9519174529acddc68b7c9bae5a" PartId="14e5847831d141d28afef3d5bb2ef50b"/>
      <Part Type="punktas" Nr="29" Abbr="29 p." DocPartId="bdb7419fb5da41f3ae10e8ef1690f3f7" PartId="6273555028634c5ba12d375f9d8a11e2"/>
    </Part>
    <Part Type="skyrius" Nr="4" Title="DUOMENŲ, REIKALINGŲ RINKOS PAJAMŲ PERVIRŠIUI APSKAIČIUOTI, PATEIKIMAS, PAJAMŲ PERVIRŠIO SUMOS APSKAIČIAVIMAS IR PERVEDIMAS BEI JŲ KONTROLĖ" DocPartId="bbc9a447f08e49b2bec220487a654ea1" PartId="8df2d2c8f2ed48528ac1bf709fd18afb">
      <Part Type="punktas" Nr="30" Abbr="30 p." DocPartId="24d669250c67426796a5353886bd57a8" PartId="7c7b0b910c6642fab9c240054ce85fa6"/>
      <Part Type="punktas" Nr="31" Abbr="31 p." DocPartId="b22cef7ea78247c49d902fd829da90b7" PartId="6bc91a0d063d496eb428336acf0ed89b"/>
      <Part Type="punktas" Nr="32" Abbr="32 p." DocPartId="5cfa72bca1d8413b96131745f60d9b5f" PartId="46fc6549f6b34d86b2f62abe5fe987e2"/>
      <Part Type="punktas" Nr="33" Abbr="33 p." DocPartId="4c824a1b22a14553a09d92e7e743d5a3" PartId="995ff73a20fb4347aaf27aab30f98a38"/>
      <Part Type="punktas" Nr="34" Abbr="34 p." DocPartId="861e11d11e9249469878717566456c46" PartId="ac987f4c5ec242c4b4abb47e270dba84"/>
      <Part Type="punktas" Nr="35" Abbr="35 p." DocPartId="082eb36907f64b419f6109027edc8968" PartId="77af26ee89e749588f0ed66648107a0e">
        <Part Type="papunktis" Nr="35.1" Abbr="35.1 pp." DocPartId="7e70c3bd8ccf432ab8abbb0e6ee256ab" PartId="14f7b2cd9a6d4698865805e6ac1463fc"/>
        <Part Type="papunktis" Nr="35.2" Abbr="35.2 pp." DocPartId="e724eccb89bc4e109fd3acecd921dbeb" PartId="781373dcad3c4ca2b088c3689dcd5d0b"/>
      </Part>
      <Part Type="punktas" Nr="36" Abbr="36 p." DocPartId="a72cc42d76774a508a9d97d642b34cc5" PartId="2b61a83b71e54390916788ce2ae37d05"/>
      <Part Type="punktas" Nr="37" Abbr="37 p." DocPartId="ecdd2cd6cfe74e7e91b6bf91e4f22bb9" PartId="0f20c0b6caa241c09f3ba60c3bed0a18"/>
      <Part Type="punktas" Nr="38" Abbr="38 p." DocPartId="2c3c224204924bff8a4503e885296a0c" PartId="50d1be13de454312bfc49c3c632d85c9"/>
      <Part Type="punktas" Nr="39" Abbr="39 p." DocPartId="2c9c8780e48a493e9c9615eecb9a8f21" PartId="afd8f2d6d24841a4a44ccf0d76068278"/>
      <Part Type="punktas" Nr="40" Abbr="40 p." DocPartId="8681408311a6401f8af784fc214cad0f" PartId="f519836ee81b43009f3c1c167250f5d3"/>
      <Part Type="punktas" Nr="41" Abbr="41 p." DocPartId="46132e0111de4d03981ebd7bca1c7066" PartId="6e0b0bf0bc974c44aba561dd26b54128"/>
      <Part Type="punktas" Nr="42" Abbr="42 p." DocPartId="5c84b78f08cc4c90a753dbfadb271ea9" PartId="480f24c0ee1340cfab1a279fb48ef1c8"/>
      <Part Type="punktas" Nr="43" Abbr="43 p." DocPartId="1f5836ab40244706842391de4f07ddb7" PartId="889b715d1f344e96a44e5521b8028000"/>
      <Part Type="punktas" Nr="44" Abbr="44 p." DocPartId="41d8bf93bb314531b967bf61507c6866" PartId="c62673bae2514f7985b8a439ddba9753"/>
      <Part Type="punktas" Nr="45" Abbr="45 p." DocPartId="dfe0f39c491a4fe6be4e9039a48900fc" PartId="0004f61da5ea4f18ab306a4fe30d9fdc">
        <Part Type="papunktis" Nr="45.1" Abbr="45.1 pp." DocPartId="e4e4ec15cd544ede87258cc6313f423a" PartId="993ee841eadb4e2c97a5c76e0333e33e"/>
        <Part Type="papunktis" Nr="45.2" Abbr="45.2 pp." DocPartId="3679c34cafc64fb3b166d9127251dc1b" PartId="080b1459e57f4fd381436cd58bf4fe38"/>
        <Part Type="papunktis" Nr="45.3" Abbr="45.3 pp." DocPartId="36c6a1491cc94ed19b448f6915e3f90d" PartId="e516fa67b29b41599381a41dcf671695"/>
        <Part Type="papunktis" Nr="45.4" Abbr="45.4 pp." DocPartId="07b64f3e31b14be88ae0472d638e2a4a" PartId="564d01482180486799f7e0e16d5a74b5"/>
        <Part Type="papunktis" Nr="45.5" Abbr="45.5 pp." DocPartId="c11959d8b2754f68b7f59c0dedbdee9c" PartId="34016bf86f5640c0988430de285c7657"/>
        <Part Type="papunktis" Nr="45.6" Abbr="45.6 pp." DocPartId="e99674cfe30d4890b49e3ecf015faef6" PartId="7126ad026645483dae22cd5e98686761"/>
        <Part Type="papunktis" Nr="45.7" Abbr="45.7 pp." DocPartId="bf584b139e014f8d907da6742f16c373" PartId="819608f8956b4e05b0b966e3c62caab8"/>
        <Part Type="papunktis" Nr="45.8" Abbr="45.8 pp." DocPartId="f44b5d275d2a4cdd8a1b9e887919ef6c" PartId="a46799cd0aef4063b8f76c75187e7a1f"/>
        <Part Type="papunktis" Nr="45.9" Abbr="45.9 pp." DocPartId="625598b8ab8b488aa6db6d7df625a919" PartId="fd31a69c2648432bb26c2769f4ef63f9"/>
      </Part>
      <Part Type="punktas" Nr="46" Abbr="46 p." DocPartId="a0ad04e3c2fc4acf9a82802c8c352a9b" PartId="d42bc238e4d8467caedb893517fc3de3"/>
      <Part Type="punktas" Nr="47" Abbr="47 p." DocPartId="c2f9cd03ab414b559a7f2fd4b5e363cd" PartId="bbddfdccfab04c8c8e59b6b9659e2fc0"/>
      <Part Type="punktas" Nr="48" Abbr="48 p." DocPartId="ec783261dcae46f19083eaa1cf6fc1be" PartId="8b4a1e7fead04b06af9a7efa77fd04c6"/>
      <Part Type="punktas" Nr="49" Abbr="49 p." DocPartId="7da25d393af4496198526792d5da8035" PartId="a6e45f00c54d42919cf564d843aceed7"/>
    </Part>
    <Part Type="skyrius" Nr="5" Title="BAIGIAMOSIOS NUOSTATOS" DocPartId="dcb74cf70705486095e9811e41c091c6" PartId="b311b56dedcb43608d6de8ed4104f4f6">
      <Part Type="punktas" Nr="50" Abbr="50 p." DocPartId="21ad39b82a024399a7dd56152320ea9b" PartId="08f80a69247b41f5913a18b35a87d88f"/>
      <Part Type="punktas" Nr="51" Abbr="51 p." DocPartId="81f4c794da7347d8b90a411426d45f48" PartId="63a3ab261a79408082425f5e1873af82"/>
      <Part Type="punktas" Nr="52" Abbr="52 p." DocPartId="957892b855ae43219c57e22ba2971740" PartId="88866bc8d0d04a968f8dc7f71c9f1978"/>
      <Part Type="punktas" Nr="53" Abbr="53 p." DocPartId="c7c42bbcf9ba4c20904f26ca7c39d3ab" PartId="b5c344b2a30949c8b26eadaf3a45df03"/>
    </Part>
    <Part Type="pabaiga" DocPartId="0a4c9c9847584c869b00c4b79eaac271" PartId="838ce19fd19747fca264c4e6a3a008c8"/>
  </Part>
  <Part Type="priedas" Abbr="pr." Title="DEKLARACIJA DĖL RINKOS PAJAMŲ NUSTATYMO IR PAJAMŲ PERVIRŠIO SKAIČIAVIMO" DocPartId="1195b25e92b04934996aef61e89d77a3" PartId="55faf16e087d4367a36adc9f153116c2"/>
</Parts>
</file>

<file path=customXml/item5.xml><?xml version="1.0" encoding="utf-8"?>
<b:Sources xmlns:b="http://schemas.openxmlformats.org/officeDocument/2006/bibliography" SelectedStyle="\APASixthEditionOfficeOnline.xsl" StyleName="APA" Version="6"/>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A2AD535C-7E95-49DF-9056-4F42469BDBC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f147e36-1013-4bd1-90cb-07922bee0ac0"/>
    <ds:schemaRef ds:uri="1f060228-0473-491b-a6c8-a25e86a750c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26EA871-46BE-4166-BF4E-695331A8532F}">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7D726724-1138-4033-B02E-FB1CEE88C194}">
  <ds:schemaRefs>
    <ds:schemaRef ds:uri="http://schemas.microsoft.com/sharepoint/v3/contenttype/forms"/>
  </ds:schemaRefs>
</ds:datastoreItem>
</file>

<file path=customXml/itemProps4.xml><?xml version="1.0" encoding="utf-8"?>
<ds:datastoreItem xmlns:ds="http://schemas.openxmlformats.org/officeDocument/2006/customXml" ds:itemID="{D5971F71-91F9-4B89-A803-C84054B3E701}">
  <ds:schemaRefs>
    <ds:schemaRef ds:uri="http://lrs.lt/TAIS/DocParts"/>
  </ds:schemaRefs>
</ds:datastoreItem>
</file>

<file path=customXml/itemProps5.xml><?xml version="1.0" encoding="utf-8"?>
<ds:datastoreItem xmlns:ds="http://schemas.openxmlformats.org/officeDocument/2006/customXml" ds:itemID="{DD9E51BA-1C10-47AD-9E24-1FB36C7815CB}">
  <ds:schemaRefs>
    <ds:schemaRef ds:uri="http://schemas.openxmlformats.org/officeDocument/2006/bibliography"/>
  </ds:schemaRefs>
</ds:datastoreItem>
</file>

<file path=customXml/itemProps6.xml><?xml version="1.0" encoding="utf-8"?>
<ds:datastoreItem xmlns:ds="http://schemas.openxmlformats.org/officeDocument/2006/customXml" ds:itemID="{1E5DBACD-A9EE-4512-A1A1-433B24276F5E}">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TotalTime>
  <Pages>15</Pages>
  <Words>27199</Words>
  <Characters>15504</Characters>
  <Application>Microsoft Office Word</Application>
  <DocSecurity>0</DocSecurity>
  <Lines>129</Lines>
  <Paragraphs>85</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
    </vt:vector>
  </TitlesOfParts>
  <Company/>
  <LinksUpToDate>false</LinksUpToDate>
  <CharactersWithSpaces>42618</CharactersWithSpaces>
  <SharedDoc>false</SharedDoc>
  <HyperlinkBase/>
  <HLinks>
    <vt:vector xmlns:vt="http://schemas.openxmlformats.org/officeDocument/2006/docPropsVTypes" size="108" baseType="variant">
      <vt:variant>
        <vt:i4>6160500</vt:i4>
      </vt:variant>
      <vt:variant>
        <vt:i4>3</vt:i4>
      </vt:variant>
      <vt:variant>
        <vt:i4>0</vt:i4>
      </vt:variant>
      <vt:variant>
        <vt:i4>5</vt:i4>
      </vt:variant>
      <vt:variant>
        <vt:lpwstr>mailto:info@baltpool.eu</vt:lpwstr>
      </vt:variant>
      <vt:variant>
        <vt:lpwstr/>
      </vt:variant>
      <vt:variant>
        <vt:i4>6160500</vt:i4>
      </vt:variant>
      <vt:variant>
        <vt:i4>0</vt:i4>
      </vt:variant>
      <vt:variant>
        <vt:i4>0</vt:i4>
      </vt:variant>
      <vt:variant>
        <vt:i4>5</vt:i4>
      </vt:variant>
      <vt:variant>
        <vt:lpwstr>mailto:info@baltpool.eu</vt:lpwstr>
      </vt:variant>
      <vt:variant>
        <vt:lpwstr/>
      </vt:variant>
      <vt:variant>
        <vt:i4>3211358</vt:i4>
      </vt:variant>
      <vt:variant>
        <vt:i4>45</vt:i4>
      </vt:variant>
      <vt:variant>
        <vt:i4>0</vt:i4>
      </vt:variant>
      <vt:variant>
        <vt:i4>5</vt:i4>
      </vt:variant>
      <vt:variant>
        <vt:lpwstr>mailto:ignas.kazakevicius@vert.lt</vt:lpwstr>
      </vt:variant>
      <vt:variant>
        <vt:lpwstr/>
      </vt:variant>
      <vt:variant>
        <vt:i4>131193</vt:i4>
      </vt:variant>
      <vt:variant>
        <vt:i4>42</vt:i4>
      </vt:variant>
      <vt:variant>
        <vt:i4>0</vt:i4>
      </vt:variant>
      <vt:variant>
        <vt:i4>5</vt:i4>
      </vt:variant>
      <vt:variant>
        <vt:lpwstr>mailto:adas.zakarauskas@vert.lt</vt:lpwstr>
      </vt:variant>
      <vt:variant>
        <vt:lpwstr/>
      </vt:variant>
      <vt:variant>
        <vt:i4>131193</vt:i4>
      </vt:variant>
      <vt:variant>
        <vt:i4>39</vt:i4>
      </vt:variant>
      <vt:variant>
        <vt:i4>0</vt:i4>
      </vt:variant>
      <vt:variant>
        <vt:i4>5</vt:i4>
      </vt:variant>
      <vt:variant>
        <vt:lpwstr>mailto:adas.zakarauskas@vert.lt</vt:lpwstr>
      </vt:variant>
      <vt:variant>
        <vt:lpwstr/>
      </vt:variant>
      <vt:variant>
        <vt:i4>131193</vt:i4>
      </vt:variant>
      <vt:variant>
        <vt:i4>36</vt:i4>
      </vt:variant>
      <vt:variant>
        <vt:i4>0</vt:i4>
      </vt:variant>
      <vt:variant>
        <vt:i4>5</vt:i4>
      </vt:variant>
      <vt:variant>
        <vt:lpwstr>mailto:adas.zakarauskas@vert.lt</vt:lpwstr>
      </vt:variant>
      <vt:variant>
        <vt:lpwstr/>
      </vt:variant>
      <vt:variant>
        <vt:i4>5439529</vt:i4>
      </vt:variant>
      <vt:variant>
        <vt:i4>33</vt:i4>
      </vt:variant>
      <vt:variant>
        <vt:i4>0</vt:i4>
      </vt:variant>
      <vt:variant>
        <vt:i4>5</vt:i4>
      </vt:variant>
      <vt:variant>
        <vt:lpwstr>mailto:brigita.stankeviciene@vert.lt</vt:lpwstr>
      </vt:variant>
      <vt:variant>
        <vt:lpwstr/>
      </vt:variant>
      <vt:variant>
        <vt:i4>131193</vt:i4>
      </vt:variant>
      <vt:variant>
        <vt:i4>30</vt:i4>
      </vt:variant>
      <vt:variant>
        <vt:i4>0</vt:i4>
      </vt:variant>
      <vt:variant>
        <vt:i4>5</vt:i4>
      </vt:variant>
      <vt:variant>
        <vt:lpwstr>mailto:adas.zakarauskas@vert.lt</vt:lpwstr>
      </vt:variant>
      <vt:variant>
        <vt:lpwstr/>
      </vt:variant>
      <vt:variant>
        <vt:i4>3211358</vt:i4>
      </vt:variant>
      <vt:variant>
        <vt:i4>27</vt:i4>
      </vt:variant>
      <vt:variant>
        <vt:i4>0</vt:i4>
      </vt:variant>
      <vt:variant>
        <vt:i4>5</vt:i4>
      </vt:variant>
      <vt:variant>
        <vt:lpwstr>mailto:ignas.kazakevicius@vert.lt</vt:lpwstr>
      </vt:variant>
      <vt:variant>
        <vt:lpwstr/>
      </vt:variant>
      <vt:variant>
        <vt:i4>5439529</vt:i4>
      </vt:variant>
      <vt:variant>
        <vt:i4>24</vt:i4>
      </vt:variant>
      <vt:variant>
        <vt:i4>0</vt:i4>
      </vt:variant>
      <vt:variant>
        <vt:i4>5</vt:i4>
      </vt:variant>
      <vt:variant>
        <vt:lpwstr>mailto:brigita.stankeviciene@vert.lt</vt:lpwstr>
      </vt:variant>
      <vt:variant>
        <vt:lpwstr/>
      </vt:variant>
      <vt:variant>
        <vt:i4>3211358</vt:i4>
      </vt:variant>
      <vt:variant>
        <vt:i4>21</vt:i4>
      </vt:variant>
      <vt:variant>
        <vt:i4>0</vt:i4>
      </vt:variant>
      <vt:variant>
        <vt:i4>5</vt:i4>
      </vt:variant>
      <vt:variant>
        <vt:lpwstr>mailto:ignas.kazakevicius@vert.lt</vt:lpwstr>
      </vt:variant>
      <vt:variant>
        <vt:lpwstr/>
      </vt:variant>
      <vt:variant>
        <vt:i4>131193</vt:i4>
      </vt:variant>
      <vt:variant>
        <vt:i4>18</vt:i4>
      </vt:variant>
      <vt:variant>
        <vt:i4>0</vt:i4>
      </vt:variant>
      <vt:variant>
        <vt:i4>5</vt:i4>
      </vt:variant>
      <vt:variant>
        <vt:lpwstr>mailto:adas.zakarauskas@vert.lt</vt:lpwstr>
      </vt:variant>
      <vt:variant>
        <vt:lpwstr/>
      </vt:variant>
      <vt:variant>
        <vt:i4>131193</vt:i4>
      </vt:variant>
      <vt:variant>
        <vt:i4>15</vt:i4>
      </vt:variant>
      <vt:variant>
        <vt:i4>0</vt:i4>
      </vt:variant>
      <vt:variant>
        <vt:i4>5</vt:i4>
      </vt:variant>
      <vt:variant>
        <vt:lpwstr>mailto:adas.zakarauskas@vert.lt</vt:lpwstr>
      </vt:variant>
      <vt:variant>
        <vt:lpwstr/>
      </vt:variant>
      <vt:variant>
        <vt:i4>3211358</vt:i4>
      </vt:variant>
      <vt:variant>
        <vt:i4>12</vt:i4>
      </vt:variant>
      <vt:variant>
        <vt:i4>0</vt:i4>
      </vt:variant>
      <vt:variant>
        <vt:i4>5</vt:i4>
      </vt:variant>
      <vt:variant>
        <vt:lpwstr>mailto:ignas.kazakevicius@vert.lt</vt:lpwstr>
      </vt:variant>
      <vt:variant>
        <vt:lpwstr/>
      </vt:variant>
      <vt:variant>
        <vt:i4>3211358</vt:i4>
      </vt:variant>
      <vt:variant>
        <vt:i4>9</vt:i4>
      </vt:variant>
      <vt:variant>
        <vt:i4>0</vt:i4>
      </vt:variant>
      <vt:variant>
        <vt:i4>5</vt:i4>
      </vt:variant>
      <vt:variant>
        <vt:lpwstr>mailto:ignas.kazakevicius@vert.lt</vt:lpwstr>
      </vt:variant>
      <vt:variant>
        <vt:lpwstr/>
      </vt:variant>
      <vt:variant>
        <vt:i4>3801171</vt:i4>
      </vt:variant>
      <vt:variant>
        <vt:i4>6</vt:i4>
      </vt:variant>
      <vt:variant>
        <vt:i4>0</vt:i4>
      </vt:variant>
      <vt:variant>
        <vt:i4>5</vt:i4>
      </vt:variant>
      <vt:variant>
        <vt:lpwstr>mailto:paulius.blazys@vert.lt</vt:lpwstr>
      </vt:variant>
      <vt:variant>
        <vt:lpwstr/>
      </vt:variant>
      <vt:variant>
        <vt:i4>4653074</vt:i4>
      </vt:variant>
      <vt:variant>
        <vt:i4>3</vt:i4>
      </vt:variant>
      <vt:variant>
        <vt:i4>0</vt:i4>
      </vt:variant>
      <vt:variant>
        <vt:i4>5</vt:i4>
      </vt:variant>
      <vt:variant>
        <vt:lpwstr>https://www.e-tar.lt/portal/lt/legalAct/754cc070828c11ed8df094f359a60216</vt:lpwstr>
      </vt:variant>
      <vt:variant>
        <vt:lpwstr/>
      </vt:variant>
      <vt:variant>
        <vt:i4>3211358</vt:i4>
      </vt:variant>
      <vt:variant>
        <vt:i4>0</vt:i4>
      </vt:variant>
      <vt:variant>
        <vt:i4>0</vt:i4>
      </vt:variant>
      <vt:variant>
        <vt:i4>5</vt:i4>
      </vt:variant>
      <vt:variant>
        <vt:lpwstr>mailto:ignas.kazakevicius@vert.lt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2022-12-30T13:11:00Z</dcterms:created>
  <lastModifiedBy>ŠAULYTĖ SKAIRIENĖ Dalia</lastModifiedBy>
  <dcterms:modified xsi:type="dcterms:W3CDTF">2023-02-24T09:16:00Z</dcterms:modified>
  <revision>7</revision>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0x010100D62EEB771CCCAF49A3FF03473A1CC216</vt:lpwstr>
  </property>
</Properties>
</file>