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264e58ee53b483eaffeab92c1efd164"/>
        <w:lock w:val="sdtLocked"/>
        <w:richText/>
      </w:sdtPr>
      <w:sdtContent>
        <w:p>
          <w:pPr>
            <w:jc w:val="both"/>
            <w:rPr>
              <w:rFonts w:ascii="Times New Roman" w:hAnsi="Times New Roman"/>
            </w:rPr>
          </w:pPr>
          <w:r>
            <w:rPr>
              <w:rFonts w:ascii="Times New Roman" w:hAnsi="Times New Roman"/>
              <w:b/>
              <w:i/>
            </w:rPr>
            <w:t>Suvestinė redakcija nuo 2020-03-26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2015-11-26, i. k. 2015-18763</w:t>
          </w:r>
        </w:p>
        <w:p>
          <w:pPr>
            <w:jc w:val="both"/>
            <w:rPr>
              <w:rFonts w:ascii="Times New Roman" w:hAnsi="Times New Roman"/>
              <w:sz w:val="20"/>
            </w:rPr>
          </w:pPr>
        </w:p>
        <w:p>
          <w:pPr>
            <w:widowControl w:val="0"/>
            <w:tabs>
              <w:tab w:val="center" w:pos="4819"/>
              <w:tab w:val="right" w:pos="9638"/>
            </w:tabs>
            <w:suppressAutoHyphens/>
            <w:jc w:val="center"/>
            <w:rPr>
              <w:rFonts w:eastAsia="Lucida Sans Unicode"/>
              <w:b/>
              <w:bCs/>
              <w:szCs w:val="24"/>
              <w:lang w:eastAsia="lt-LT"/>
            </w:rPr>
          </w:pPr>
          <w:r>
            <w:rPr>
              <w:rFonts w:eastAsia="Lucida Sans Unicode"/>
              <w:szCs w:val="24"/>
              <w:lang w:eastAsia="lt-LT"/>
            </w:rPr>
            <w:drawing>
              <wp:inline distT="0" distB="0" distL="0" distR="0">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widowControl w:val="0"/>
            <w:suppressAutoHyphens/>
            <w:jc w:val="center"/>
            <w:rPr>
              <w:rFonts w:eastAsia="Lucida Sans Unicode"/>
              <w:b/>
              <w:bCs/>
              <w:szCs w:val="24"/>
              <w:lang w:eastAsia="lt-LT"/>
            </w:rPr>
          </w:pPr>
          <w:r>
            <w:rPr>
              <w:rFonts w:eastAsia="Lucida Sans Unicode"/>
              <w:b/>
              <w:bCs/>
              <w:szCs w:val="24"/>
              <w:lang w:eastAsia="lt-LT"/>
            </w:rPr>
            <w:t>LIETUVOS RESPUBLIKOS APLINKOS MINISTRAS</w:t>
          </w:r>
        </w:p>
        <w:p>
          <w:pPr>
            <w:widowControl w:val="0"/>
            <w:suppressAutoHyphens/>
            <w:spacing w:line="276" w:lineRule="auto"/>
            <w:jc w:val="center"/>
            <w:rPr>
              <w:rFonts w:eastAsia="Lucida Sans Unicode"/>
              <w:b/>
              <w:bCs/>
              <w:szCs w:val="24"/>
              <w:lang w:eastAsia="lt-LT"/>
            </w:rPr>
          </w:pPr>
        </w:p>
        <w:p>
          <w:pPr>
            <w:widowControl w:val="0"/>
            <w:suppressAutoHyphens/>
            <w:spacing w:line="276" w:lineRule="auto"/>
            <w:jc w:val="center"/>
            <w:rPr>
              <w:rFonts w:eastAsia="Lucida Sans Unicode"/>
              <w:b/>
              <w:bCs/>
              <w:szCs w:val="24"/>
              <w:lang w:eastAsia="lt-LT"/>
            </w:rPr>
          </w:pPr>
          <w:r>
            <w:rPr>
              <w:rFonts w:eastAsia="Lucida Sans Unicode"/>
              <w:b/>
              <w:bCs/>
              <w:szCs w:val="24"/>
              <w:lang w:eastAsia="lt-LT"/>
            </w:rPr>
            <w:t>ĮSAKYMAS</w:t>
          </w:r>
        </w:p>
        <w:p>
          <w:pPr>
            <w:widowControl w:val="0"/>
            <w:suppressAutoHyphens/>
            <w:spacing w:line="276" w:lineRule="auto"/>
            <w:jc w:val="center"/>
            <w:rPr>
              <w:rFonts w:eastAsia="Lucida Sans Unicode"/>
              <w:szCs w:val="24"/>
              <w:lang w:eastAsia="lt-LT"/>
            </w:rPr>
          </w:pPr>
          <w:r>
            <w:rPr>
              <w:rFonts w:eastAsia="Lucida Sans Unicode"/>
              <w:b/>
              <w:bCs/>
              <w:szCs w:val="24"/>
              <w:lang w:eastAsia="lt-LT"/>
            </w:rPr>
            <w:t xml:space="preserve">DĖL </w:t>
          </w:r>
          <w:r>
            <w:rPr>
              <w:rFonts w:eastAsia="Lucida Sans Unicode"/>
              <w:b/>
              <w:szCs w:val="24"/>
              <w:lang w:eastAsia="lt-LT"/>
            </w:rPr>
            <w:t>ŽALIŲJŲ PIRKIMŲ ĮGYVENDINIMO 2016−2020 METŲ PRIEMONIŲ PATVIRTINIMO</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center"/>
            <w:rPr>
              <w:rFonts w:eastAsia="Lucida Sans Unicode"/>
              <w:szCs w:val="24"/>
              <w:lang w:eastAsia="lt-LT"/>
            </w:rPr>
          </w:pPr>
          <w:r>
            <w:rPr>
              <w:rFonts w:eastAsia="Lucida Sans Unicode"/>
              <w:szCs w:val="24"/>
              <w:lang w:eastAsia="lt-LT"/>
            </w:rPr>
            <w:t>2015 m. lapkričio 23 d. Nr. D1-840</w:t>
          </w:r>
        </w:p>
        <w:p>
          <w:pPr>
            <w:widowControl w:val="0"/>
            <w:suppressAutoHyphens/>
            <w:spacing w:line="276" w:lineRule="auto"/>
            <w:jc w:val="center"/>
            <w:rPr>
              <w:rFonts w:eastAsia="Lucida Sans Unicode"/>
              <w:szCs w:val="24"/>
              <w:lang w:eastAsia="lt-LT"/>
            </w:rPr>
          </w:pPr>
          <w:r>
            <w:rPr>
              <w:rFonts w:eastAsia="Lucida Sans Unicode"/>
              <w:szCs w:val="24"/>
              <w:lang w:eastAsia="lt-LT"/>
            </w:rPr>
            <w:t>Vilnius</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both"/>
            <w:rPr>
              <w:rFonts w:eastAsia="Lucida Sans Unicode"/>
              <w:szCs w:val="24"/>
              <w:lang w:eastAsia="lt-LT"/>
            </w:rPr>
          </w:pPr>
        </w:p>
        <w:sdt>
          <w:sdtPr>
            <w:alias w:val="preambule"/>
            <w:tag w:val="part_6d9b538e0ba44025bf2c414b469713fa"/>
            <w:lock w:val="sdtLocked"/>
            <w:richText/>
          </w:sdtPr>
          <w:sdtContent>
            <w:p>
              <w:pPr>
                <w:tabs>
                  <w:tab w:val="left" w:pos="567"/>
                </w:tabs>
                <w:spacing w:line="276" w:lineRule="auto"/>
                <w:ind w:firstLine="567"/>
                <w:jc w:val="both"/>
                <w:rPr>
                  <w:szCs w:val="24"/>
                  <w:lang w:eastAsia="lt-LT"/>
                </w:rPr>
              </w:pPr>
              <w:r>
                <w:rPr>
                  <w:rFonts w:eastAsia="Lucida Sans Unicode"/>
                  <w:szCs w:val="24"/>
                  <w:lang w:eastAsia="lt-LT"/>
                </w:rPr>
                <w:t xml:space="preserve">Vadovaudamasis Nacionalinės aplinkos apsaugos strategijos, patvirtintos </w:t>
              </w:r>
              <w:r>
                <w:rPr>
                  <w:szCs w:val="24"/>
                  <w:lang w:eastAsia="lt-LT"/>
                </w:rPr>
                <w:t>Lietuvos Respublikos Seimo 2015 m. balandžio 16 d. nutarimu Nr. XII-1626 „</w:t>
              </w:r>
              <w:r>
                <w:rPr>
                  <w:rFonts w:eastAsia="Lucida Sans Unicode"/>
                  <w:bCs/>
                  <w:szCs w:val="24"/>
                  <w:lang w:eastAsia="lt-LT"/>
                </w:rPr>
                <w:t>Dėl Nacionalinės aplinkos apsaugos strategijos patvirtinimo</w:t>
              </w:r>
              <w:r>
                <w:rPr>
                  <w:szCs w:val="24"/>
                  <w:lang w:eastAsia="lt-LT"/>
                </w:rPr>
                <w:t xml:space="preserve">“, 94.5 papunkčiu ir </w:t>
              </w:r>
              <w:r>
                <w:rPr>
                  <w:bCs/>
                  <w:color w:val="000000"/>
                  <w:szCs w:val="24"/>
                  <w:lang w:eastAsia="lt-LT"/>
                </w:rPr>
                <w:t xml:space="preserve">Šešioliktosios Vyriausybės 2012–2016 metų programos, kuriai pritarta Lietuvos Respublikos Seimo 2012 m. gruodžio 13 d. nutarimu Nr. </w:t>
              </w:r>
              <w:r>
                <w:rPr>
                  <w:szCs w:val="24"/>
                  <w:lang w:eastAsia="lt-LT"/>
                </w:rPr>
                <w:t>XII-51 „</w:t>
              </w:r>
              <w:r>
                <w:rPr>
                  <w:rFonts w:eastAsia="Lucida Sans Unicode"/>
                  <w:bCs/>
                  <w:color w:val="000000"/>
                  <w:szCs w:val="24"/>
                  <w:lang w:eastAsia="lt-LT"/>
                </w:rPr>
                <w:t>Dėl Lietuvos Respublikos Vyriausybės programos“</w:t>
              </w:r>
              <w:r>
                <w:rPr>
                  <w:szCs w:val="24"/>
                  <w:lang w:eastAsia="lt-LT"/>
                </w:rPr>
                <w:t xml:space="preserve">, 57 punktu, </w:t>
              </w:r>
            </w:p>
          </w:sdtContent>
        </w:sdt>
        <w:sdt>
          <w:sdtPr>
            <w:alias w:val="pastraipa"/>
            <w:tag w:val="part_7b5e405f596948499cae82be10ae353e"/>
            <w:lock w:val="sdtLocked"/>
            <w:richText/>
          </w:sdtPr>
          <w:sdtContent>
            <w:p>
              <w:pPr>
                <w:tabs>
                  <w:tab w:val="left" w:pos="567"/>
                </w:tabs>
                <w:spacing w:line="276" w:lineRule="auto"/>
                <w:ind w:firstLine="567"/>
                <w:jc w:val="both"/>
                <w:rPr>
                  <w:rFonts w:eastAsia="Lucida Sans Unicode"/>
                  <w:szCs w:val="24"/>
                  <w:lang w:eastAsia="lt-LT"/>
                </w:rPr>
              </w:pPr>
              <w:r>
                <w:rPr>
                  <w:szCs w:val="24"/>
                  <w:lang w:eastAsia="lt-LT"/>
                </w:rPr>
                <w:t>t</w:t>
              </w:r>
              <w:r>
                <w:rPr>
                  <w:rFonts w:eastAsia="Lucida Sans Unicode"/>
                  <w:szCs w:val="15"/>
                  <w:lang w:eastAsia="lt-LT"/>
                </w:rPr>
                <w:t xml:space="preserve"> v i r t i n u Žaliųjų pirkimų įgyvendinimo 2016−2020 metų priemones (pridedama).</w:t>
              </w:r>
            </w:p>
          </w:sdtContent>
        </w:sdt>
        <w:sdt>
          <w:sdtPr>
            <w:alias w:val="signatura"/>
            <w:tag w:val="part_3c10349621cf427c8ce2bf1e0a289f3d"/>
            <w:lock w:val="sdtLocked"/>
            <w:richText/>
          </w:sdtPr>
          <w:sdtContent>
            <w:p>
              <w:pPr>
                <w:widowControl w:val="0"/>
                <w:suppressAutoHyphens/>
                <w:spacing w:line="276" w:lineRule="auto"/>
                <w:ind w:firstLine="567"/>
                <w:jc w:val="both"/>
                <w:rPr>
                  <w:rFonts w:eastAsia="Lucida Sans Unicode"/>
                  <w:szCs w:val="24"/>
                  <w:lang w:eastAsia="lt-LT"/>
                </w:rPr>
              </w:pPr>
            </w:p>
            <w:p>
              <w:pPr>
                <w:widowControl w:val="0"/>
                <w:suppressAutoHyphens/>
                <w:spacing w:line="276" w:lineRule="auto"/>
                <w:ind w:firstLine="570"/>
                <w:jc w:val="both"/>
                <w:rPr>
                  <w:rFonts w:eastAsia="Lucida Sans Unicode"/>
                  <w:szCs w:val="24"/>
                  <w:lang w:eastAsia="lt-LT"/>
                </w:rPr>
              </w:pPr>
            </w:p>
            <w:p>
              <w:pPr>
                <w:widowControl w:val="0"/>
                <w:suppressAutoHyphens/>
                <w:spacing w:line="276" w:lineRule="auto"/>
                <w:rPr>
                  <w:rFonts w:eastAsia="Lucida Sans Unicode" w:cs="Tahoma"/>
                  <w:szCs w:val="24"/>
                  <w:lang w:eastAsia="lt-LT"/>
                </w:rPr>
              </w:pPr>
            </w:p>
            <w:p>
              <w:pPr>
                <w:widowControl w:val="0"/>
                <w:tabs>
                  <w:tab w:val="left" w:pos="7371"/>
                </w:tabs>
                <w:suppressAutoHyphens/>
                <w:snapToGrid w:val="0"/>
                <w:spacing w:line="276" w:lineRule="auto"/>
                <w:ind w:left="8"/>
                <w:rPr>
                  <w:rFonts w:eastAsia="Lucida Sans Unicode"/>
                  <w:szCs w:val="24"/>
                  <w:lang w:eastAsia="lt-LT"/>
                </w:rPr>
              </w:pPr>
              <w:r>
                <w:rPr>
                  <w:rFonts w:eastAsia="Lucida Sans Unicode"/>
                  <w:szCs w:val="24"/>
                  <w:lang w:eastAsia="lt-LT"/>
                </w:rPr>
                <w:t>Aplinkos ministras</w:t>
                <w:tab/>
                <w:t>Kęstutis Trečiokas</w:t>
              </w:r>
            </w:p>
            <w:p>
              <w:pPr>
                <w:widowControl w:val="0"/>
                <w:suppressAutoHyphens/>
                <w:spacing w:line="276" w:lineRule="auto"/>
                <w:rPr>
                  <w:rFonts w:eastAsia="Lucida Sans Unicode"/>
                  <w:szCs w:val="24"/>
                  <w:lang w:eastAsia="lt-LT"/>
                </w:rPr>
              </w:pPr>
            </w:p>
            <w:p>
              <w:pPr>
                <w:widowControl w:val="0"/>
                <w:tabs>
                  <w:tab w:val="left" w:pos="709"/>
                </w:tabs>
                <w:suppressAutoHyphens/>
                <w:spacing w:line="276" w:lineRule="auto"/>
                <w:rPr>
                  <w:rFonts w:eastAsia="Lucida Sans Unicode"/>
                  <w:szCs w:val="24"/>
                  <w:lang w:eastAsia="lt-LT"/>
                </w:rPr>
              </w:pP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SUDERINTA</w:t>
              </w: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Viešųjų pirkimų tarnybos</w:t>
              </w: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2015 m. lapkričio 13 d. raštu Nr. 4S-3781</w:t>
              </w:r>
            </w:p>
          </w:sdtContent>
        </w:sdt>
      </w:sdtContent>
    </w:sdt>
    <w:sdt>
      <w:sdtPr>
        <w:alias w:val="patvirtinta"/>
        <w:tag w:val="part_05f42c4a3fa94f8385f6709c938680e6"/>
        <w:lock w:val="sdtLocked"/>
        <w:richText/>
      </w:sdtPr>
      <w:sdtContent>
        <w:p>
          <w:pPr>
            <w:widowControl w:val="0"/>
            <w:suppressAutoHyphens/>
            <w:rPr>
              <w:rFonts w:eastAsia="Andale Sans UI" w:cs="Tahoma"/>
              <w:szCs w:val="24"/>
              <w:lang w:bidi="en-US"/>
            </w:rPr>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code="9"/>
              <w:pgMar w:top="1134" w:right="851" w:bottom="1134" w:left="1701" w:header="567" w:footer="567" w:gutter="0"/>
              <w:cols w:space="1296"/>
              <w:titlePg/>
              <w:docGrid w:linePitch="326"/>
            </w:sectPr>
          </w:pPr>
        </w:p>
        <w:p>
          <w:pPr>
            <w:ind w:left="4820"/>
            <w:rPr>
              <w:rFonts w:eastAsia="Andale Sans UI" w:cs="Tahoma"/>
              <w:szCs w:val="24"/>
              <w:lang w:bidi="en-US"/>
            </w:rPr>
          </w:pPr>
          <w:r>
            <w:rPr>
              <w:rFonts w:eastAsia="Andale Sans UI" w:cs="Tahoma"/>
              <w:szCs w:val="24"/>
              <w:lang w:bidi="en-US"/>
            </w:rPr>
            <w:t>PATVIRTINTA</w:t>
            <w:br/>
            <w:t>Lietuvos Respublikos aplinkos ministro</w:t>
            <w:br/>
            <w:t>2015 m. lapkričio 23 d. įsakymu Nr. D1-840</w:t>
            <w:br/>
            <w:t>(Lietuvos Respublikos aplinkos ministro</w:t>
            <w:br/>
            <w:t>2020 m. kovo 25 d. įsakymo Nr. D1-168 redakcija)</w:t>
          </w:r>
        </w:p>
        <w:p>
          <w:pPr/>
        </w:p>
        <w:sdt>
          <w:sdtPr>
            <w:alias w:val="Pavadinimas"/>
            <w:tag w:val="title_05f42c4a3fa94f8385f6709c938680e6"/>
            <w:lock w:val="sdtLocked"/>
            <w:richText/>
          </w:sdtPr>
          <w:sdtContent>
            <w:p>
              <w:pPr>
                <w:widowControl w:val="0"/>
                <w:suppressAutoHyphens/>
                <w:jc w:val="center"/>
                <w:rPr>
                  <w:rFonts w:eastAsia="Lucida Sans Unicode" w:cs="Tahoma"/>
                  <w:b/>
                  <w:szCs w:val="24"/>
                  <w:lang w:eastAsia="lt-LT" w:bidi="en-US"/>
                </w:rPr>
              </w:pPr>
              <w:r>
                <w:rPr>
                  <w:rFonts w:eastAsia="Lucida Sans Unicode" w:cs="Tahoma"/>
                  <w:b/>
                  <w:szCs w:val="24"/>
                  <w:lang w:eastAsia="lt-LT" w:bidi="en-US"/>
                </w:rPr>
                <w:t>ŽALIŲJŲ PIRKIMŲ ĮGYVENDINIMO 2016–2020 METŲ PRIEMONĖS</w:t>
              </w:r>
            </w:p>
          </w:sdtContent>
        </w:sdt>
        <w:p>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0"/>
            <w:gridCol w:w="4087"/>
            <w:gridCol w:w="2149"/>
            <w:gridCol w:w="1588"/>
          </w:tblGrid>
          <w:tr>
            <w:trPr>
              <w:cantSplit/>
              <w:trHeight w:val="276"/>
              <w:jc w:val="center"/>
            </w:trPr>
            <w:tc>
              <w:tcPr>
                <w:tcW w:w="2029" w:type="dxa"/>
                <w:vMerge w:val="restart"/>
                <w:vAlign w:val="center"/>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Uždavinys</w:t>
                </w:r>
              </w:p>
            </w:tc>
            <w:tc>
              <w:tcPr>
                <w:tcW w:w="4087" w:type="dxa"/>
                <w:vMerge w:val="restart"/>
                <w:vAlign w:val="center"/>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Įgyvendinimo priemonė</w:t>
                </w:r>
              </w:p>
            </w:tc>
            <w:tc>
              <w:tcPr>
                <w:tcW w:w="2149" w:type="dxa"/>
                <w:vMerge w:val="restart"/>
                <w:vAlign w:val="center"/>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Atsakingas vykdytojas</w:t>
                </w:r>
              </w:p>
            </w:tc>
            <w:tc>
              <w:tcPr>
                <w:tcW w:w="1588" w:type="dxa"/>
                <w:vMerge w:val="restart"/>
                <w:vAlign w:val="center"/>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Įvykdymo terminas</w:t>
                </w:r>
              </w:p>
            </w:tc>
          </w:tr>
          <w:tr>
            <w:trPr>
              <w:cantSplit/>
              <w:trHeight w:val="305"/>
              <w:jc w:val="center"/>
            </w:trPr>
            <w:tc>
              <w:tcPr>
                <w:tcW w:w="2029" w:type="dxa"/>
                <w:vMerge/>
              </w:tcPr>
              <w:p>
                <w:pPr>
                  <w:widowControl w:val="0"/>
                  <w:suppressAutoHyphens/>
                  <w:jc w:val="center"/>
                  <w:rPr>
                    <w:rFonts w:eastAsia="Lucida Sans Unicode" w:cs="Tahoma"/>
                    <w:szCs w:val="24"/>
                    <w:lang w:eastAsia="lt-LT" w:bidi="en-US"/>
                  </w:rPr>
                </w:pPr>
              </w:p>
            </w:tc>
            <w:tc>
              <w:tcPr>
                <w:tcW w:w="4087" w:type="dxa"/>
                <w:vMerge/>
              </w:tcPr>
              <w:p>
                <w:pPr>
                  <w:widowControl w:val="0"/>
                  <w:suppressAutoHyphens/>
                  <w:jc w:val="center"/>
                  <w:rPr>
                    <w:rFonts w:eastAsia="Lucida Sans Unicode" w:cs="Tahoma"/>
                    <w:szCs w:val="24"/>
                    <w:lang w:eastAsia="lt-LT" w:bidi="en-US"/>
                  </w:rPr>
                </w:pPr>
              </w:p>
            </w:tc>
            <w:tc>
              <w:tcPr>
                <w:tcW w:w="2149" w:type="dxa"/>
                <w:vMerge/>
              </w:tcPr>
              <w:p>
                <w:pPr>
                  <w:widowControl w:val="0"/>
                  <w:suppressAutoHyphens/>
                  <w:jc w:val="center"/>
                  <w:rPr>
                    <w:rFonts w:eastAsia="Lucida Sans Unicode" w:cs="Tahoma"/>
                    <w:szCs w:val="24"/>
                    <w:lang w:eastAsia="lt-LT" w:bidi="en-US"/>
                  </w:rPr>
                </w:pPr>
              </w:p>
            </w:tc>
            <w:tc>
              <w:tcPr>
                <w:tcW w:w="1588" w:type="dxa"/>
                <w:vMerge/>
              </w:tcPr>
              <w:p>
                <w:pPr>
                  <w:widowControl w:val="0"/>
                  <w:suppressAutoHyphens/>
                  <w:jc w:val="center"/>
                  <w:rPr>
                    <w:rFonts w:eastAsia="Lucida Sans Unicode" w:cs="Tahoma"/>
                    <w:szCs w:val="24"/>
                    <w:lang w:eastAsia="lt-LT" w:bidi="en-US"/>
                  </w:rPr>
                </w:pPr>
              </w:p>
            </w:tc>
          </w:tr>
          <w:tr>
            <w:trPr>
              <w:cantSplit/>
              <w:trHeight w:val="595"/>
              <w:jc w:val="center"/>
            </w:trPr>
            <w:tc>
              <w:tcPr>
                <w:tcW w:w="2029" w:type="dxa"/>
                <w:vMerge w:val="restart"/>
              </w:tcPr>
              <w:p>
                <w:pPr>
                  <w:widowControl w:val="0"/>
                  <w:suppressAutoHyphens/>
                  <w:rPr>
                    <w:rFonts w:eastAsia="Lucida Sans Unicode" w:cs="Tahoma"/>
                    <w:szCs w:val="24"/>
                    <w:lang w:eastAsia="lt-LT" w:bidi="en-US"/>
                  </w:rPr>
                </w:pPr>
                <w:r>
                  <w:rPr>
                    <w:rFonts w:eastAsia="Lucida Sans Unicode" w:cs="Tahoma"/>
                    <w:szCs w:val="24"/>
                    <w:lang w:eastAsia="lt-LT" w:bidi="en-US"/>
                  </w:rPr>
                  <w:t>1. Stiprinti perkančiųjų organizacijų gebėjimus atlikti žaliuosius pirkimus, skatinti tiekėjus pateikti į rinką kuo daugiau aplinkai palankių produktų</w:t>
                </w:r>
              </w:p>
            </w:tc>
            <w:tc>
              <w:tcPr>
                <w:tcW w:w="4087" w:type="dxa"/>
                <w:tcBorders>
                  <w:bottom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1.1. atlikti žaliųjų pirkimų mokymo programos pakeitimus;</w:t>
                </w: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2017 metai</w:t>
                </w:r>
              </w:p>
            </w:tc>
          </w:tr>
          <w:tr>
            <w:trPr>
              <w:cantSplit/>
              <w:trHeight w:val="518"/>
              <w:jc w:val="center"/>
            </w:trPr>
            <w:tc>
              <w:tcPr>
                <w:tcW w:w="2029" w:type="dxa"/>
                <w:vMerge/>
              </w:tcPr>
              <w:p>
                <w:pPr/>
              </w:p>
            </w:tc>
            <w:tc>
              <w:tcPr>
                <w:tcW w:w="4087" w:type="dxa"/>
                <w:vMerge w:val="restart"/>
                <w:tcBorders>
                  <w:top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1.2. organizuoti perkančiosioms organizacijoms, tiekėjams mokymus-seminarus žaliųjų pirkimų klausimais;</w:t>
                </w: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trPr>
              <w:cantSplit/>
              <w:trHeight w:val="518"/>
              <w:jc w:val="center"/>
            </w:trPr>
            <w:tc>
              <w:tcPr>
                <w:tcW w:w="2029" w:type="dxa"/>
                <w:vMerge/>
              </w:tcPr>
              <w:p>
                <w:pPr/>
              </w:p>
            </w:tc>
            <w:tc>
              <w:tcPr>
                <w:tcW w:w="4087" w:type="dxa"/>
                <w:vMerge/>
              </w:tcPr>
              <w:p>
                <w:pPr>
                  <w:widowControl w:val="0"/>
                  <w:suppressAutoHyphens/>
                  <w:rPr>
                    <w:rFonts w:eastAsia="Lucida Sans Unicode" w:cs="Tahoma"/>
                    <w:szCs w:val="24"/>
                    <w:lang w:eastAsia="lt-LT" w:bidi="en-US"/>
                  </w:rPr>
                </w:pP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813"/>
              <w:jc w:val="center"/>
            </w:trPr>
            <w:tc>
              <w:tcPr>
                <w:tcW w:w="2029" w:type="dxa"/>
                <w:vMerge/>
              </w:tcPr>
              <w:p>
                <w:pPr/>
              </w:p>
            </w:tc>
            <w:tc>
              <w:tcPr>
                <w:tcW w:w="4087" w:type="dxa"/>
                <w:vMerge w:val="restart"/>
                <w:tcBorders>
                  <w:top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1.3. rengti ir platinti perkančiosioms organizacijoms, tiekėjams rekomendacinę ir mokomąją medžiagą apie žaliuosius pirkimus, parengti ir paviešinti informaciją apie žaliųjų pirkimų gerąją praktiką;</w:t>
                </w: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p>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403"/>
              <w:jc w:val="center"/>
            </w:trPr>
            <w:tc>
              <w:tcPr>
                <w:tcW w:w="2029" w:type="dxa"/>
                <w:vMerge/>
              </w:tcPr>
              <w:p>
                <w:pPr/>
              </w:p>
            </w:tc>
            <w:tc>
              <w:tcPr>
                <w:tcW w:w="4087" w:type="dxa"/>
                <w:vMerge/>
              </w:tcPr>
              <w:p>
                <w:pPr>
                  <w:widowControl w:val="0"/>
                  <w:suppressAutoHyphens/>
                  <w:rPr>
                    <w:rFonts w:eastAsia="Lucida Sans Unicode" w:cs="Tahoma"/>
                    <w:szCs w:val="24"/>
                    <w:lang w:eastAsia="lt-LT" w:bidi="en-US"/>
                  </w:rPr>
                </w:pP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420"/>
              <w:jc w:val="center"/>
            </w:trPr>
            <w:tc>
              <w:tcPr>
                <w:tcW w:w="2029" w:type="dxa"/>
                <w:vMerge/>
              </w:tcPr>
              <w:p>
                <w:pPr/>
              </w:p>
            </w:tc>
            <w:tc>
              <w:tcPr>
                <w:tcW w:w="4087" w:type="dxa"/>
                <w:vMerge w:val="restart"/>
                <w:tcBorders>
                  <w:top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1.4. vykdyti konsultacijas žaliųjų pirkimų klausimais.</w:t>
                </w: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420"/>
              <w:jc w:val="center"/>
            </w:trPr>
            <w:tc>
              <w:tcPr>
                <w:tcW w:w="2029" w:type="dxa"/>
                <w:vMerge/>
              </w:tcPr>
              <w:p>
                <w:pPr/>
              </w:p>
            </w:tc>
            <w:tc>
              <w:tcPr>
                <w:tcW w:w="4087" w:type="dxa"/>
                <w:vMerge/>
              </w:tcPr>
              <w:p>
                <w:pPr>
                  <w:widowControl w:val="0"/>
                  <w:suppressAutoHyphens/>
                  <w:rPr>
                    <w:rFonts w:eastAsia="Lucida Sans Unicode" w:cs="Tahoma"/>
                    <w:szCs w:val="24"/>
                    <w:lang w:eastAsia="lt-LT" w:bidi="en-US"/>
                  </w:rPr>
                </w:pP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415"/>
              <w:jc w:val="center"/>
            </w:trPr>
            <w:tc>
              <w:tcPr>
                <w:tcW w:w="2029" w:type="dxa"/>
                <w:vMerge w:val="restart"/>
              </w:tcPr>
              <w:p>
                <w:pPr>
                  <w:widowControl w:val="0"/>
                  <w:suppressAutoHyphens/>
                  <w:rPr>
                    <w:rFonts w:eastAsia="Lucida Sans Unicode" w:cs="Tahoma"/>
                    <w:szCs w:val="24"/>
                    <w:lang w:eastAsia="lt-LT" w:bidi="en-US"/>
                  </w:rPr>
                </w:pPr>
                <w:r>
                  <w:rPr>
                    <w:rFonts w:eastAsia="Lucida Sans Unicode" w:cs="Tahoma"/>
                    <w:szCs w:val="24"/>
                    <w:lang w:eastAsia="lt-LT" w:bidi="en-US"/>
                  </w:rPr>
                  <w:t>2. Užtikrinti, kad žalieji pirkimai būtų atliekami vadovaujantis aplinkos apsaugos kriterijais, o įsigyti produktai būtų palankūs aplinkai</w:t>
                </w:r>
              </w:p>
            </w:tc>
            <w:tc>
              <w:tcPr>
                <w:tcW w:w="4087" w:type="dxa"/>
                <w:vMerge w:val="restart"/>
              </w:tcPr>
              <w:p>
                <w:pPr>
                  <w:widowControl w:val="0"/>
                  <w:suppressAutoHyphens/>
                  <w:rPr>
                    <w:rFonts w:eastAsia="Lucida Sans Unicode" w:cs="Tahoma"/>
                    <w:szCs w:val="24"/>
                    <w:lang w:eastAsia="lt-LT" w:bidi="en-US"/>
                  </w:rPr>
                </w:pPr>
                <w:r>
                  <w:rPr>
                    <w:rFonts w:eastAsia="Lucida Sans Unicode" w:cs="Tahoma"/>
                    <w:szCs w:val="24"/>
                    <w:lang w:eastAsia="lt-LT" w:bidi="en-US"/>
                  </w:rPr>
                  <w:t>2.1. periodiškai įvertinti produktų aplinkos apsaugos kriterijus, patvirtintus Lietuvos Respublikos aplinkos ministro 2011 m. birželio 28 d. įsakymu Nr. D1-508 „</w:t>
                </w:r>
                <w:r>
                  <w:rPr>
                    <w:rFonts w:eastAsia="Lucida Sans Unicode" w:cs="Tahoma"/>
                    <w:bCs/>
                    <w:szCs w:val="24"/>
                    <w:lang w:eastAsia="lt-LT" w:bidi="en-US"/>
                  </w:rPr>
                  <w:t>Dėl p</w:t>
                </w:r>
                <w:r>
                  <w:rPr>
                    <w:rFonts w:eastAsia="Lucida Sans Unicode" w:cs="Tahoma"/>
                    <w:szCs w:val="24"/>
                    <w:lang w:eastAsia="lt-LT" w:bidi="en-US"/>
                  </w:rPr>
                  <w:t>roduktų, kurių viešiesiems pirkimams taikytini aplinkos apsaugos kriterijai, sąrašų, aplinkos apsaugos kriterijų ir aplinkos apsaugos kriterijų, kuriuos perkančiosios organizacijos turi taikyti pirkdamos prekes, paslaugas ar darbus, taikymo tvarkos aprašo patvirtinimo“, ir rengti šiems produktams (jeigu reikalinga) aplinkos apsaugos kriterijų pakeitimus; siūlyti naujus produktus, kurių viešiesiems pirkimams taikytini aplinkos apsaugos kriterijai, ir parengti šiems produktams aplinkos apsaugos kriterijus;</w:t>
                </w: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415"/>
              <w:jc w:val="center"/>
            </w:trPr>
            <w:tc>
              <w:tcPr>
                <w:tcW w:w="2029" w:type="dxa"/>
                <w:vMerge/>
              </w:tcPr>
              <w:p>
                <w:pPr>
                  <w:widowControl w:val="0"/>
                  <w:suppressAutoHyphens/>
                  <w:rPr>
                    <w:rFonts w:eastAsia="Lucida Sans Unicode" w:cs="Tahoma"/>
                    <w:szCs w:val="24"/>
                    <w:lang w:eastAsia="lt-LT" w:bidi="en-US"/>
                  </w:rPr>
                </w:pPr>
              </w:p>
            </w:tc>
            <w:tc>
              <w:tcPr>
                <w:tcW w:w="4087" w:type="dxa"/>
                <w:vMerge/>
                <w:tcBorders>
                  <w:bottom w:val="single" w:sz="4" w:space="0" w:color="auto"/>
                </w:tcBorders>
              </w:tcPr>
              <w:p>
                <w:pPr>
                  <w:widowControl w:val="0"/>
                  <w:suppressAutoHyphens/>
                  <w:rPr>
                    <w:rFonts w:eastAsia="Lucida Sans Unicode" w:cs="Tahoma"/>
                    <w:szCs w:val="24"/>
                    <w:lang w:eastAsia="lt-LT" w:bidi="en-US"/>
                  </w:rPr>
                </w:pP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699"/>
              <w:jc w:val="center"/>
            </w:trPr>
            <w:tc>
              <w:tcPr>
                <w:tcW w:w="2029" w:type="dxa"/>
                <w:vMerge/>
              </w:tcPr>
              <w:p>
                <w:pPr/>
              </w:p>
            </w:tc>
            <w:tc>
              <w:tcPr>
                <w:tcW w:w="4087" w:type="dxa"/>
                <w:tcBorders>
                  <w:bottom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 xml:space="preserve">2.2. nustatyti ir patvirtinti sąrašą produktų, kurių viešiesiems pirkimams taikytini aplinkos apsaugos kriterijai, ir nustatytiems produktams patvirtinti aplinkos apsaugos kriterijus ar jų pakeitimus; </w:t>
                </w: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trPr>
              <w:cantSplit/>
              <w:trHeight w:val="570"/>
              <w:jc w:val="center"/>
            </w:trPr>
            <w:tc>
              <w:tcPr>
                <w:tcW w:w="2029" w:type="dxa"/>
                <w:vMerge/>
              </w:tcPr>
              <w:p>
                <w:pPr/>
              </w:p>
            </w:tc>
            <w:tc>
              <w:tcPr>
                <w:tcW w:w="4087" w:type="dxa"/>
                <w:tcBorders>
                  <w:top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 xml:space="preserve">2.3. nustatyti žaliųjų pirkimų tikslus 2021−2025 metų periodui ir parengti šių tikslų įgyvendinimo priemonių planą. </w:t>
                </w: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420"/>
              <w:jc w:val="center"/>
            </w:trPr>
            <w:tc>
              <w:tcPr>
                <w:tcW w:w="2029" w:type="dxa"/>
                <w:vMerge w:val="restart"/>
              </w:tcPr>
              <w:p>
                <w:pPr>
                  <w:widowControl w:val="0"/>
                  <w:suppressAutoHyphens/>
                  <w:rPr>
                    <w:rFonts w:eastAsia="Lucida Sans Unicode" w:cs="Tahoma"/>
                    <w:szCs w:val="24"/>
                    <w:lang w:eastAsia="lt-LT" w:bidi="en-US"/>
                  </w:rPr>
                </w:pPr>
                <w:r>
                  <w:rPr>
                    <w:rFonts w:eastAsia="Lucida Sans Unicode" w:cs="Tahoma"/>
                    <w:szCs w:val="24"/>
                    <w:lang w:eastAsia="lt-LT" w:bidi="en-US"/>
                  </w:rPr>
                  <w:t>3. Rinkti ir kaupti informaciją apie aplinkai palankius produktus, informuoti perkančiąsias organizacijas apie aplinkai palankius produktus ir aplinkos apsaugos kriterijus, kuriais vadovaujantis turėtų būti atliekami žalieji pirkimai</w:t>
                </w:r>
              </w:p>
            </w:tc>
            <w:tc>
              <w:tcPr>
                <w:tcW w:w="4087" w:type="dxa"/>
                <w:vMerge w:val="restart"/>
              </w:tcPr>
              <w:p>
                <w:pPr>
                  <w:widowControl w:val="0"/>
                  <w:suppressAutoHyphens/>
                  <w:rPr>
                    <w:rFonts w:eastAsia="Lucida Sans Unicode" w:cs="Tahoma"/>
                    <w:strike/>
                    <w:szCs w:val="24"/>
                    <w:lang w:eastAsia="lt-LT" w:bidi="en-US"/>
                  </w:rPr>
                </w:pPr>
                <w:r>
                  <w:rPr>
                    <w:rFonts w:eastAsia="Lucida Sans Unicode" w:cs="Tahoma"/>
                    <w:szCs w:val="24"/>
                    <w:lang w:eastAsia="lt-LT" w:bidi="en-US"/>
                  </w:rPr>
                  <w:t>3.3. teikti savo interneto svetainėje informaciją apie aplinkai palankius produktus, aplinkos apsaugos kriterijus, kitą perkančiosioms organizacijoms, tiekėjams ir kitiems suinteresuotiems asmenims naudingą informaciją.</w:t>
                </w: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bottom w:val="single" w:sz="4" w:space="0" w:color="auto"/>
                </w:tcBorders>
              </w:tcPr>
              <w:p>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1135"/>
              <w:jc w:val="center"/>
            </w:trPr>
            <w:tc>
              <w:tcPr>
                <w:tcW w:w="2029" w:type="dxa"/>
                <w:vMerge/>
              </w:tcPr>
              <w:p>
                <w:pPr>
                  <w:widowControl w:val="0"/>
                  <w:suppressAutoHyphens/>
                  <w:rPr>
                    <w:rFonts w:eastAsia="Lucida Sans Unicode" w:cs="Tahoma"/>
                    <w:szCs w:val="24"/>
                    <w:lang w:eastAsia="lt-LT" w:bidi="en-US"/>
                  </w:rPr>
                </w:pPr>
              </w:p>
            </w:tc>
            <w:tc>
              <w:tcPr>
                <w:tcW w:w="4087" w:type="dxa"/>
                <w:vMerge/>
                <w:tcBorders>
                  <w:bottom w:val="single" w:sz="4" w:space="0" w:color="auto"/>
                </w:tcBorders>
              </w:tcPr>
              <w:p>
                <w:pPr>
                  <w:widowControl w:val="0"/>
                  <w:suppressAutoHyphens/>
                  <w:rPr>
                    <w:rFonts w:eastAsia="Lucida Sans Unicode" w:cs="Tahoma"/>
                    <w:szCs w:val="24"/>
                    <w:lang w:eastAsia="lt-LT" w:bidi="en-US"/>
                  </w:rPr>
                </w:pP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trPr>
              <w:cantSplit/>
              <w:trHeight w:val="1135"/>
              <w:jc w:val="center"/>
            </w:trPr>
            <w:tc>
              <w:tcPr>
                <w:tcW w:w="2029" w:type="dxa"/>
                <w:vMerge w:val="restart"/>
              </w:tcPr>
              <w:p>
                <w:pPr>
                  <w:widowControl w:val="0"/>
                  <w:suppressAutoHyphens/>
                  <w:rPr>
                    <w:rFonts w:eastAsia="Lucida Sans Unicode" w:cs="Tahoma"/>
                    <w:szCs w:val="24"/>
                    <w:lang w:eastAsia="lt-LT" w:bidi="en-US"/>
                  </w:rPr>
                </w:pPr>
                <w:r>
                  <w:rPr>
                    <w:rFonts w:eastAsia="Lucida Sans Unicode" w:cs="Tahoma"/>
                    <w:szCs w:val="24"/>
                    <w:lang w:eastAsia="lt-LT" w:bidi="en-US"/>
                  </w:rPr>
                  <w:t>4. Atlikti žaliųjų pirkimų stebėseną</w:t>
                </w:r>
              </w:p>
            </w:tc>
            <w:tc>
              <w:tcPr>
                <w:tcW w:w="4087" w:type="dxa"/>
                <w:tcBorders>
                  <w:top w:val="single" w:sz="4" w:space="0" w:color="auto"/>
                  <w:bottom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4.1. kaupti statistinius duomenis apie atliktus žaliuosius pirkimus Viešųjų pirkimų tarnybos informacinėje sistemoje;</w:t>
                </w: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2020 metai</w:t>
                </w:r>
              </w:p>
            </w:tc>
          </w:tr>
          <w:tr>
            <w:trPr>
              <w:cantSplit/>
              <w:trHeight w:val="825"/>
              <w:jc w:val="center"/>
            </w:trPr>
            <w:tc>
              <w:tcPr>
                <w:tcW w:w="2029" w:type="dxa"/>
                <w:vMerge/>
              </w:tcPr>
              <w:p>
                <w:pPr/>
              </w:p>
            </w:tc>
            <w:tc>
              <w:tcPr>
                <w:tcW w:w="4087" w:type="dxa"/>
                <w:tcBorders>
                  <w:top w:val="single" w:sz="4" w:space="0" w:color="auto"/>
                  <w:bottom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4.2. pateikti žaliųjų pirkimų stebėsenos duomenis Aplinkos ministerijai;</w:t>
                </w:r>
              </w:p>
            </w:tc>
            <w:tc>
              <w:tcPr>
                <w:tcW w:w="2149"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88" w:type="dxa"/>
                <w:tcBorders>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II ketvirtis</w:t>
                </w:r>
              </w:p>
            </w:tc>
          </w:tr>
          <w:tr>
            <w:trPr>
              <w:cantSplit/>
              <w:trHeight w:val="555"/>
              <w:jc w:val="center"/>
            </w:trPr>
            <w:tc>
              <w:tcPr>
                <w:tcW w:w="2029" w:type="dxa"/>
                <w:vMerge/>
              </w:tcPr>
              <w:p>
                <w:pPr/>
              </w:p>
            </w:tc>
            <w:tc>
              <w:tcPr>
                <w:tcW w:w="4087" w:type="dxa"/>
                <w:vMerge w:val="restart"/>
                <w:tcBorders>
                  <w:top w:val="single" w:sz="4" w:space="0" w:color="auto"/>
                </w:tcBorders>
              </w:tcPr>
              <w:p>
                <w:pPr>
                  <w:widowControl w:val="0"/>
                  <w:suppressAutoHyphens/>
                  <w:rPr>
                    <w:rFonts w:eastAsia="Andale Sans UI" w:cs="Tahoma"/>
                    <w:szCs w:val="24"/>
                    <w:lang w:eastAsia="ar-SA" w:bidi="en-US"/>
                  </w:rPr>
                </w:pPr>
                <w:r>
                  <w:rPr>
                    <w:rFonts w:eastAsia="Andale Sans UI" w:cs="Tahoma"/>
                    <w:szCs w:val="24"/>
                    <w:lang w:eastAsia="ar-SA" w:bidi="en-US"/>
                  </w:rPr>
                  <w:t>4.3. rengti ir teikti informaciją, ataskaitas žaliųjų pirkimų klausimais Europos Sąjungos ir Lietuvos Respublikos institucijoms ir kitiems subjektams;</w:t>
                </w:r>
              </w:p>
            </w:tc>
            <w:tc>
              <w:tcPr>
                <w:tcW w:w="2149"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555"/>
              <w:jc w:val="center"/>
            </w:trPr>
            <w:tc>
              <w:tcPr>
                <w:tcW w:w="2029" w:type="dxa"/>
                <w:vMerge/>
              </w:tcPr>
              <w:p>
                <w:pPr/>
              </w:p>
            </w:tc>
            <w:tc>
              <w:tcPr>
                <w:tcW w:w="4087" w:type="dxa"/>
                <w:vMerge/>
                <w:tcBorders>
                  <w:bottom w:val="single" w:sz="4" w:space="0" w:color="auto"/>
                </w:tcBorders>
              </w:tcPr>
              <w:p>
                <w:pPr>
                  <w:widowControl w:val="0"/>
                  <w:suppressAutoHyphens/>
                  <w:rPr>
                    <w:rFonts w:eastAsia="Andale Sans UI" w:cs="Tahoma"/>
                    <w:szCs w:val="24"/>
                    <w:lang w:eastAsia="ar-SA" w:bidi="en-US"/>
                  </w:rPr>
                </w:pPr>
              </w:p>
            </w:tc>
            <w:tc>
              <w:tcPr>
                <w:tcW w:w="2149"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r>
            <w:trPr>
              <w:cantSplit/>
              <w:trHeight w:val="555"/>
              <w:jc w:val="center"/>
            </w:trPr>
            <w:tc>
              <w:tcPr>
                <w:tcW w:w="2029" w:type="dxa"/>
                <w:vMerge/>
              </w:tcPr>
              <w:p>
                <w:pPr/>
              </w:p>
            </w:tc>
            <w:tc>
              <w:tcPr>
                <w:tcW w:w="4087" w:type="dxa"/>
                <w:tcBorders>
                  <w:top w:val="single" w:sz="4" w:space="0" w:color="auto"/>
                  <w:bottom w:val="single" w:sz="4" w:space="0" w:color="auto"/>
                </w:tcBorders>
              </w:tcPr>
              <w:p>
                <w:pPr>
                  <w:widowControl w:val="0"/>
                  <w:suppressAutoHyphens/>
                  <w:rPr>
                    <w:rFonts w:eastAsia="Andale Sans UI" w:cs="Tahoma"/>
                    <w:szCs w:val="24"/>
                    <w:lang w:eastAsia="ar-SA" w:bidi="en-US"/>
                  </w:rPr>
                </w:pPr>
                <w:r>
                  <w:rPr>
                    <w:rFonts w:eastAsia="Andale Sans UI" w:cs="Tahoma"/>
                    <w:szCs w:val="24"/>
                    <w:lang w:eastAsia="ar-SA" w:bidi="en-US"/>
                  </w:rPr>
                  <w:t>4.4. teikti ataskaitas apie žaliųjų pirkimų įgyvendinimo priemonių įvykdymą Aplinkos ministerijai;</w:t>
                </w:r>
              </w:p>
            </w:tc>
            <w:tc>
              <w:tcPr>
                <w:tcW w:w="2149"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už 2016</w:t>
                </w:r>
                <w:r>
                  <w:rPr>
                    <w:rFonts w:eastAsia="Lucida Sans Unicode" w:cs="Tahoma"/>
                    <w:b/>
                    <w:szCs w:val="24"/>
                    <w:lang w:eastAsia="lt-LT" w:bidi="en-US"/>
                  </w:rPr>
                  <w:t>–</w:t>
                </w:r>
                <w:r>
                  <w:rPr>
                    <w:rFonts w:eastAsia="Lucida Sans Unicode" w:cs="Tahoma"/>
                    <w:szCs w:val="24"/>
                    <w:lang w:eastAsia="lt-LT" w:bidi="en-US"/>
                  </w:rPr>
                  <w:t>2019 metus</w:t>
                </w:r>
              </w:p>
            </w:tc>
          </w:tr>
          <w:tr>
            <w:trPr>
              <w:cantSplit/>
              <w:trHeight w:val="279"/>
              <w:jc w:val="center"/>
            </w:trPr>
            <w:tc>
              <w:tcPr>
                <w:tcW w:w="2029" w:type="dxa"/>
                <w:vMerge/>
              </w:tcPr>
              <w:p>
                <w:pPr/>
              </w:p>
            </w:tc>
            <w:tc>
              <w:tcPr>
                <w:tcW w:w="4087" w:type="dxa"/>
                <w:vMerge w:val="restart"/>
                <w:tcBorders>
                  <w:top w:val="single" w:sz="4" w:space="0" w:color="auto"/>
                </w:tcBorders>
              </w:tcPr>
              <w:p>
                <w:pPr>
                  <w:widowControl w:val="0"/>
                  <w:suppressAutoHyphens/>
                  <w:rPr>
                    <w:rFonts w:eastAsia="Andale Sans UI" w:cs="Tahoma"/>
                    <w:szCs w:val="24"/>
                    <w:lang w:eastAsia="ar-SA" w:bidi="en-US"/>
                  </w:rPr>
                </w:pPr>
                <w:r>
                  <w:rPr>
                    <w:rFonts w:eastAsia="Andale Sans UI" w:cs="Tahoma"/>
                    <w:szCs w:val="24"/>
                    <w:lang w:eastAsia="ar-SA" w:bidi="en-US"/>
                  </w:rPr>
                  <w:t>4.5. pagal kompetenciją dalyvauti Europos Komisijos ir kitų institucijų darbo grupių posėdžiuose žaliųjų pirkimų klausimais.</w:t>
                </w:r>
              </w:p>
            </w:tc>
            <w:tc>
              <w:tcPr>
                <w:tcW w:w="2149"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tc>
            <w:tc>
              <w:tcPr>
                <w:tcW w:w="1588" w:type="dxa"/>
                <w:tcBorders>
                  <w:top w:val="single" w:sz="4" w:space="0" w:color="auto"/>
                  <w:bottom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2016</w:t>
                </w:r>
                <w:r>
                  <w:rPr>
                    <w:rFonts w:eastAsia="Lucida Sans Unicode" w:cs="Tahoma"/>
                    <w:b/>
                    <w:szCs w:val="24"/>
                    <w:lang w:eastAsia="lt-LT" w:bidi="en-US"/>
                  </w:rPr>
                  <w:t>–</w:t>
                </w:r>
                <w:r>
                  <w:rPr>
                    <w:rFonts w:eastAsia="Lucida Sans Unicode" w:cs="Tahoma"/>
                    <w:szCs w:val="24"/>
                    <w:lang w:eastAsia="lt-LT" w:bidi="en-US"/>
                  </w:rPr>
                  <w:t>2019 metai</w:t>
                </w:r>
              </w:p>
            </w:tc>
          </w:tr>
          <w:tr>
            <w:trPr>
              <w:cantSplit/>
              <w:trHeight w:val="159"/>
              <w:jc w:val="center"/>
            </w:trPr>
            <w:tc>
              <w:tcPr>
                <w:tcW w:w="2029" w:type="dxa"/>
                <w:vMerge/>
              </w:tcPr>
              <w:p>
                <w:pPr/>
              </w:p>
            </w:tc>
            <w:tc>
              <w:tcPr>
                <w:tcW w:w="4087" w:type="dxa"/>
                <w:vMerge/>
              </w:tcPr>
              <w:p>
                <w:pPr>
                  <w:widowControl w:val="0"/>
                  <w:suppressAutoHyphens/>
                  <w:rPr>
                    <w:rFonts w:eastAsia="Andale Sans UI" w:cs="Tahoma"/>
                    <w:szCs w:val="24"/>
                    <w:lang w:eastAsia="ar-SA" w:bidi="en-US"/>
                  </w:rPr>
                </w:pPr>
              </w:p>
            </w:tc>
            <w:tc>
              <w:tcPr>
                <w:tcW w:w="2149"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88" w:type="dxa"/>
                <w:tcBorders>
                  <w:top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2020 metai</w:t>
                </w:r>
              </w:p>
            </w:tc>
          </w:tr>
        </w:tbl>
        <w:sdt>
          <w:sdtPr>
            <w:alias w:val="pabaiga"/>
            <w:tag w:val="part_77e363564e274fc0bb8997b0884bdc51"/>
            <w:lock w:val="sdtLocked"/>
            <w:richText/>
          </w:sdtPr>
          <w:sdtContent>
            <w:p>
              <w:pPr>
                <w:widowControl w:val="0"/>
                <w:tabs>
                  <w:tab w:val="left" w:pos="709"/>
                </w:tabs>
                <w:suppressAutoHyphens/>
                <w:jc w:val="center"/>
                <w:rPr>
                  <w:rFonts w:eastAsia="Lucida Sans Unicode"/>
                  <w:szCs w:val="24"/>
                  <w:lang w:eastAsia="lt-LT"/>
                </w:rPr>
              </w:pPr>
              <w:r>
                <w:rPr>
                  <w:rFonts w:eastAsia="Lucida Sans Unicode" w:cs="Tahoma"/>
                  <w:szCs w:val="24"/>
                  <w:lang w:eastAsia="lt-LT" w:bidi="en-US"/>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e95a30af3d11e88f64a5ecc703f89b">
            <w:r w:rsidRPr="00532B9F">
              <w:rPr>
                <w:rFonts w:ascii="Times New Roman" w:eastAsia="MS Mincho" w:hAnsi="Times New Roman"/>
                <w:sz w:val="20"/>
                <w:iCs/>
                <w:color w:val="0000FF" w:themeColor="hyperlink"/>
                <w:u w:val="single"/>
              </w:rPr>
              <w:t>D1-793</w:t>
            </w:r>
          </w:fldSimple>
          <w:r>
            <w:rPr>
              <w:rFonts w:ascii="Times New Roman" w:eastAsia="MS Mincho" w:hAnsi="Times New Roman"/>
              <w:sz w:val="20"/>
              <w:iCs/>
            </w:rPr>
            <w:t>,
2018-08-30,
paskelbta TAR 2018-09-03, i. k. 2018-13845                </w:t>
          </w:r>
        </w:p>
        <w:p>
          <w:pPr>
            <w:jc w:val="both"/>
            <w:rPr>
              <w:rFonts w:ascii="Times New Roman" w:hAnsi="Times New Roman"/>
            </w:rPr>
          </w:pPr>
          <w:r>
            <w:rPr>
              <w:rFonts w:ascii="Times New Roman" w:hAnsi="Times New Roman"/>
              <w:sz w:val="20"/>
            </w:rPr>
            <w:t>Dėl Lietuvos Respublikos aplinkos ministro 2015 m. lapkričio 23 d. įsakymo Nr. D1-840 "Dėl Žaliųjų pirkimų įgyvendinimo 2016–2020 metų priemonių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47a6e06f3511eabee4a336e7e6fdab">
            <w:r w:rsidRPr="00532B9F">
              <w:rPr>
                <w:rFonts w:ascii="Times New Roman" w:eastAsia="MS Mincho" w:hAnsi="Times New Roman"/>
                <w:sz w:val="20"/>
                <w:iCs/>
                <w:color w:val="0000FF" w:themeColor="hyperlink"/>
                <w:u w:val="single"/>
              </w:rPr>
              <w:t>D1-168</w:t>
            </w:r>
          </w:fldSimple>
          <w:r>
            <w:rPr>
              <w:rFonts w:ascii="Times New Roman" w:eastAsia="MS Mincho" w:hAnsi="Times New Roman"/>
              <w:sz w:val="20"/>
              <w:iCs/>
            </w:rPr>
            <w:t>,
2020-03-25,
paskelbta TAR 2020-03-26, i. k. 2020-06066                </w:t>
          </w:r>
        </w:p>
        <w:p>
          <w:pPr>
            <w:jc w:val="both"/>
            <w:rPr>
              <w:rFonts w:ascii="Times New Roman" w:hAnsi="Times New Roman"/>
            </w:rPr>
          </w:pPr>
          <w:r>
            <w:rPr>
              <w:rFonts w:ascii="Times New Roman" w:hAnsi="Times New Roman"/>
              <w:sz w:val="20"/>
            </w:rPr>
            <w:t>Dėl aplinkos ministro 2015-11-23 įsakymo Nr. D1-840 „Dėl Žaliųjų pirkimų įgyvendinimo 2016–2020 metų priemonių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rPr>
        <w:rFonts w:eastAsia="Andale Sans UI" w:cs="Tahoma"/>
        <w:szCs w:val="24"/>
        <w:lang w:bidi="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eastAsia="Lucida Sans Unicode"/>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eastAsia="Lucida Sans Unicode"/>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pStyle w:val="Antrats"/>
      <w:rPr>
        <w:rFonts w:eastAsia="Andale Sans U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rPr>
        <w:rFonts w:eastAsia="Andale Sans U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5"/>
  <w:defaultTabStop w:val="5670"/>
  <w:hyphenationZone w:val="396"/>
  <w:doNotHyphenateCaps/>
  <w:drawingGridHorizontalSpacing w:val="120"/>
  <w:displayHorizontalDrawingGridEvery w:val="2"/>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75BC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09927958">
      <w:bodyDiv w:val="1"/>
      <w:marLeft w:val="225"/>
      <w:marRight w:val="225"/>
      <w:marTop w:val="0"/>
      <w:marBottom w:val="0"/>
      <w:divBdr>
        <w:top w:val="none" w:sz="0" w:space="0" w:color="auto"/>
        <w:left w:val="none" w:sz="0" w:space="0" w:color="auto"/>
        <w:bottom w:val="none" w:sz="0" w:space="0" w:color="auto"/>
        <w:right w:val="none" w:sz="0" w:space="0" w:color="auto"/>
      </w:divBdr>
      <w:divsChild>
        <w:div w:id="1653102565">
          <w:marLeft w:val="0"/>
          <w:marRight w:val="0"/>
          <w:marTop w:val="0"/>
          <w:marBottom w:val="0"/>
          <w:divBdr>
            <w:top w:val="none" w:sz="0" w:space="0" w:color="auto"/>
            <w:left w:val="none" w:sz="0" w:space="0" w:color="auto"/>
            <w:bottom w:val="none" w:sz="0" w:space="0" w:color="auto"/>
            <w:right w:val="none" w:sz="0" w:space="0" w:color="auto"/>
          </w:divBdr>
        </w:div>
      </w:divsChild>
    </w:div>
    <w:div w:id="542526692">
      <w:bodyDiv w:val="1"/>
      <w:marLeft w:val="225"/>
      <w:marRight w:val="225"/>
      <w:marTop w:val="0"/>
      <w:marBottom w:val="0"/>
      <w:divBdr>
        <w:top w:val="none" w:sz="0" w:space="0" w:color="auto"/>
        <w:left w:val="none" w:sz="0" w:space="0" w:color="auto"/>
        <w:bottom w:val="none" w:sz="0" w:space="0" w:color="auto"/>
        <w:right w:val="none" w:sz="0" w:space="0" w:color="auto"/>
      </w:divBdr>
      <w:divsChild>
        <w:div w:id="2110272536">
          <w:marLeft w:val="0"/>
          <w:marRight w:val="0"/>
          <w:marTop w:val="0"/>
          <w:marBottom w:val="0"/>
          <w:divBdr>
            <w:top w:val="none" w:sz="0" w:space="0" w:color="auto"/>
            <w:left w:val="none" w:sz="0" w:space="0" w:color="auto"/>
            <w:bottom w:val="none" w:sz="0" w:space="0" w:color="auto"/>
            <w:right w:val="none" w:sz="0" w:space="0" w:color="auto"/>
          </w:divBdr>
        </w:div>
      </w:divsChild>
    </w:div>
    <w:div w:id="893151823">
      <w:bodyDiv w:val="1"/>
      <w:marLeft w:val="225"/>
      <w:marRight w:val="225"/>
      <w:marTop w:val="0"/>
      <w:marBottom w:val="0"/>
      <w:divBdr>
        <w:top w:val="none" w:sz="0" w:space="0" w:color="auto"/>
        <w:left w:val="none" w:sz="0" w:space="0" w:color="auto"/>
        <w:bottom w:val="none" w:sz="0" w:space="0" w:color="auto"/>
        <w:right w:val="none" w:sz="0" w:space="0" w:color="auto"/>
      </w:divBdr>
      <w:divsChild>
        <w:div w:id="478618394">
          <w:marLeft w:val="0"/>
          <w:marRight w:val="0"/>
          <w:marTop w:val="0"/>
          <w:marBottom w:val="0"/>
          <w:divBdr>
            <w:top w:val="none" w:sz="0" w:space="0" w:color="auto"/>
            <w:left w:val="none" w:sz="0" w:space="0" w:color="auto"/>
            <w:bottom w:val="none" w:sz="0" w:space="0" w:color="auto"/>
            <w:right w:val="none" w:sz="0" w:space="0" w:color="auto"/>
          </w:divBdr>
        </w:div>
      </w:divsChild>
    </w:div>
    <w:div w:id="1117140093">
      <w:bodyDiv w:val="1"/>
      <w:marLeft w:val="225"/>
      <w:marRight w:val="225"/>
      <w:marTop w:val="0"/>
      <w:marBottom w:val="0"/>
      <w:divBdr>
        <w:top w:val="none" w:sz="0" w:space="0" w:color="auto"/>
        <w:left w:val="none" w:sz="0" w:space="0" w:color="auto"/>
        <w:bottom w:val="none" w:sz="0" w:space="0" w:color="auto"/>
        <w:right w:val="none" w:sz="0" w:space="0" w:color="auto"/>
      </w:divBdr>
      <w:divsChild>
        <w:div w:id="1223709834">
          <w:marLeft w:val="0"/>
          <w:marRight w:val="0"/>
          <w:marTop w:val="0"/>
          <w:marBottom w:val="0"/>
          <w:divBdr>
            <w:top w:val="none" w:sz="0" w:space="0" w:color="auto"/>
            <w:left w:val="none" w:sz="0" w:space="0" w:color="auto"/>
            <w:bottom w:val="none" w:sz="0" w:space="0" w:color="auto"/>
            <w:right w:val="none" w:sz="0" w:space="0" w:color="auto"/>
          </w:divBdr>
        </w:div>
      </w:divsChild>
    </w:div>
    <w:div w:id="1444762703">
      <w:bodyDiv w:val="1"/>
      <w:marLeft w:val="225"/>
      <w:marRight w:val="225"/>
      <w:marTop w:val="0"/>
      <w:marBottom w:val="0"/>
      <w:divBdr>
        <w:top w:val="none" w:sz="0" w:space="0" w:color="auto"/>
        <w:left w:val="none" w:sz="0" w:space="0" w:color="auto"/>
        <w:bottom w:val="none" w:sz="0" w:space="0" w:color="auto"/>
        <w:right w:val="none" w:sz="0" w:space="0" w:color="auto"/>
      </w:divBdr>
      <w:divsChild>
        <w:div w:id="1361470346">
          <w:marLeft w:val="0"/>
          <w:marRight w:val="0"/>
          <w:marTop w:val="0"/>
          <w:marBottom w:val="0"/>
          <w:divBdr>
            <w:top w:val="none" w:sz="0" w:space="0" w:color="auto"/>
            <w:left w:val="none" w:sz="0" w:space="0" w:color="auto"/>
            <w:bottom w:val="none" w:sz="0" w:space="0" w:color="auto"/>
            <w:right w:val="none" w:sz="0" w:space="0" w:color="auto"/>
          </w:divBdr>
        </w:div>
      </w:divsChild>
    </w:div>
    <w:div w:id="2102874322">
      <w:bodyDiv w:val="1"/>
      <w:marLeft w:val="225"/>
      <w:marRight w:val="225"/>
      <w:marTop w:val="0"/>
      <w:marBottom w:val="0"/>
      <w:divBdr>
        <w:top w:val="none" w:sz="0" w:space="0" w:color="auto"/>
        <w:left w:val="none" w:sz="0" w:space="0" w:color="auto"/>
        <w:bottom w:val="none" w:sz="0" w:space="0" w:color="auto"/>
        <w:right w:val="none" w:sz="0" w:space="0" w:color="auto"/>
      </w:divBdr>
      <w:divsChild>
        <w:div w:id="19693578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7.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1fc08c6f0c54e509af0add5be2af41e" PartId="7264e58ee53b483eaffeab92c1efd164">
    <Part Type="preambule" DocPartId="53a3d535369b4a49af69d744477862e2" PartId="6d9b538e0ba44025bf2c414b469713fa"/>
    <Part Type="pastraipa" DocPartId="a4abe3dda544426592f2f691c18be910" PartId="7b5e405f596948499cae82be10ae353e"/>
    <Part Type="signatura" DocPartId="1611ae50d93c4853a56b1de77677d059" PartId="3c10349621cf427c8ce2bf1e0a289f3d"/>
  </Part>
  <Part Type="patvirtinta" Title="ŽALIŲJŲ PIRKIMŲ ĮGYVENDINIMO 2016–2020 METŲ PRIEMONĖS" DocPartId="686869c5c21e404b84a97cc51f7dec42" PartId="05f42c4a3fa94f8385f6709c938680e6">
    <Part Type="pabaiga" DocPartId="44aadec638a0482f85f4fdfa1f00e9ea" PartId="77e363564e274fc0bb8997b0884bdc51"/>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18990EB-8030-4DE1-8BF9-CD67ADC7CEF9}">
  <ds:schemaRefs>
    <ds:schemaRef ds:uri="http://lrs.lt/TAIS/DocParts"/>
  </ds:schemaRefs>
</ds:datastoreItem>
</file>

<file path=customXml/itemProps2.xml><?xml version="1.0" encoding="utf-8"?>
<ds:datastoreItem xmlns:ds="http://schemas.openxmlformats.org/officeDocument/2006/customXml" ds:itemID="{34AC8020-F474-4CB8-8AE5-B908B1CABEF0}">
  <ds:schemaRefs>
    <ds:schemaRef ds:uri="http://schemas.openxmlformats.org/officeDocument/2006/bibliography"/>
  </ds:schemaRefs>
</ds:datastoreItem>
</file>

<file path=customXml/itemProps3.xml><?xml version="1.0" encoding="utf-8"?>
<ds:datastoreItem xmlns:ds="http://schemas.openxmlformats.org/officeDocument/2006/customXml" ds:itemID="{CFAE0378-5092-41D7-83EF-3E8F42903AD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5</Pages>
  <Words>5491</Words>
  <Characters>3131</Characters>
  <Application>Microsoft Office Word</Application>
  <DocSecurity>0</DocSecurity>
  <Lines>26</Lines>
  <Paragraphs>17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8605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2015-11-26T10:55:00Z</dcterms:created>
  <dc:creator>M-Satkeviciene</dc:creator>
  <lastModifiedBy>JUOSPONIENĖ Karolina</lastModifiedBy>
  <lastPrinted>2015-11-17T07:16:00Z</lastPrinted>
  <dcterms:modified xsi:type="dcterms:W3CDTF">2020-03-27T08:43:00Z</dcterms:modified>
  <revision>8</revision>
</coreProperties>
</file>