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be3a36ef6f04d01aeb621bf24b9b981"/>
        <w:lock w:val="sdtLocked"/>
        <w:richText/>
      </w:sdtPr>
      <w:sdtContent>
        <w:p>
          <w:pPr>
            <w:jc w:val="both"/>
            <w:rPr>
              <w:rFonts w:ascii="Times New Roman" w:hAnsi="Times New Roman"/>
            </w:rPr>
          </w:pPr>
          <w:r>
            <w:rPr>
              <w:rFonts w:ascii="Times New Roman" w:hAnsi="Times New Roman"/>
              <w:b/>
              <w:i/>
            </w:rPr>
            <w:t>Suvestinė redakcija nuo 2020-10-07 iki 2020-10-13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b2717590fce211ea88f28eae672e5b40">
            <w:r w:rsidRPr="00532B9F">
              <w:rPr>
                <w:rFonts w:ascii="Times New Roman" w:eastAsia="MS Mincho" w:hAnsi="Times New Roman"/>
                <w:sz w:val="20"/>
                <w:i/>
                <w:iCs/>
                <w:color w:val="0000FF" w:themeColor="hyperlink"/>
                <w:u w:val="single"/>
              </w:rPr>
              <w:t>V-2089</w:t>
            </w:r>
          </w:fldSimple>
          <w:r>
            <w:rPr>
              <w:rFonts w:ascii="Times New Roman" w:eastAsia="MS Mincho" w:hAnsi="Times New Roman"/>
              <w:sz w:val="20"/>
              <w:i/>
              <w:iCs/>
            </w:rPr>
            <w:t>,
2020-09-22,
paskelbta TAR 2020-09-22, i. k. 2020-19631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szCs w:val="24"/>
            </w:rPr>
            <w:t>DĖL AUKŠTOJO MOKSLO STUDIJŲ, PROFESINIO MOKYMO IR NEFORMALIOJO SUAUGUSIŲJŲ ŠVIETIMO VYKDYMO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V-1837</w:t>
            <w:br/>
            <w:t>Vilnius</w:t>
          </w:r>
        </w:p>
        <w:p>
          <w:pPr>
            <w:jc w:val="center"/>
            <w:rPr>
              <w:color w:val="000000"/>
              <w:szCs w:val="24"/>
              <w:lang w:eastAsia="zh-CN"/>
            </w:rPr>
          </w:pPr>
        </w:p>
        <w:sdt>
          <w:sdtPr>
            <w:alias w:val="preambule"/>
            <w:tag w:val="part_a1d1121a828647ba977523cbc6c2910d"/>
            <w:lock w:val="sdtLocked"/>
            <w:richText/>
          </w:sdtPr>
          <w:sdtContent>
            <w:p>
              <w:pPr>
                <w:tabs>
                  <w:tab w:val="left" w:pos="993"/>
                </w:tabs>
                <w:spacing w:line="281" w:lineRule="auto"/>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ef482601a9f7411dac928a3fda9dbaf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ef482601a9f7411dac928a3fda9dbaf8"/>
                  <w:lock w:val="sdtLocked"/>
                  <w:richText/>
                </w:sdtPr>
                <w:sdtContent>
                  <w:r>
                    <w:rPr>
                      <w:color w:val="000000"/>
                      <w:szCs w:val="24"/>
                      <w:shd w:val="clear" w:color="auto" w:fill="FFFFFF"/>
                    </w:rPr>
                    <w:t>1</w:t>
                  </w:r>
                </w:sdtContent>
              </w:sdt>
              <w:r>
                <w:rPr>
                  <w:color w:val="000000"/>
                  <w:szCs w:val="24"/>
                  <w:shd w:val="clear" w:color="auto" w:fill="FFFFFF"/>
                </w:rPr>
                <w:t xml:space="preserve">. Įpareigoti aukštųjų mokyklų vadovus, profesinio mokymo ir neformaliojo suaugusiųjų švietimo teikėjus  organizuoti veiklą laikantis šių reikalavimų:</w:t>
              </w:r>
            </w:p>
            <w:sdt>
              <w:sdtPr>
                <w:alias w:val="1.1 pp."/>
                <w:tag w:val="part_321f041e024c4d18852c2362837d0342"/>
                <w:lock w:val="sdtLocked"/>
                <w:richText/>
              </w:sdtPr>
              <w:sdtContent>
                <w:p>
                  <w:pPr>
                    <w:tabs>
                      <w:tab w:val="left" w:pos="993"/>
                    </w:tabs>
                    <w:spacing w:line="281" w:lineRule="auto"/>
                    <w:ind w:firstLine="720"/>
                    <w:jc w:val="both"/>
                  </w:pPr>
                  <w:sdt>
                    <w:sdtPr>
                      <w:alias w:val="Numeris"/>
                      <w:tag w:val="nr_321f041e024c4d18852c2362837d0342"/>
                      <w:lock w:val="sdtLocked"/>
                      <w:richText/>
                    </w:sdtPr>
                    <w:sdtContent>
                      <w:r>
                        <w:rPr>
                          <w:color w:val="000000"/>
                          <w:szCs w:val="24"/>
                          <w:shd w:val="clear" w:color="auto" w:fill="FFFFFF"/>
                        </w:rPr>
                        <w:t>1.1</w:t>
                      </w:r>
                    </w:sdtContent>
                  </w:sdt>
                  <w:r>
                    <w:rPr>
                      <w:color w:val="000000"/>
                      <w:szCs w:val="24"/>
                      <w:shd w:val="clear" w:color="auto" w:fill="FFFFFF"/>
                    </w:rPr>
                    <w:t>. Darbuotojai, tarp jų ir pedagogai, bendrose uždarose erdvėse (pvz., koridoriuose, valgyklose, bibliotekose ir pan.)</w:t>
                  </w:r>
                  <w:r>
                    <w:rPr>
                      <w:color w:val="000000"/>
                      <w:shd w:val="clear" w:color="auto" w:fill="FFFFFF"/>
                    </w:rPr>
                    <w:t xml:space="preserve">, pedagogai  auditorijose, klasėse ir kitose </w:t>
                  </w:r>
                  <w:r>
                    <w:rPr>
                      <w:color w:val="000000"/>
                      <w:szCs w:val="24"/>
                      <w:shd w:val="clear" w:color="auto" w:fill="FFFFFF"/>
                    </w:rPr>
                    <w:t xml:space="preserve">mokymo </w:t>
                  </w:r>
                  <w:r>
                    <w:rPr>
                      <w:color w:val="000000"/>
                      <w:shd w:val="clear" w:color="auto" w:fill="FFFFFF"/>
                    </w:rPr>
                    <w:t xml:space="preserve">patalpose, taip pat </w:t>
                  </w:r>
                  <w:r>
                    <w:rPr>
                      <w:color w:val="000000"/>
                      <w:szCs w:val="24"/>
                      <w:shd w:val="clear" w:color="auto" w:fill="FFFFFF"/>
                    </w:rPr>
                    <w:t xml:space="preserve">asmenys, dalyvaujantys aukštojo mokslo studijų, profesinio mokymo ir neformaliojo suaugusiųjų švietimo veiklose, auditorijose, klasėse ir kitose mokymo patalpose, jei tarp jų neišlaikomas 2 metrų atstumas, </w:t>
                  </w:r>
                  <w:r>
                    <w:rPr>
                      <w:color w:val="000000"/>
                      <w:shd w:val="clear" w:color="auto" w:fill="FFFFFF"/>
                    </w:rPr>
                    <w:t xml:space="preserve">renginiuose uždarose erdvėse dalyvaujantys pilnamečiai asmenys, jei tarp jų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d520c895a8384099b450030d4aab9d4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d520c895a8384099b450030d4aab9d44"/>
                      <w:lock w:val="sdtLocked"/>
                      <w:richText/>
                    </w:sdtPr>
                    <w:sdtContent>
                      <w:r>
                        <w:rPr>
                          <w:color w:val="000000"/>
                          <w:szCs w:val="24"/>
                          <w:shd w:val="clear" w:color="auto" w:fill="FFFFFF"/>
                        </w:rPr>
                        <w:t>1.2</w:t>
                      </w:r>
                    </w:sdtContent>
                  </w:sdt>
                  <w:r>
                    <w:rPr>
                      <w:color w:val="000000"/>
                      <w:szCs w:val="24"/>
                      <w:shd w:val="clear" w:color="auto" w:fill="FFFFFF"/>
                    </w:rPr>
                    <w:t>. Tarp aukštojo mokslo studijų, profesinio mokymo ir neformaliojo suaugusiųjų švietimo veiklose dalyvaujančių asmenų turi būti</w:t>
                  </w:r>
                  <w:r>
                    <w:t xml:space="preserve"> išlaikomas ne mažesnis kaip 1 m atstumas</w:t>
                  </w:r>
                  <w:r>
                    <w:rPr>
                      <w:color w:val="000000"/>
                      <w:szCs w:val="24"/>
                      <w:shd w:val="clear" w:color="auto" w:fill="FFFFFF"/>
                    </w:rPr>
                    <w:t>.</w:t>
                  </w:r>
                </w:p>
              </w:sdtContent>
            </w:sdt>
            <w:sdt>
              <w:sdtPr>
                <w:alias w:val="1.3 pp."/>
                <w:tag w:val="part_f2f27d809425427dac8c68cacf1f4fe5"/>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2f27d809425427dac8c68cacf1f4fe5"/>
                      <w:lock w:val="sdtLocked"/>
                      <w:richText/>
                    </w:sdtPr>
                    <w:sdtContent>
                      <w:r>
                        <w:rPr>
                          <w:color w:val="000000"/>
                          <w:szCs w:val="24"/>
                          <w:shd w:val="clear" w:color="auto" w:fill="FFFFFF"/>
                        </w:rPr>
                        <w:t>1.3</w:t>
                      </w:r>
                    </w:sdtContent>
                  </w:sdt>
                  <w:r>
                    <w:rPr>
                      <w:color w:val="000000"/>
                      <w:szCs w:val="24"/>
                      <w:shd w:val="clear" w:color="auto" w:fill="FFFFFF"/>
                    </w:rPr>
                    <w:t>. Uždarose erdvėse renginiai turi būti organizuojami laikantis grupių izoliavimo principo. Organizuojant renginius atvirose erdvėse tarp dalyvių turi būti išlaikomas ne mažesnis kaip 1 metro atstumas.</w:t>
                  </w:r>
                </w:p>
              </w:sdtContent>
            </w:sdt>
            <w:sdt>
              <w:sdtPr>
                <w:alias w:val="1.4 pp."/>
                <w:tag w:val="part_404e0c0a8e034acf93a8daeb5b237ec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404e0c0a8e034acf93a8daeb5b237ecb"/>
                      <w:lock w:val="sdtLocked"/>
                      <w:richText/>
                    </w:sdtPr>
                    <w:sdtContent>
                      <w:r>
                        <w:rPr>
                          <w:color w:val="000000"/>
                          <w:szCs w:val="24"/>
                        </w:rPr>
                        <w:t>1.4</w:t>
                      </w:r>
                    </w:sdtContent>
                  </w:sdt>
                  <w:r>
                    <w:rPr>
                      <w:color w:val="000000"/>
                      <w:szCs w:val="24"/>
                    </w:rPr>
                    <w:t>. Prie įėjimo į aukštojo mokslo studijų, profesinio mokymo ir neformaliojo suaugusiųjų švietimo veiklų vykdymo vietą asmenims, dalyvaujantiems aukštojo mokslo studijų, profesinio mokymo ir neformaliojo suaugusiųjų švietimo veiklose, darbuotojams ir kitiems asmenims turi būti pateikiama informacija apie: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sdt>
                  <w:sdtPr>
                    <w:alias w:val="1.4.1 pp."/>
                    <w:tag w:val="part_7e04f08977884ff59f4762f87494f83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e04f08977884ff59f4762f87494f838"/>
                          <w:lock w:val="sdtLocked"/>
                          <w:richText/>
                        </w:sdtPr>
                        <w:sdtContent>
                          <w:r>
                            <w:rPr>
                              <w:color w:val="000000"/>
                              <w:szCs w:val="24"/>
                              <w:shd w:val="clear" w:color="auto" w:fill="FFFFFF"/>
                            </w:rPr>
                            <w:t>1.4.1</w:t>
                          </w:r>
                        </w:sdtContent>
                      </w:sdt>
                      <w:r>
                        <w:rPr>
                          <w:color w:val="000000"/>
                          <w:szCs w:val="24"/>
                          <w:shd w:val="clear" w:color="auto" w:fill="FFFFFF"/>
                        </w:rPr>
                        <w:t>. asmens higienos laikymosi būtinybę (rankų higieną, kosėjimo, čiaudėjimo etiketą ir kt.);</w:t>
                      </w:r>
                    </w:p>
                  </w:sdtContent>
                </w:sdt>
                <w:sdt>
                  <w:sdtPr>
                    <w:alias w:val="1.4.2 pp."/>
                    <w:tag w:val="part_8c6cdabdcd484de181ea733a66ab3f37"/>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8c6cdabdcd484de181ea733a66ab3f37"/>
                          <w:lock w:val="sdtLocked"/>
                          <w:richText/>
                        </w:sdtPr>
                        <w:sdtContent>
                          <w:r>
                            <w:rPr>
                              <w:color w:val="000000"/>
                              <w:szCs w:val="24"/>
                              <w:shd w:val="clear" w:color="auto" w:fill="FFFFFF"/>
                            </w:rPr>
                            <w:t>1.4.2</w:t>
                          </w:r>
                        </w:sdtContent>
                      </w:sdt>
                      <w:r>
                        <w:rPr>
                          <w:color w:val="000000"/>
                          <w:szCs w:val="24"/>
                          <w:shd w:val="clear" w:color="auto" w:fill="FFFFFF"/>
                        </w:rPr>
                        <w:t>. apie reikalavimus dėl kaukių dėvėjimo;</w:t>
                      </w:r>
                    </w:p>
                  </w:sdtContent>
                </w:sdt>
                <w:sdt>
                  <w:sdtPr>
                    <w:alias w:val="1.4.3 pp."/>
                    <w:tag w:val="part_f76b803fc0194b83a539fd289e69438c"/>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76b803fc0194b83a539fd289e69438c"/>
                          <w:lock w:val="sdtLocked"/>
                          <w:richText/>
                        </w:sdtPr>
                        <w:sdtContent>
                          <w:r>
                            <w:rPr>
                              <w:color w:val="000000"/>
                              <w:szCs w:val="24"/>
                              <w:shd w:val="clear" w:color="auto" w:fill="FFFFFF"/>
                            </w:rPr>
                            <w:t>1.4.3</w:t>
                          </w:r>
                        </w:sdtContent>
                      </w:sdt>
                      <w:r>
                        <w:rPr>
                          <w:color w:val="000000"/>
                          <w:szCs w:val="24"/>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5 pp."/>
                <w:tag w:val="part_624ba7f7808d4e17ab36e22adbd01ff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624ba7f7808d4e17ab36e22adbd01ff9"/>
                      <w:lock w:val="sdtLocked"/>
                      <w:richText/>
                    </w:sdtPr>
                    <w:sdtContent>
                      <w:r>
                        <w:rPr>
                          <w:color w:val="000000"/>
                          <w:szCs w:val="24"/>
                          <w:shd w:val="clear" w:color="auto" w:fill="FFFFFF"/>
                        </w:rPr>
                        <w:t>1.5</w:t>
                      </w:r>
                    </w:sdtContent>
                  </w:sdt>
                  <w:r>
                    <w:rPr>
                      <w:color w:val="000000"/>
                      <w:szCs w:val="24"/>
                      <w:shd w:val="clear" w:color="auto" w:fill="FFFFFF"/>
                    </w:rPr>
                    <w:t>. Darbuotojų, aukštojo mokslo studijų, profesinio mokymo ir neformaliojo suaugusiųjų švietimo veiklose dalyvaujančių asmenų sveikatos būklė turi būti stebima:</w:t>
                  </w:r>
                </w:p>
                <w:sdt>
                  <w:sdtPr>
                    <w:alias w:val="1.5.1 pp."/>
                    <w:tag w:val="part_0de3346cf6b14bf4ab6a6b4c63018c7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de3346cf6b14bf4ab6a6b4c63018c79"/>
                          <w:lock w:val="sdtLocked"/>
                          <w:richText/>
                        </w:sdtPr>
                        <w:sdtContent>
                          <w:r>
                            <w:rPr>
                              <w:color w:val="000000"/>
                              <w:szCs w:val="24"/>
                              <w:shd w:val="clear" w:color="auto" w:fill="FFFFFF"/>
                            </w:rPr>
                            <w:t>1.5.1</w:t>
                          </w:r>
                        </w:sdtContent>
                      </w:sdt>
                      <w:r>
                        <w:rPr>
                          <w:color w:val="000000"/>
                          <w:szCs w:val="24"/>
                          <w:shd w:val="clear" w:color="auto" w:fill="FFFFFF"/>
                        </w:rPr>
                        <w:t>. turi būti sudarytos sąlygos darbuotojams, aukštojo mokslo studijų, profesinio mokymo ir neformaliojo suaugusiųjų švietimo veiklose dalyvaujantiems asmenims matuoti(s) kūno temperatūrą;</w:t>
                      </w:r>
                    </w:p>
                  </w:sdtContent>
                </w:sdt>
                <w:sdt>
                  <w:sdtPr>
                    <w:alias w:val="1.5.2 pp."/>
                    <w:tag w:val="part_118cba80b298403e910423d014a0525a"/>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118cba80b298403e910423d014a0525a"/>
                          <w:lock w:val="sdtLocked"/>
                          <w:richText/>
                        </w:sdtPr>
                        <w:sdtContent>
                          <w:r>
                            <w:rPr>
                              <w:color w:val="000000"/>
                              <w:szCs w:val="24"/>
                              <w:shd w:val="clear" w:color="auto" w:fill="FFFFFF"/>
                            </w:rPr>
                            <w:t>1.5.2</w:t>
                          </w:r>
                        </w:sdtContent>
                      </w:sdt>
                      <w:r>
                        <w:rPr>
                          <w:color w:val="000000"/>
                          <w:szCs w:val="24"/>
                          <w:shd w:val="clear" w:color="auto" w:fill="FFFFFF"/>
                        </w:rPr>
                        <w:t>. asmuo, kuriam pasireiškia ūmių viršutinių kvėpavimo takų infekcijų požymiai (pvz., karščiavimas (37,3 °C ir daugiau), kosulys, pasunkėjęs kvėpavimas ir pan.) aukštojo mokslo studijų, profesinio mokymo ir neformaliojo suaugusiųjų švietimo vykdymo vietoje, turi nedelsiant apleisti patalpas ir kreiptis konsultacijai į savo šeimos gydytoją;</w:t>
                      </w:r>
                    </w:p>
                  </w:sdtContent>
                </w:sdt>
                <w:sdt>
                  <w:sdtPr>
                    <w:alias w:val="1.5.3 pp."/>
                    <w:tag w:val="part_b22ca7776b3f4d52b342664b97a555e8"/>
                    <w:lock w:val="sdtLocked"/>
                    <w:richText/>
                  </w:sdtPr>
                  <w:sdtContent>
                    <w:p>
                      <w:pPr>
                        <w:tabs>
                          <w:tab w:val="left" w:pos="993"/>
                        </w:tabs>
                        <w:spacing w:line="281" w:lineRule="auto"/>
                        <w:ind w:firstLine="720"/>
                        <w:jc w:val="both"/>
                        <w:rPr>
                          <w:szCs w:val="24"/>
                          <w:lang w:eastAsia="lt-LT"/>
                        </w:rPr>
                      </w:pPr>
                      <w:sdt>
                        <w:sdtPr>
                          <w:alias w:val="Numeris"/>
                          <w:tag w:val="nr_b22ca7776b3f4d52b342664b97a555e8"/>
                          <w:lock w:val="sdtLocked"/>
                          <w:richText/>
                        </w:sdtPr>
                        <w:sdtContent>
                          <w:r>
                            <w:rPr>
                              <w:color w:val="000000"/>
                              <w:szCs w:val="24"/>
                              <w:shd w:val="clear" w:color="auto" w:fill="FFFFFF"/>
                            </w:rPr>
                            <w:t>1.5.3</w:t>
                          </w:r>
                        </w:sdtContent>
                      </w:sdt>
                      <w:r>
                        <w:rPr>
                          <w:color w:val="000000"/>
                          <w:szCs w:val="24"/>
                          <w:shd w:val="clear" w:color="auto" w:fill="FFFFFF"/>
                        </w:rPr>
                        <w:t xml:space="preserve">. </w:t>
                      </w:r>
                      <w:r>
                        <w:rPr>
                          <w:color w:val="000000"/>
                          <w:szCs w:val="24"/>
                          <w:shd w:val="clear" w:color="auto" w:fill="FFFFFF"/>
                          <w:lang w:eastAsia="lt-LT"/>
                        </w:rPr>
                        <w:t xml:space="preserve">jeigu </w:t>
                      </w:r>
                      <w:r>
                        <w:rPr>
                          <w:color w:val="000000"/>
                          <w:szCs w:val="24"/>
                          <w:shd w:val="clear" w:color="auto" w:fill="FFFFFF"/>
                        </w:rPr>
                        <w:t xml:space="preserve">aukštoji mokykla, profesinio mokymo ir neformaliojo suaugusiųjų švietimo teikėjas iš </w:t>
                      </w:r>
                      <w:r>
                        <w:rPr>
                          <w:color w:val="000000"/>
                          <w:szCs w:val="24"/>
                          <w:shd w:val="clear" w:color="auto" w:fill="FFFFFF"/>
                          <w:lang w:eastAsia="lt-LT"/>
                        </w:rPr>
                        <w:t xml:space="preserve">darbuotojo ar </w:t>
                      </w:r>
                      <w:r>
                        <w:rPr>
                          <w:color w:val="000000"/>
                          <w:szCs w:val="24"/>
                          <w:shd w:val="clear" w:color="auto" w:fill="FFFFFF"/>
                        </w:rPr>
                        <w:t xml:space="preserve">aukštojo mokslo studijų, profesinio mokymo ir neformaliojo suaugusiųjų švietimo veiklose dalyvaujančio asmens </w:t>
                      </w:r>
                      <w:r>
                        <w:rPr>
                          <w:color w:val="000000"/>
                          <w:szCs w:val="24"/>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5.4 pp."/>
                    <w:tag w:val="part_b15c2184b0c14ce3a59fafdd1179d2b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b15c2184b0c14ce3a59fafdd1179d2bb"/>
                          <w:lock w:val="sdtLocked"/>
                          <w:richText/>
                        </w:sdtPr>
                        <w:sdtContent>
                          <w:r>
                            <w:rPr>
                              <w:color w:val="000000"/>
                              <w:szCs w:val="24"/>
                              <w:shd w:val="clear" w:color="auto" w:fill="FFFFFF"/>
                            </w:rPr>
                            <w:t>1.5.4</w:t>
                          </w:r>
                        </w:sdtContent>
                      </w:sdt>
                      <w:r>
                        <w:rPr>
                          <w:color w:val="000000"/>
                          <w:szCs w:val="24"/>
                          <w:shd w:val="clear" w:color="auto" w:fill="FFFFFF"/>
                        </w:rPr>
                        <w:t>. į aukštojo mokslo studijų, profesinio mokymo ir neformaliojo suaugusiųjų švietimo vykdymo vietą draudžiama atvykti asmenims, kuriems privaloma izoliacija, izoliacijos laikotarpiu.</w:t>
                      </w:r>
                    </w:p>
                  </w:sdtContent>
                </w:sdt>
              </w:sdtContent>
            </w:sdt>
            <w:sdt>
              <w:sdtPr>
                <w:alias w:val="1.6 pp."/>
                <w:tag w:val="part_7142639a02e64037aa9a402e8782d103"/>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142639a02e64037aa9a402e8782d103"/>
                      <w:lock w:val="sdtLocked"/>
                      <w:richText/>
                    </w:sdtPr>
                    <w:sdtContent>
                      <w:r>
                        <w:rPr>
                          <w:color w:val="000000"/>
                          <w:szCs w:val="24"/>
                          <w:shd w:val="clear" w:color="auto" w:fill="FFFFFF"/>
                        </w:rPr>
                        <w:t>1.6</w:t>
                      </w:r>
                    </w:sdtContent>
                  </w:sdt>
                  <w:r>
                    <w:rPr>
                      <w:color w:val="000000"/>
                      <w:szCs w:val="24"/>
                      <w:shd w:val="clear" w:color="auto" w:fill="FFFFFF"/>
                    </w:rPr>
                    <w:t>. Aukštojo mokslo studijų, profesinio mokymo ir neformaliojo suaugusių švietimo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aukštojo mokslo studijų, profesinio mokymo ir neformaliojo suaugusiųjų švietimo veiklų vykdymo vietą, tualetuose pakabintos rankų dezinfekcijai skirtos priemonės). Siūloma taip pat paviešinti rekomendacijas dėl tinkamos rankų higienos (</w:t>
                  </w:r>
                  <w:r>
                    <w:rPr>
                      <w:spacing w:val="4"/>
                      <w:szCs w:val="24"/>
                      <w:shd w:val="clear" w:color="auto" w:fill="FFFFFF"/>
                    </w:rPr>
                    <w:t>http://sam.lrv.lt/uploads/sam/documents/files/rekomendacijos%20del%20ranku%20higienos(1).pdf</w:t>
                  </w:r>
                  <w:r>
                    <w:rPr>
                      <w:color w:val="000000"/>
                      <w:szCs w:val="24"/>
                      <w:shd w:val="clear" w:color="auto" w:fill="FFFFFF"/>
                    </w:rPr>
                    <w:t>).</w:t>
                  </w:r>
                </w:p>
              </w:sdtContent>
            </w:sdt>
            <w:sdt>
              <w:sdtPr>
                <w:alias w:val="1.7 pp."/>
                <w:tag w:val="part_0f0db95ae3584387bfb377437760997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f0db95ae3584387bfb3774377609974"/>
                      <w:lock w:val="sdtLocked"/>
                      <w:richText/>
                    </w:sdtPr>
                    <w:sdtContent>
                      <w:r>
                        <w:rPr>
                          <w:color w:val="000000"/>
                          <w:szCs w:val="24"/>
                          <w:shd w:val="clear" w:color="auto" w:fill="FFFFFF"/>
                        </w:rPr>
                        <w:t>1.7</w:t>
                      </w:r>
                    </w:sdtContent>
                  </w:sdt>
                  <w:r>
                    <w:rPr>
                      <w:color w:val="000000"/>
                      <w:szCs w:val="24"/>
                      <w:shd w:val="clear" w:color="auto" w:fill="FFFFFF"/>
                    </w:rPr>
                    <w:t xml:space="preserve">. Patalpos, kuriose vykdomos aukštojo mokslo studijų, profesinio mokymo ir neformaliojo suaugusiųjų švietimo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aukštojo mokslo studijų, profesinio mokymo ir neformaliojo suaugusiųjų švietimo vykdymo vietose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8 pp."/>
                <w:tag w:val="part_fe1f5f9ca94e49d39318dbf316df4af7"/>
                <w:lock w:val="sdtLocked"/>
                <w:richText/>
              </w:sdtPr>
              <w:sdtContent>
                <w:p>
                  <w:pPr>
                    <w:tabs>
                      <w:tab w:val="left" w:pos="993"/>
                    </w:tabs>
                    <w:spacing w:line="281" w:lineRule="auto"/>
                    <w:ind w:firstLine="720"/>
                    <w:jc w:val="both"/>
                  </w:pPr>
                  <w:sdt>
                    <w:sdtPr>
                      <w:alias w:val="Numeris"/>
                      <w:tag w:val="nr_fe1f5f9ca94e49d39318dbf316df4af7"/>
                      <w:lock w:val="sdtLocked"/>
                      <w:richText/>
                    </w:sdtPr>
                    <w:sdtContent>
                      <w:r>
                        <w:rPr>
                          <w:color w:val="000000"/>
                          <w:szCs w:val="24"/>
                          <w:shd w:val="clear" w:color="auto" w:fill="FFFFFF"/>
                        </w:rPr>
                        <w:t>1.8</w:t>
                      </w:r>
                    </w:sdtContent>
                  </w:sdt>
                  <w:r>
                    <w:rPr>
                      <w:color w:val="000000"/>
                      <w:szCs w:val="24"/>
                      <w:shd w:val="clear" w:color="auto" w:fill="FFFFFF"/>
                    </w:rPr>
                    <w:t xml:space="preserve">. </w:t>
                  </w:r>
                  <w:r>
                    <w:rPr>
                      <w:color w:val="000000"/>
                      <w:shd w:val="clear" w:color="auto" w:fill="FFFFFF"/>
                    </w:rPr>
                    <w:t xml:space="preserve">Jei organizuojamas asmenų, dalyvaujančių aukštojo mokslo studijų, profesinio mokymo ir neformaliojo suaugusiųjų švietimo vykdymo veiklose, maitinimas, jį organizuojant turi būti laikomasi </w:t>
                  </w:r>
                  <w:r>
                    <w:t>Lietuvos Respublikos sveikatos apsaugos ministro – valstybės lygio ekstremaliosios situacijos valstybės operacijų vadovo 2020 m. birželio 16 d. sprendimu Nr. V-1468 „Dėl viešojo maitinimo įstaigoms būtinų sąlygų</w:t>
                  </w:r>
                  <w:r>
                    <w:rPr>
                      <w:color w:val="000000"/>
                      <w:shd w:val="clear" w:color="auto" w:fill="FFFFFF"/>
                    </w:rPr>
                    <w:t>“ nustatytų būtinų sąlygų;</w:t>
                  </w:r>
                </w:p>
              </w:sdtContent>
            </w:sdt>
            <w:sdt>
              <w:sdtPr>
                <w:alias w:val="1.9 pp."/>
                <w:tag w:val="part_cb067cfdac78421183e5d5777b3657a8"/>
                <w:lock w:val="sdtLocked"/>
                <w:richText/>
              </w:sdtPr>
              <w:sdtContent>
                <w:p>
                  <w:pPr>
                    <w:ind w:firstLine="851"/>
                    <w:jc w:val="both"/>
                    <w:rPr>
                      <w:color w:val="000000"/>
                      <w:szCs w:val="24"/>
                      <w:shd w:val="clear" w:color="auto" w:fill="FFFFFF"/>
                    </w:rPr>
                  </w:pPr>
                  <w:sdt>
                    <w:sdtPr>
                      <w:alias w:val="Numeris"/>
                      <w:tag w:val="nr_cb067cfdac78421183e5d5777b3657a8"/>
                      <w:lock w:val="sdtLocked"/>
                      <w:richText/>
                    </w:sdtPr>
                    <w:sdtContent>
                      <w:r>
                        <w:rPr>
                          <w:color w:val="000000"/>
                          <w:szCs w:val="24"/>
                          <w:shd w:val="clear" w:color="auto" w:fill="FFFFFF"/>
                          <w:lang w:eastAsia="lt-LT"/>
                        </w:rPr>
                        <w:t>1.9</w:t>
                      </w:r>
                    </w:sdtContent>
                  </w:sdt>
                  <w:r>
                    <w:rPr>
                      <w:color w:val="000000"/>
                      <w:szCs w:val="24"/>
                      <w:shd w:val="clear" w:color="auto" w:fill="FFFFFF"/>
                      <w:lang w:eastAsia="lt-LT"/>
                    </w:rPr>
                    <w:t xml:space="preserve">. </w:t>
                  </w:r>
                  <w:r>
                    <w:rPr>
                      <w:szCs w:val="24"/>
                      <w:lang w:eastAsia="lt-LT"/>
                    </w:rPr>
                    <w:t>Jei a</w:t>
                  </w:r>
                  <w:r>
                    <w:rPr>
                      <w:color w:val="000000"/>
                      <w:szCs w:val="24"/>
                      <w:shd w:val="clear" w:color="auto" w:fill="FFFFFF"/>
                      <w:lang w:eastAsia="lt-LT"/>
                    </w:rPr>
                    <w:t>ukštojo mokslo studijų, profesinio mokymo ar neformaliojo suaugusių švietimo vykdymo vietoje</w:t>
                  </w:r>
                  <w:r>
                    <w:rPr>
                      <w:szCs w:val="24"/>
                      <w:lang w:eastAsia="lt-LT"/>
                    </w:rPr>
                    <w:t xml:space="preserve"> veikia rinkimų apylinkė, turi būti užtikrinamas komisijos narių ir (ar) stebėtojų įleidimas į patalpas ir sudarytos sąlygos valstybės funkcijų vykdymui. Po patalpų panaudojimo rinkimų organizavimui turi būti užtikrinama, kad </w:t>
                  </w:r>
                  <w:r>
                    <w:rPr>
                      <w:color w:val="000000"/>
                      <w:szCs w:val="24"/>
                      <w:shd w:val="clear" w:color="auto" w:fill="FFFFFF"/>
                      <w:lang w:eastAsia="lt-LT"/>
                    </w:rPr>
                    <w:t xml:space="preserve">prieš prasidedant </w:t>
                  </w:r>
                  <w:r>
                    <w:rPr>
                      <w:szCs w:val="24"/>
                      <w:lang w:eastAsia="lt-LT"/>
                    </w:rPr>
                    <w:t>a</w:t>
                  </w:r>
                  <w:r>
                    <w:rPr>
                      <w:color w:val="000000"/>
                      <w:szCs w:val="24"/>
                      <w:shd w:val="clear" w:color="auto" w:fill="FFFFFF"/>
                      <w:lang w:eastAsia="lt-LT"/>
                    </w:rPr>
                    <w:t>ukštojo mokslo studijų, profesinio mokymo ar neformaliojo suaugusių švietimo veikloms patalpos būtų išvėdintos, išvalytos ir dezinfekuotos, laikantis šio sprendimo 1.7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24c83007bd11ebb74de75171d26d52">
                    <w:r w:rsidRPr="00532B9F">
                      <w:rPr>
                        <w:rFonts w:ascii="Times New Roman" w:eastAsia="MS Mincho" w:hAnsi="Times New Roman"/>
                        <w:sz w:val="20"/>
                        <w:i/>
                        <w:iCs/>
                        <w:color w:val="0000FF" w:themeColor="hyperlink"/>
                        <w:u w:val="single"/>
                      </w:rPr>
                      <w:t>V-2194</w:t>
                    </w:r>
                  </w:fldSimple>
                  <w:r>
                    <w:rPr>
                      <w:rFonts w:ascii="Times New Roman" w:eastAsia="MS Mincho" w:hAnsi="Times New Roman"/>
                      <w:sz w:val="20"/>
                      <w:i/>
                      <w:iCs/>
                    </w:rPr>
                    <w:t>,
2020-10-06,
paskelbta TAR 2020-10-06, i. k. 2020-20838            </w:t>
                  </w:r>
                </w:p>
                <w:p/>
              </w:sdtContent>
            </w:sdt>
          </w:sdtContent>
        </w:sdt>
        <w:sdt>
          <w:sdtPr>
            <w:alias w:val="2 p."/>
            <w:tag w:val="part_51cf48519964460e8cb0812197b5a715"/>
            <w:lock w:val="sdtLocked"/>
            <w:richText/>
          </w:sdtPr>
          <w:sdtContent>
            <w:p>
              <w:pPr>
                <w:tabs>
                  <w:tab w:val="left" w:pos="993"/>
                </w:tabs>
                <w:ind w:firstLine="720"/>
                <w:jc w:val="both"/>
              </w:pPr>
              <w:sdt>
                <w:sdtPr>
                  <w:alias w:val="Numeris"/>
                  <w:tag w:val="nr_51cf48519964460e8cb0812197b5a715"/>
                  <w:lock w:val="sdtLocked"/>
                  <w:richText/>
                </w:sdtPr>
                <w:sdtContent>
                  <w:r>
                    <w:rPr>
                      <w:color w:val="000000"/>
                      <w:szCs w:val="24"/>
                      <w:shd w:val="clear" w:color="auto" w:fill="FFFFFF"/>
                    </w:rPr>
                    <w:t>2</w:t>
                  </w:r>
                </w:sdtContent>
              </w:sdt>
              <w:r>
                <w:rPr>
                  <w:color w:val="000000"/>
                  <w:szCs w:val="24"/>
                  <w:shd w:val="clear" w:color="auto" w:fill="FFFFFF"/>
                </w:rPr>
                <w:t>. Įpareigoti darbuotojus, tarp jų ir pedagogus, bendrose uždarose erdvėse (pvz., koridoriuose, valgyklose, bibliotekose ir pan.)</w:t>
              </w:r>
              <w:r>
                <w:rPr>
                  <w:color w:val="000000"/>
                  <w:shd w:val="clear" w:color="auto" w:fill="FFFFFF"/>
                </w:rPr>
                <w:t xml:space="preserve">, pedagogus auditorijose, klasėse ir kitose mokymo patalpose, taip pat </w:t>
              </w:r>
              <w:r>
                <w:rPr>
                  <w:color w:val="000000"/>
                  <w:szCs w:val="24"/>
                  <w:shd w:val="clear" w:color="auto" w:fill="FFFFFF"/>
                </w:rPr>
                <w:t xml:space="preserve">asmenis, dalyvaujančius aukštojo mokslo studijų, profesinio mokymo ir neformaliojo suaugusiųjų švietimo veiklose, </w:t>
              </w:r>
              <w:r>
                <w:rPr>
                  <w:color w:val="000000"/>
                  <w:shd w:val="clear" w:color="auto" w:fill="FFFFFF"/>
                </w:rPr>
                <w:t>auditorijose, klasėse ir kitose mokymo patalpose</w:t>
              </w:r>
              <w:r>
                <w:rPr>
                  <w:color w:val="000000"/>
                  <w:szCs w:val="24"/>
                  <w:shd w:val="clear" w:color="auto" w:fill="FFFFFF"/>
                </w:rPr>
                <w:t xml:space="preserve">, jei tarp dalyvių neišlaikomas 2 metrų atstumas, </w:t>
              </w:r>
              <w:r>
                <w:rPr>
                  <w:color w:val="000000"/>
                  <w:shd w:val="clear" w:color="auto" w:fill="FFFFFF"/>
                </w:rPr>
                <w:t>renginiuose uždarose erdvėse dalyvaujančius pilnamečius asmenis, jei tarp jų neišlaikomas 2 metrų atstumas, dėvėti kaukes, išskyrus šio sprendimo 1.1 papunktyje numatytus atvejus.</w:t>
              </w:r>
              <w:r>
                <w:t xml:space="preserve"> </w:t>
              </w:r>
            </w:p>
          </w:sdtContent>
        </w:sdt>
        <w:sdt>
          <w:sdtPr>
            <w:alias w:val="3 p."/>
            <w:tag w:val="part_430bdb3c13984205a43c16a19d866195"/>
            <w:lock w:val="sdtLocked"/>
            <w:richText/>
          </w:sdtPr>
          <w:sdtContent>
            <w:p>
              <w:pPr>
                <w:ind w:firstLine="851"/>
                <w:jc w:val="both"/>
              </w:pPr>
              <w:sdt>
                <w:sdtPr>
                  <w:alias w:val="Numeris"/>
                  <w:tag w:val="nr_430bdb3c13984205a43c16a19d866195"/>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 xml:space="preserve">savivaldybės administracijos NVSC teikimu / pritarimu priimtas sprendimas dėl laikino visos ar dalies švietimo įstaigos veiklos apribojimo / stabdymo ar ugdymo proceso joje organizavimo nuotoliniu mokymo proceso organizavimo būdu, vertinamas kaip infekcijų plitimą ribojantis režimas konkrečioje švietimo įstaigoje ar visose švietimo įstaigose, esančiose sprendimą priėmusios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p/>
          </w:sdtContent>
        </w:sdt>
        <w:sdt>
          <w:sdtPr>
            <w:alias w:val="signatura"/>
            <w:tag w:val="part_778b2df4db8146c09b0f6d97d0d18cd5"/>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8e8df50e2ef11ea9342c1d4e2ff6ff6">
            <w:r w:rsidRPr="00532B9F">
              <w:rPr>
                <w:rFonts w:ascii="Times New Roman" w:eastAsia="MS Mincho" w:hAnsi="Times New Roman"/>
                <w:sz w:val="20"/>
                <w:iCs/>
                <w:color w:val="0000FF" w:themeColor="hyperlink"/>
                <w:u w:val="single"/>
              </w:rPr>
              <w:t>V-1886</w:t>
            </w:r>
          </w:fldSimple>
          <w:r>
            <w:rPr>
              <w:rFonts w:ascii="Times New Roman" w:eastAsia="MS Mincho" w:hAnsi="Times New Roman"/>
              <w:sz w:val="20"/>
              <w:iCs/>
            </w:rPr>
            <w:t>,
2020-08-20,
paskelbta TAR 2020-08-20, i. k. 2020-17609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2717590fce211ea88f28eae672e5b40">
            <w:r w:rsidRPr="00532B9F">
              <w:rPr>
                <w:rFonts w:ascii="Times New Roman" w:eastAsia="MS Mincho" w:hAnsi="Times New Roman"/>
                <w:sz w:val="20"/>
                <w:iCs/>
                <w:color w:val="0000FF" w:themeColor="hyperlink"/>
                <w:u w:val="single"/>
              </w:rPr>
              <w:t>V-2089</w:t>
            </w:r>
          </w:fldSimple>
          <w:r>
            <w:rPr>
              <w:rFonts w:ascii="Times New Roman" w:eastAsia="MS Mincho" w:hAnsi="Times New Roman"/>
              <w:sz w:val="20"/>
              <w:iCs/>
            </w:rPr>
            <w:t>,
2020-09-22,
paskelbta TAR 2020-09-22, i. k. 2020-19631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8cf2900ff4011ea88f28eae672e5b40">
            <w:r w:rsidRPr="00532B9F">
              <w:rPr>
                <w:rFonts w:ascii="Times New Roman" w:eastAsia="MS Mincho" w:hAnsi="Times New Roman"/>
                <w:sz w:val="20"/>
                <w:iCs/>
                <w:color w:val="0000FF" w:themeColor="hyperlink"/>
                <w:u w:val="single"/>
              </w:rPr>
              <w:t>V-2119</w:t>
            </w:r>
          </w:fldSimple>
          <w:r>
            <w:rPr>
              <w:rFonts w:ascii="Times New Roman" w:eastAsia="MS Mincho" w:hAnsi="Times New Roman"/>
              <w:sz w:val="20"/>
              <w:iCs/>
            </w:rPr>
            <w:t>,
2020-09-25,
paskelbta TAR 2020-09-25, i. k. 2020-20003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a24c83007bd11ebb74de75171d26d52">
            <w:r w:rsidRPr="00532B9F">
              <w:rPr>
                <w:rFonts w:ascii="Times New Roman" w:eastAsia="MS Mincho" w:hAnsi="Times New Roman"/>
                <w:sz w:val="20"/>
                <w:iCs/>
                <w:color w:val="0000FF" w:themeColor="hyperlink"/>
                <w:u w:val="single"/>
              </w:rPr>
              <w:t>V-2194</w:t>
            </w:r>
          </w:fldSimple>
          <w:r>
            <w:rPr>
              <w:rFonts w:ascii="Times New Roman" w:eastAsia="MS Mincho" w:hAnsi="Times New Roman"/>
              <w:sz w:val="20"/>
              <w:iCs/>
            </w:rPr>
            <w:t>,
2020-10-06,
paskelbta TAR 2020-10-06, i. k. 2020-20838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w:instrText>
    </w:r>
    <w:r>
      <w:instrText xml:space="preserv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88"/>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6be70bbf3df4484a3dc4e6291144880" PartId="7be3a36ef6f04d01aeb621bf24b9b981">
    <Part Type="preambule" DocPartId="8e54ab2a74294a2c85ab1b220ec61f3f" PartId="a1d1121a828647ba977523cbc6c2910d"/>
    <Part Type="punktas" Nr="1" Abbr="1 p." DocPartId="ac9e4a48600b42fc8126f50442d96aa0" PartId="ef482601a9f7411dac928a3fda9dbaf8">
      <Part Type="papunktis" Nr="1.1" Abbr="1.1 pp." DocPartId="4fb49fc5b645445cafd5b0ed947dc513" PartId="321f041e024c4d18852c2362837d0342"/>
      <Part Type="papunktis" Nr="1.2" Abbr="1.2 pp." DocPartId="719e7892e96f432db47df650ad8853bd" PartId="d520c895a8384099b450030d4aab9d44"/>
      <Part Type="papunktis" Nr="1.3" Abbr="1.3 pp." DocPartId="20b8150b60914e22ab87a759e25f3856" PartId="f2f27d809425427dac8c68cacf1f4fe5"/>
      <Part Type="papunktis" Nr="1.4" Abbr="1.4 pp." DocPartId="9720776ccf414d4db3b338c85290918d" PartId="404e0c0a8e034acf93a8daeb5b237ecb">
        <Part Type="papunktis" Nr="1.4.1" Abbr="1.4.1 pp." DocPartId="e56dd58cc42f44f8a053c4416b8fee23" PartId="7e04f08977884ff59f4762f87494f838"/>
        <Part Type="papunktis" Nr="1.4.2" Abbr="1.4.2 pp." DocPartId="4cecedb8134e40f6a7e2fa3312b948c1" PartId="8c6cdabdcd484de181ea733a66ab3f37"/>
        <Part Type="papunktis" Nr="1.4.3" Abbr="1.4.3 pp." DocPartId="9d95cfa0c6a347bf8d0a16e5e5b2d223" PartId="f76b803fc0194b83a539fd289e69438c"/>
      </Part>
      <Part Type="papunktis" Nr="1.5" Abbr="1.5 pp." DocPartId="d542fc92ca8e44ac805fdcdd69d76fc1" PartId="624ba7f7808d4e17ab36e22adbd01ff9">
        <Part Type="papunktis" Nr="1.5.1" Abbr="1.5.1 pp." DocPartId="44226a8165714b42b47c8b5b62d9e9cc" PartId="0de3346cf6b14bf4ab6a6b4c63018c79"/>
        <Part Type="papunktis" Nr="1.5.2" Abbr="1.5.2 pp." DocPartId="ec62fe0331f14f04bd4b583327a6b223" PartId="118cba80b298403e910423d014a0525a"/>
        <Part Type="papunktis" Nr="1.5.3" Abbr="1.5.3 pp." DocPartId="78a60b208c4f42448fc55db387fc102e" PartId="b22ca7776b3f4d52b342664b97a555e8"/>
        <Part Type="papunktis" Nr="1.5.4" Abbr="1.5.4 pp." DocPartId="a9c775ef2e6b416d9011ad4e23f48f1e" PartId="b15c2184b0c14ce3a59fafdd1179d2bb"/>
      </Part>
      <Part Type="papunktis" Nr="1.6" Abbr="1.6 pp." DocPartId="3cd26e901505484e8f6758fd08aa4121" PartId="7142639a02e64037aa9a402e8782d103"/>
      <Part Type="papunktis" Nr="1.7" Abbr="1.7 pp." DocPartId="6da7eaeac88e4d6eb67b74b7bb7519bf" PartId="0f0db95ae3584387bfb3774377609974"/>
      <Part Type="papunktis" Nr="1.8" Abbr="1.8 pp." DocPartId="ce7e6a5afbec4c96bf7898f3dad697a3" PartId="fe1f5f9ca94e49d39318dbf316df4af7"/>
      <Part Type="papunktis" Nr="1.9" Abbr="1.9 pp." DocPartId="29d6eb23b92942b2bbe411c96e005455" PartId="cb067cfdac78421183e5d5777b3657a8"/>
    </Part>
    <Part Type="punktas" Nr="2" Abbr="2 p." DocPartId="d526f30f0b3646ebbeef2799f968649c" PartId="51cf48519964460e8cb0812197b5a715"/>
    <Part Type="punktas" Nr="3" Abbr="3 p." DocPartId="b9ce20cd00cc4fe59afc4961c1860c63" PartId="430bdb3c13984205a43c16a19d866195"/>
    <Part Type="signatura" DocPartId="840cdf6725b046d0b74584fde511e1f6" PartId="778b2df4db8146c09b0f6d97d0d18cd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FCC7B76-B54B-4414-9E05-EE35EF0978B3}">
  <ds:schemaRefs>
    <ds:schemaRef ds:uri="http://lrs.lt/TAIS/DocParts"/>
  </ds:schemaRefs>
</ds:datastoreItem>
</file>

<file path=customXml/itemProps3.xml><?xml version="1.0" encoding="utf-8"?>
<ds:datastoreItem xmlns:ds="http://schemas.openxmlformats.org/officeDocument/2006/customXml" ds:itemID="{A33EA1F1-EEC5-46ED-B219-7B90219125A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3</Pages>
  <Words>5766</Words>
  <Characters>3288</Characters>
  <Application>Microsoft Office Word</Application>
  <DocSecurity>0</DocSecurity>
  <Lines>27</Lines>
  <Paragraphs>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9036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2020-05-08T11:48:00Z</lastPrinted>
  <dcterms:modified xsi:type="dcterms:W3CDTF">2020-10-07T11:21:00Z</dcterms:modified>
  <revision>9</revision>
  <dc:title>LIETUVOS RESPUBLIKOS SVEIKATOS APSAUGOS MINISTRO</dc:title>
</coreProperties>
</file>