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2bd8415341e4f1884b4681d6c86a09d"/>
        <w:lock w:val="sdtLocked"/>
        <w:richText/>
      </w:sdtPr>
      <w:sdtContent>
        <w:p>
          <w:pPr>
            <w:jc w:val="both"/>
            <w:rPr>
              <w:rFonts w:ascii="Times New Roman" w:hAnsi="Times New Roman"/>
            </w:rPr>
          </w:pPr>
          <w:r>
            <w:rPr>
              <w:rFonts w:ascii="Times New Roman" w:hAnsi="Times New Roman"/>
              <w:b/>
              <w:i/>
            </w:rPr>
            <w:t>Suvestinė redakcija nuo 2024-05-01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2023-12-28, i. k. 2023-25637</w:t>
          </w:r>
        </w:p>
        <w:p>
          <w:pPr>
            <w:jc w:val="both"/>
            <w:rPr>
              <w:rFonts w:ascii="Times New Roman" w:hAnsi="Times New Roman"/>
              <w:sz w:val="20"/>
            </w:rPr>
          </w:pPr>
        </w:p>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ARCHITEKTŪROS ĮSTATYMO NR. XIII-425 7, 10, 11, 13, 15, 17 IR 18 STRAIPSNIŲ PAKEITIMO</w:t>
          </w:r>
        </w:p>
        <w:p>
          <w:pPr>
            <w:jc w:val="center"/>
            <w:rPr>
              <w:caps/>
            </w:rPr>
          </w:pPr>
          <w:r>
            <w:rPr>
              <w:b/>
              <w:caps/>
            </w:rPr>
            <w:t>ĮSTATYMAS</w:t>
          </w:r>
        </w:p>
        <w:p>
          <w:pPr>
            <w:jc w:val="center"/>
            <w:rPr>
              <w:b/>
              <w:caps/>
            </w:rPr>
          </w:pPr>
        </w:p>
        <w:p>
          <w:pPr>
            <w:jc w:val="center"/>
            <w:rPr>
              <w:szCs w:val="24"/>
            </w:rPr>
          </w:pPr>
          <w:r>
            <w:rPr>
              <w:szCs w:val="24"/>
              <w:lang w:val="en-US"/>
            </w:rPr>
            <w:t>2023</w:t>
          </w:r>
          <w:r>
            <w:rPr>
              <w:szCs w:val="24"/>
            </w:rPr>
            <w:t xml:space="preserve"> m. </w:t>
          </w:r>
          <w:r>
            <w:rPr>
              <w:szCs w:val="24"/>
              <w:lang w:val="en-US"/>
            </w:rPr>
            <w:t>gruodžio</w:t>
          </w:r>
          <w:r>
            <w:rPr>
              <w:szCs w:val="24"/>
            </w:rPr>
            <w:t xml:space="preserve"> </w:t>
          </w:r>
          <w:r>
            <w:rPr>
              <w:szCs w:val="24"/>
              <w:lang w:val="en-US"/>
            </w:rPr>
            <w:t>19</w:t>
          </w:r>
          <w:r>
            <w:rPr>
              <w:szCs w:val="24"/>
            </w:rPr>
            <w:t xml:space="preserve"> d. Nr. </w:t>
          </w:r>
          <w:r>
            <w:rPr>
              <w:szCs w:val="24"/>
              <w:lang w:val="en-US"/>
            </w:rPr>
            <w:t>XIV-2416</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8c0fad0308d54de28b195fad90445479"/>
            <w:lock w:val="sdtLocked"/>
            <w:richText/>
          </w:sdtPr>
          <w:sdtContent>
            <w:p>
              <w:pPr>
                <w:widowControl w:val="0"/>
                <w:spacing w:line="360" w:lineRule="auto"/>
                <w:ind w:firstLine="720"/>
                <w:jc w:val="both"/>
                <w:rPr>
                  <w:b/>
                  <w:bCs/>
                  <w:szCs w:val="24"/>
                </w:rPr>
              </w:pPr>
              <w:sdt>
                <w:sdtPr>
                  <w:alias w:val="Numeris"/>
                  <w:tag w:val="nr_8c0fad0308d54de28b195fad90445479"/>
                  <w:lock w:val="sdtLocked"/>
                  <w:richText/>
                </w:sdtPr>
                <w:sdtContent>
                  <w:r>
                    <w:rPr>
                      <w:b/>
                      <w:bCs/>
                      <w:szCs w:val="24"/>
                    </w:rPr>
                    <w:t>1</w:t>
                  </w:r>
                </w:sdtContent>
              </w:sdt>
              <w:r>
                <w:rPr>
                  <w:b/>
                  <w:bCs/>
                  <w:szCs w:val="24"/>
                </w:rPr>
                <w:t xml:space="preserve"> straipsnis. </w:t>
              </w:r>
              <w:sdt>
                <w:sdtPr>
                  <w:alias w:val="Pavadinimas"/>
                  <w:tag w:val="title_8c0fad0308d54de28b195fad90445479"/>
                  <w:lock w:val="sdtLocked"/>
                  <w:richText/>
                </w:sdtPr>
                <w:sdtContent>
                  <w:r>
                    <w:rPr>
                      <w:b/>
                      <w:bCs/>
                      <w:szCs w:val="24"/>
                    </w:rPr>
                    <w:t>7 straipsnio pakeitimas</w:t>
                  </w:r>
                </w:sdtContent>
              </w:sdt>
            </w:p>
            <w:sdt>
              <w:sdtPr>
                <w:alias w:val="1 str. 1 d."/>
                <w:tag w:val="part_902a3cd371484d4e884b07ccfd53ff35"/>
                <w:lock w:val="sdtLocked"/>
                <w:richText/>
              </w:sdtPr>
              <w:sdtContent>
                <w:p>
                  <w:pPr>
                    <w:widowControl w:val="0"/>
                    <w:spacing w:line="360" w:lineRule="auto"/>
                    <w:ind w:firstLine="720"/>
                    <w:jc w:val="both"/>
                    <w:rPr>
                      <w:szCs w:val="24"/>
                    </w:rPr>
                  </w:pPr>
                  <w:r>
                    <w:rPr>
                      <w:szCs w:val="24"/>
                    </w:rPr>
                    <w:t>Pakeisti 7 straipsnio 2 dalį ir ją išdėstyti taip:</w:t>
                  </w:r>
                </w:p>
                <w:sdt>
                  <w:sdtPr>
                    <w:alias w:val="citata"/>
                    <w:tag w:val="part_7009e8365a144633b37d61756342e67e"/>
                    <w:lock w:val="sdtLocked"/>
                    <w:richText/>
                  </w:sdtPr>
                  <w:sdtContent>
                    <w:sdt>
                      <w:sdtPr>
                        <w:alias w:val="2 d."/>
                        <w:tag w:val="part_6e86c13b8cd0494b97676aa7041ecf32"/>
                        <w:lock w:val="sdtLocked"/>
                        <w:richText/>
                      </w:sdtPr>
                      <w:sdtContent>
                        <w:p>
                          <w:pPr>
                            <w:widowControl w:val="0"/>
                            <w:spacing w:line="360" w:lineRule="auto"/>
                            <w:ind w:firstLine="720"/>
                            <w:jc w:val="both"/>
                            <w:rPr>
                              <w:rFonts w:eastAsia="Lucida Sans Unicode"/>
                            </w:rPr>
                          </w:pPr>
                          <w:r>
                            <w:t>„</w:t>
                          </w:r>
                          <w:sdt>
                            <w:sdtPr>
                              <w:alias w:val="Numeris"/>
                              <w:tag w:val="nr_6e86c13b8cd0494b97676aa7041ecf32"/>
                              <w:lock w:val="sdtLocked"/>
                              <w:richText/>
                            </w:sdtPr>
                            <w:sdtContent>
                              <w:r>
                                <w:rPr>
                                  <w:rFonts w:eastAsia="Lucida Sans Unicode"/>
                                </w:rPr>
                                <w:t>2</w:t>
                              </w:r>
                            </w:sdtContent>
                          </w:sdt>
                          <w:r>
                            <w:rPr>
                              <w:rFonts w:eastAsia="Lucida Sans Unicode"/>
                            </w:rPr>
                            <w:t xml:space="preserve">. Europos Sąjungos </w:t>
                          </w:r>
                          <w:r>
                            <w:rPr>
                              <w:rFonts w:eastAsia="Lucida Sans Unicode"/>
                              <w:bCs/>
                            </w:rPr>
                            <w:t>valstybių narių</w:t>
                          </w:r>
                          <w:r>
                            <w:rPr>
                              <w:rFonts w:eastAsia="Lucida Sans Unicode"/>
                            </w:rPr>
                            <w:t xml:space="preserve">, Europos ekonominės erdvės </w:t>
                          </w:r>
                          <w:r>
                            <w:rPr>
                              <w:rFonts w:eastAsia="Lucida Sans Unicode"/>
                              <w:bCs/>
                            </w:rPr>
                            <w:t xml:space="preserve">valstybių, </w:t>
                          </w:r>
                          <w:r>
                            <w:rPr>
                              <w:rFonts w:eastAsia="Lucida Sans Unicode"/>
                            </w:rPr>
                            <w:t xml:space="preserve">Šveicarijos </w:t>
                          </w:r>
                          <w:r>
                            <w:rPr>
                              <w:bCs/>
                              <w:lang w:eastAsia="lt-LT"/>
                            </w:rPr>
                            <w:t>Konfederacijos piliečių, trečiųjų valstybių piliečių</w:t>
                          </w:r>
                          <w:r>
                            <w:rPr>
                              <w:lang w:eastAsia="lt-LT"/>
                            </w:rPr>
                            <w:t xml:space="preserve"> </w:t>
                          </w:r>
                          <w:r>
                            <w:rPr>
                              <w:rFonts w:eastAsia="Lucida Sans Unicode"/>
                            </w:rPr>
                            <w:t>architekto profesinė kvalifikacija</w:t>
                          </w:r>
                          <w:r>
                            <w:rPr>
                              <w:rFonts w:eastAsia="Lucida Sans Unicode"/>
                              <w:bCs/>
                            </w:rPr>
                            <w:t>,</w:t>
                          </w:r>
                          <w:r>
                            <w:rPr>
                              <w:rFonts w:eastAsia="Lucida Sans Unicode"/>
                            </w:rPr>
                            <w:t xml:space="preserve"> </w:t>
                          </w:r>
                          <w:r>
                            <w:rPr>
                              <w:bCs/>
                              <w:lang w:eastAsia="lt-LT"/>
                            </w:rPr>
                            <w:t>įgyta Europos Sąjungos valstybėse narėse, Europos ekonominės erdvės valstybėse, Šveicarijos Konfederacijoje ar trečiosiose valstybėse,</w:t>
                          </w:r>
                          <w:r>
                            <w:rPr>
                              <w:rFonts w:eastAsia="Lucida Sans Unicode"/>
                              <w:bCs/>
                            </w:rPr>
                            <w:t xml:space="preserve"> </w:t>
                          </w:r>
                          <w:r>
                            <w:rPr>
                              <w:rFonts w:eastAsia="Lucida Sans Unicode"/>
                            </w:rPr>
                            <w:t xml:space="preserve">pripažįstama vadovaujantis Reglamentuojamų profesinių kvalifikacijų pripažinimo įstatymu. </w:t>
                          </w:r>
                          <w:r>
                            <w:rPr>
                              <w:rFonts w:eastAsia="Lucida Sans Unicode"/>
                              <w:bCs/>
                            </w:rPr>
                            <w:t xml:space="preserve">Lietuvos Respublikos architektų rūmai priima sprendimus dėl </w:t>
                          </w:r>
                          <w:r>
                            <w:rPr>
                              <w:bCs/>
                            </w:rPr>
                            <w:t>šiose valstybėse įgytos architekto profesinės kvalifikacijos pripažinimo</w:t>
                          </w:r>
                          <w:r>
                            <w:rPr>
                              <w:rFonts w:eastAsia="Lucida Sans Unicode"/>
                            </w:rPr>
                            <w:t>.“</w:t>
                          </w:r>
                        </w:p>
                        <w:p>
                          <w:pPr>
                            <w:widowControl w:val="0"/>
                            <w:spacing w:line="360" w:lineRule="auto"/>
                            <w:ind w:firstLine="720"/>
                            <w:jc w:val="both"/>
                            <w:rPr>
                              <w:rFonts w:eastAsia="Lucida Sans Unicode"/>
                              <w:iCs/>
                              <w:szCs w:val="24"/>
                            </w:rPr>
                          </w:pPr>
                        </w:p>
                      </w:sdtContent>
                    </w:sdt>
                  </w:sdtContent>
                </w:sdt>
              </w:sdtContent>
            </w:sdt>
          </w:sdtContent>
        </w:sdt>
        <w:sdt>
          <w:sdtPr>
            <w:alias w:val="2 str."/>
            <w:tag w:val="part_23f448d6285d4b63973bf05a1ede511d"/>
            <w:lock w:val="sdtLocked"/>
            <w:richText/>
          </w:sdtPr>
          <w:sdtContent>
            <w:p>
              <w:pPr>
                <w:widowControl w:val="0"/>
                <w:spacing w:line="360" w:lineRule="auto"/>
                <w:ind w:firstLine="720"/>
                <w:jc w:val="both"/>
                <w:rPr>
                  <w:rFonts w:eastAsia="Lucida Sans Unicode"/>
                  <w:b/>
                  <w:bCs/>
                </w:rPr>
              </w:pPr>
              <w:sdt>
                <w:sdtPr>
                  <w:alias w:val="Numeris"/>
                  <w:tag w:val="nr_23f448d6285d4b63973bf05a1ede511d"/>
                  <w:lock w:val="sdtLocked"/>
                  <w:richText/>
                </w:sdtPr>
                <w:sdtContent>
                  <w:r>
                    <w:rPr>
                      <w:rFonts w:eastAsia="Lucida Sans Unicode"/>
                      <w:b/>
                      <w:bCs/>
                    </w:rPr>
                    <w:t>2</w:t>
                  </w:r>
                </w:sdtContent>
              </w:sdt>
              <w:r>
                <w:rPr>
                  <w:rFonts w:eastAsia="Lucida Sans Unicode"/>
                  <w:b/>
                  <w:bCs/>
                </w:rPr>
                <w:t xml:space="preserve"> straipsnis. </w:t>
              </w:r>
              <w:sdt>
                <w:sdtPr>
                  <w:alias w:val="Pavadinimas"/>
                  <w:tag w:val="title_23f448d6285d4b63973bf05a1ede511d"/>
                  <w:lock w:val="sdtLocked"/>
                  <w:richText/>
                </w:sdtPr>
                <w:sdtContent>
                  <w:r>
                    <w:rPr>
                      <w:rFonts w:eastAsia="Lucida Sans Unicode"/>
                      <w:b/>
                      <w:bCs/>
                    </w:rPr>
                    <w:t>10 straipsnio pakeitimas</w:t>
                  </w:r>
                </w:sdtContent>
              </w:sdt>
            </w:p>
            <w:sdt>
              <w:sdtPr>
                <w:alias w:val="2 str. 1 d."/>
                <w:tag w:val="part_678afea7a0e3455da9a42a0665ec482b"/>
                <w:lock w:val="sdtLocked"/>
                <w:richText/>
              </w:sdtPr>
              <w:sdtContent>
                <w:p>
                  <w:pPr>
                    <w:widowControl w:val="0"/>
                    <w:spacing w:line="360" w:lineRule="auto"/>
                    <w:ind w:firstLine="720"/>
                    <w:jc w:val="both"/>
                    <w:rPr>
                      <w:rFonts w:eastAsia="Lucida Sans Unicode"/>
                    </w:rPr>
                  </w:pPr>
                  <w:r>
                    <w:rPr>
                      <w:rFonts w:eastAsia="Lucida Sans Unicode"/>
                    </w:rPr>
                    <w:t>Pakeisti 10 straipsnio 2 dalies 3 punktą ir jį išdėstyti taip:</w:t>
                  </w:r>
                </w:p>
                <w:sdt>
                  <w:sdtPr>
                    <w:alias w:val="citata"/>
                    <w:tag w:val="part_5baaec6b1cc049a2b56375bdbe36d252"/>
                    <w:lock w:val="sdtLocked"/>
                    <w:richText/>
                  </w:sdtPr>
                  <w:sdtContent>
                    <w:sdt>
                      <w:sdtPr>
                        <w:alias w:val="3 p."/>
                        <w:tag w:val="part_cd20755ecbef432c8d06d048bef70f2d"/>
                        <w:lock w:val="sdtLocked"/>
                        <w:richText/>
                      </w:sdtPr>
                      <w:sdtContent>
                        <w:p>
                          <w:pPr>
                            <w:widowControl w:val="0"/>
                            <w:spacing w:line="360" w:lineRule="auto"/>
                            <w:ind w:firstLine="720"/>
                            <w:jc w:val="both"/>
                            <w:rPr>
                              <w:rFonts w:eastAsia="Lucida Sans Unicode"/>
                              <w:iCs/>
                              <w:szCs w:val="24"/>
                            </w:rPr>
                          </w:pPr>
                          <w:r>
                            <w:t>„</w:t>
                          </w:r>
                          <w:sdt>
                            <w:sdtPr>
                              <w:alias w:val="Numeris"/>
                              <w:tag w:val="nr_cd20755ecbef432c8d06d048bef70f2d"/>
                              <w:lock w:val="sdtLocked"/>
                              <w:richText/>
                            </w:sdtPr>
                            <w:sdtContent>
                              <w:r>
                                <w:t>3</w:t>
                              </w:r>
                            </w:sdtContent>
                          </w:sdt>
                          <w:r>
                            <w:t xml:space="preserve">) kai šiame įstatyme nurodytų objektų planavimo ar projektavimo atvejais rengiami architektūriniai konkursai geriausiai statinio architektūrinei ir urbanistinei idėjai atrinkti, derina konkurso sąlygas, jeigu </w:t>
                          </w:r>
                          <w:r>
                            <w:rPr>
                              <w:bCs/>
                            </w:rPr>
                            <w:t xml:space="preserve">jose </w:t>
                          </w:r>
                          <w:r>
                            <w:rPr>
                              <w:szCs w:val="24"/>
                            </w:rPr>
                            <w:t>nustatyti konkurso objektui</w:t>
                          </w:r>
                          <w:r>
                            <w:t xml:space="preserve"> taikomi reikalavimai neprieštarauja šio įstatymo 13 straipsnio 1 dalyje nurodytiems konkursų rengimo tikslams ir architektūros kokybės siekiui, atsižvelgdamas į šio įstatymo 11 straipsnyje nurodytus architektūros kokybės kriterijus, ir dalyvauja pasiūlytų idėjų vertinimo komisijoje;“.</w:t>
                          </w:r>
                        </w:p>
                        <w:p>
                          <w:pPr>
                            <w:widowControl w:val="0"/>
                            <w:spacing w:line="360" w:lineRule="auto"/>
                            <w:ind w:firstLine="720"/>
                            <w:jc w:val="both"/>
                            <w:rPr>
                              <w:rFonts w:eastAsia="Lucida Sans Unicode"/>
                              <w:b/>
                              <w:bCs/>
                              <w:iCs/>
                              <w:szCs w:val="24"/>
                            </w:rPr>
                          </w:pPr>
                        </w:p>
                      </w:sdtContent>
                    </w:sdt>
                  </w:sdtContent>
                </w:sdt>
              </w:sdtContent>
            </w:sdt>
          </w:sdtContent>
        </w:sdt>
        <w:sdt>
          <w:sdtPr>
            <w:alias w:val="3 str."/>
            <w:tag w:val="part_f29391113d5e40adb27a1bcb8b640a1a"/>
            <w:lock w:val="sdtLocked"/>
            <w:richText/>
          </w:sdtPr>
          <w:sdtContent>
            <w:p>
              <w:pPr>
                <w:widowControl w:val="0"/>
                <w:spacing w:line="360" w:lineRule="auto"/>
                <w:ind w:firstLine="720"/>
                <w:jc w:val="both"/>
                <w:rPr>
                  <w:rFonts w:eastAsia="Lucida Sans Unicode"/>
                  <w:b/>
                  <w:bCs/>
                  <w:iCs/>
                  <w:szCs w:val="24"/>
                </w:rPr>
              </w:pPr>
              <w:sdt>
                <w:sdtPr>
                  <w:alias w:val="Numeris"/>
                  <w:tag w:val="nr_f29391113d5e40adb27a1bcb8b640a1a"/>
                  <w:lock w:val="sdtLocked"/>
                  <w:richText/>
                </w:sdtPr>
                <w:sdtContent>
                  <w:r>
                    <w:rPr>
                      <w:rFonts w:eastAsia="Lucida Sans Unicode"/>
                      <w:b/>
                      <w:bCs/>
                      <w:iCs/>
                      <w:szCs w:val="24"/>
                    </w:rPr>
                    <w:t>3</w:t>
                  </w:r>
                </w:sdtContent>
              </w:sdt>
              <w:r>
                <w:rPr>
                  <w:rFonts w:eastAsia="Lucida Sans Unicode"/>
                  <w:b/>
                  <w:bCs/>
                  <w:iCs/>
                  <w:szCs w:val="24"/>
                </w:rPr>
                <w:t xml:space="preserve"> straipsnis. </w:t>
              </w:r>
              <w:sdt>
                <w:sdtPr>
                  <w:alias w:val="Pavadinimas"/>
                  <w:tag w:val="title_f29391113d5e40adb27a1bcb8b640a1a"/>
                  <w:lock w:val="sdtLocked"/>
                  <w:richText/>
                </w:sdtPr>
                <w:sdtContent>
                  <w:r>
                    <w:rPr>
                      <w:rFonts w:eastAsia="Lucida Sans Unicode"/>
                      <w:b/>
                      <w:bCs/>
                      <w:iCs/>
                      <w:szCs w:val="24"/>
                    </w:rPr>
                    <w:t>11 straipsnio pakeitimas</w:t>
                  </w:r>
                </w:sdtContent>
              </w:sdt>
            </w:p>
            <w:sdt>
              <w:sdtPr>
                <w:alias w:val="3 str. 1 d."/>
                <w:tag w:val="part_fdcfade743bc4d63a0f717494df2fa6a"/>
                <w:lock w:val="sdtLocked"/>
                <w:richText/>
              </w:sdtPr>
              <w:sdtContent>
                <w:p>
                  <w:pPr>
                    <w:widowControl w:val="0"/>
                    <w:spacing w:line="360" w:lineRule="auto"/>
                    <w:ind w:firstLine="720"/>
                    <w:jc w:val="both"/>
                    <w:rPr>
                      <w:rFonts w:eastAsia="Lucida Sans Unicode"/>
                      <w:b/>
                      <w:bCs/>
                      <w:iCs/>
                      <w:szCs w:val="24"/>
                    </w:rPr>
                  </w:pPr>
                  <w:r>
                    <w:rPr>
                      <w:szCs w:val="24"/>
                    </w:rPr>
                    <w:t>Pakeisti 11 straipsnį ir jį išdėstyti taip:</w:t>
                  </w:r>
                </w:p>
                <w:sdt>
                  <w:sdtPr>
                    <w:alias w:val="citata"/>
                    <w:tag w:val="part_c0e888aa462241979089b37f322651c8"/>
                    <w:lock w:val="sdtLocked"/>
                    <w:richText/>
                  </w:sdtPr>
                  <w:sdtContent>
                    <w:sdt>
                      <w:sdtPr>
                        <w:alias w:val="11 str."/>
                        <w:tag w:val="part_3b6a8f37527e46999be7086a503108b6"/>
                        <w:lock w:val="sdtLocked"/>
                        <w:richText/>
                      </w:sdtPr>
                      <w:sdtContent>
                        <w:p>
                          <w:pPr>
                            <w:widowControl w:val="0"/>
                            <w:spacing w:line="360" w:lineRule="auto"/>
                            <w:ind w:firstLine="720"/>
                            <w:jc w:val="both"/>
                            <w:rPr>
                              <w:bCs/>
                              <w:szCs w:val="24"/>
                            </w:rPr>
                          </w:pPr>
                          <w:r>
                            <w:rPr>
                              <w:szCs w:val="24"/>
                            </w:rPr>
                            <w:t>„</w:t>
                          </w:r>
                          <w:sdt>
                            <w:sdtPr>
                              <w:alias w:val="Numeris"/>
                              <w:tag w:val="nr_3b6a8f37527e46999be7086a503108b6"/>
                              <w:lock w:val="sdtLocked"/>
                              <w:richText/>
                            </w:sdtPr>
                            <w:sdtContent>
                              <w:r>
                                <w:rPr>
                                  <w:b/>
                                  <w:bCs/>
                                  <w:szCs w:val="24"/>
                                </w:rPr>
                                <w:t>11</w:t>
                              </w:r>
                            </w:sdtContent>
                          </w:sdt>
                          <w:r>
                            <w:rPr>
                              <w:b/>
                              <w:bCs/>
                              <w:szCs w:val="24"/>
                            </w:rPr>
                            <w:t xml:space="preserve"> straipsnis. </w:t>
                          </w:r>
                          <w:sdt>
                            <w:sdtPr>
                              <w:alias w:val="Pavadinimas"/>
                              <w:tag w:val="title_3b6a8f37527e46999be7086a503108b6"/>
                              <w:lock w:val="sdtLocked"/>
                              <w:richText/>
                            </w:sdtPr>
                            <w:sdtContent>
                              <w:r>
                                <w:rPr>
                                  <w:b/>
                                  <w:bCs/>
                                  <w:szCs w:val="24"/>
                                </w:rPr>
                                <w:t>Architektūros kokybės kriterijai</w:t>
                              </w:r>
                            </w:sdtContent>
                          </w:sdt>
                        </w:p>
                        <w:sdt>
                          <w:sdtPr>
                            <w:alias w:val="11 str. 1 d."/>
                            <w:tag w:val="part_8494fe960adf4e1a932e1d6a9f53075b"/>
                            <w:lock w:val="sdtLocked"/>
                            <w:richText/>
                          </w:sdtPr>
                          <w:sdtContent>
                            <w:p>
                              <w:pPr>
                                <w:widowControl w:val="0"/>
                                <w:spacing w:line="360" w:lineRule="auto"/>
                                <w:ind w:firstLine="720"/>
                                <w:jc w:val="both"/>
                                <w:rPr>
                                  <w:bCs/>
                                  <w:szCs w:val="24"/>
                                </w:rPr>
                              </w:pPr>
                              <w:sdt>
                                <w:sdtPr>
                                  <w:alias w:val="Numeris"/>
                                  <w:tag w:val="nr_8494fe960adf4e1a932e1d6a9f53075b"/>
                                  <w:lock w:val="sdtLocked"/>
                                  <w:richText/>
                                </w:sdtPr>
                                <w:sdtContent>
                                  <w:r>
                                    <w:rPr>
                                      <w:bCs/>
                                      <w:szCs w:val="24"/>
                                    </w:rPr>
                                    <w:t>1</w:t>
                                  </w:r>
                                </w:sdtContent>
                              </w:sdt>
                              <w:r>
                                <w:rPr>
                                  <w:bCs/>
                                  <w:szCs w:val="24"/>
                                </w:rPr>
                                <w:t xml:space="preserve">. Architektūros kokybės kriterijai yra šie: </w:t>
                              </w:r>
                            </w:p>
                            <w:sdt>
                              <w:sdtPr>
                                <w:alias w:val="11 str. 1 d. 1 p."/>
                                <w:tag w:val="part_9adc5e6c2bd6427e9bf31ee62d354d9f"/>
                                <w:lock w:val="sdtLocked"/>
                                <w:richText/>
                              </w:sdtPr>
                              <w:sdtContent>
                                <w:p>
                                  <w:pPr>
                                    <w:widowControl w:val="0"/>
                                    <w:spacing w:line="360" w:lineRule="auto"/>
                                    <w:ind w:firstLine="720"/>
                                    <w:jc w:val="both"/>
                                    <w:rPr>
                                      <w:bCs/>
                                      <w:strike/>
                                      <w:szCs w:val="24"/>
                                    </w:rPr>
                                  </w:pPr>
                                  <w:sdt>
                                    <w:sdtPr>
                                      <w:alias w:val="Numeris"/>
                                      <w:tag w:val="nr_9adc5e6c2bd6427e9bf31ee62d354d9f"/>
                                      <w:lock w:val="sdtLocked"/>
                                      <w:richText/>
                                    </w:sdtPr>
                                    <w:sdtContent>
                                      <w:r>
                                        <w:rPr>
                                          <w:bCs/>
                                          <w:szCs w:val="24"/>
                                        </w:rPr>
                                        <w:t>1</w:t>
                                      </w:r>
                                    </w:sdtContent>
                                  </w:sdt>
                                  <w:r>
                                    <w:rPr>
                                      <w:bCs/>
                                      <w:szCs w:val="24"/>
                                    </w:rPr>
                                    <w:t>) atitiktis darnaus vystymosi principams – kokybiška architektūra, prisidedanti prie darnios valstybės ir žmonių aplinkos kūrimo, yra svarbi ekonomikos ir socialinių santykių raidai, atsižvelgiant į darnaus ir tvaraus vystymosi iššūkius;</w:t>
                                  </w:r>
                                </w:p>
                              </w:sdtContent>
                            </w:sdt>
                            <w:sdt>
                              <w:sdtPr>
                                <w:alias w:val="11 str. 1 d. 2 p."/>
                                <w:tag w:val="part_ea7af5fd0d654b53b4679cfc42ec3033"/>
                                <w:lock w:val="sdtLocked"/>
                                <w:richText/>
                              </w:sdtPr>
                              <w:sdtContent>
                                <w:p>
                                  <w:pPr>
                                    <w:widowControl w:val="0"/>
                                    <w:spacing w:line="360" w:lineRule="auto"/>
                                    <w:ind w:firstLine="720"/>
                                    <w:jc w:val="both"/>
                                    <w:rPr>
                                      <w:bCs/>
                                      <w:szCs w:val="24"/>
                                    </w:rPr>
                                  </w:pPr>
                                  <w:sdt>
                                    <w:sdtPr>
                                      <w:alias w:val="Numeris"/>
                                      <w:tag w:val="nr_ea7af5fd0d654b53b4679cfc42ec3033"/>
                                      <w:lock w:val="sdtLocked"/>
                                      <w:richText/>
                                    </w:sdtPr>
                                    <w:sdtContent>
                                      <w:r>
                                        <w:rPr>
                                          <w:bCs/>
                                          <w:szCs w:val="24"/>
                                        </w:rPr>
                                        <w:t>2</w:t>
                                      </w:r>
                                    </w:sdtContent>
                                  </w:sdt>
                                  <w:r>
                                    <w:rPr>
                                      <w:bCs/>
                                      <w:szCs w:val="24"/>
                                    </w:rPr>
                                    <w:t xml:space="preserve">) urbanistinis integralumas – </w:t>
                                  </w:r>
                                  <w:r>
                                    <w:rPr>
                                      <w:rFonts w:eastAsia="Calibri"/>
                                      <w:bCs/>
                                      <w:szCs w:val="24"/>
                                    </w:rPr>
                                    <w:t>statinio, urbanistinio komplekso ir (ar) kraštovaizdžio</w:t>
                                  </w:r>
                                  <w:r>
                                    <w:rPr>
                                      <w:bCs/>
                                      <w:szCs w:val="24"/>
                                    </w:rPr>
                                    <w:t xml:space="preserve"> objekto darna su esama urbanistine struktūra ir poveikis kultūriniam kraštovaizdžiui;</w:t>
                                  </w:r>
                                </w:p>
                              </w:sdtContent>
                            </w:sdt>
                            <w:sdt>
                              <w:sdtPr>
                                <w:alias w:val="11 str. 1 d. 3 p."/>
                                <w:tag w:val="part_8109b764b65e43c9bb5491ef3550c6e1"/>
                                <w:lock w:val="sdtLocked"/>
                                <w:richText/>
                              </w:sdtPr>
                              <w:sdtContent>
                                <w:p>
                                  <w:pPr>
                                    <w:widowControl w:val="0"/>
                                    <w:spacing w:line="360" w:lineRule="auto"/>
                                    <w:ind w:firstLine="720"/>
                                    <w:jc w:val="both"/>
                                    <w:rPr>
                                      <w:bCs/>
                                      <w:szCs w:val="24"/>
                                    </w:rPr>
                                  </w:pPr>
                                  <w:sdt>
                                    <w:sdtPr>
                                      <w:alias w:val="Numeris"/>
                                      <w:tag w:val="nr_8109b764b65e43c9bb5491ef3550c6e1"/>
                                      <w:lock w:val="sdtLocked"/>
                                      <w:richText/>
                                    </w:sdtPr>
                                    <w:sdtContent>
                                      <w:r>
                                        <w:rPr>
                                          <w:bCs/>
                                          <w:szCs w:val="24"/>
                                        </w:rPr>
                                        <w:t>3</w:t>
                                      </w:r>
                                    </w:sdtContent>
                                  </w:sdt>
                                  <w:r>
                                    <w:rPr>
                                      <w:bCs/>
                                      <w:szCs w:val="24"/>
                                    </w:rPr>
                                    <w:t xml:space="preserve">) santykis su paveldėtomis vertėmis – kultūros paveldo objektų ir kultūros paveldo vietovių saugojimas, </w:t>
                                  </w:r>
                                  <w:r>
                                    <w:rPr>
                                      <w:rFonts w:eastAsia="Calibri"/>
                                      <w:bCs/>
                                      <w:szCs w:val="24"/>
                                    </w:rPr>
                                    <w:t>statinio, urbanistinio komplekso ir (ar) kraštovaizdžio</w:t>
                                  </w:r>
                                  <w:r>
                                    <w:rPr>
                                      <w:bCs/>
                                      <w:szCs w:val="24"/>
                                    </w:rPr>
                                    <w:t xml:space="preserve"> objekto santykis su urbanistinės vietovės ar objekto istorine urbanistine ir (ar) architektūrine raida, kraštovaizdžio vertybėmis;</w:t>
                                  </w:r>
                                </w:p>
                              </w:sdtContent>
                            </w:sdt>
                            <w:sdt>
                              <w:sdtPr>
                                <w:alias w:val="11 str. 1 d. 4 p."/>
                                <w:tag w:val="part_d9723d1d93a442eb9d2ee75b519f5831"/>
                                <w:lock w:val="sdtLocked"/>
                                <w:richText/>
                              </w:sdtPr>
                              <w:sdtContent>
                                <w:p>
                                  <w:pPr>
                                    <w:widowControl w:val="0"/>
                                    <w:spacing w:line="360" w:lineRule="auto"/>
                                    <w:ind w:firstLine="720"/>
                                    <w:jc w:val="both"/>
                                    <w:rPr>
                                      <w:bCs/>
                                      <w:szCs w:val="24"/>
                                    </w:rPr>
                                  </w:pPr>
                                  <w:sdt>
                                    <w:sdtPr>
                                      <w:alias w:val="Numeris"/>
                                      <w:tag w:val="nr_d9723d1d93a442eb9d2ee75b519f5831"/>
                                      <w:lock w:val="sdtLocked"/>
                                      <w:richText/>
                                    </w:sdtPr>
                                    <w:sdtContent>
                                      <w:r>
                                        <w:rPr>
                                          <w:bCs/>
                                          <w:szCs w:val="24"/>
                                        </w:rPr>
                                        <w:t>4</w:t>
                                      </w:r>
                                    </w:sdtContent>
                                  </w:sdt>
                                  <w:r>
                                    <w:rPr>
                                      <w:bCs/>
                                      <w:szCs w:val="24"/>
                                    </w:rPr>
                                    <w:t xml:space="preserve">) aplinka visiems – </w:t>
                                  </w:r>
                                  <w:r>
                                    <w:rPr>
                                      <w:bCs/>
                                      <w:szCs w:val="24"/>
                                      <w:lang w:eastAsia="lt-LT"/>
                                    </w:rPr>
                                    <w:t xml:space="preserve">aplinka be </w:t>
                                  </w:r>
                                  <w:r>
                                    <w:rPr>
                                      <w:bCs/>
                                      <w:szCs w:val="24"/>
                                    </w:rPr>
                                    <w:t xml:space="preserve">specialaus pritaikymo gali naudotis </w:t>
                                  </w:r>
                                  <w:r>
                                    <w:rPr>
                                      <w:bCs/>
                                      <w:szCs w:val="24"/>
                                      <w:lang w:eastAsia="lt-LT"/>
                                    </w:rPr>
                                    <w:t>visos visuomenės grupės</w:t>
                                  </w:r>
                                  <w:r>
                                    <w:rPr>
                                      <w:bCs/>
                                      <w:szCs w:val="24"/>
                                    </w:rPr>
                                    <w:t>;</w:t>
                                  </w:r>
                                </w:p>
                              </w:sdtContent>
                            </w:sdt>
                            <w:sdt>
                              <w:sdtPr>
                                <w:alias w:val="11 str. 1 d. 5 p."/>
                                <w:tag w:val="part_6db92cd4a1924a499209cf74152b58ac"/>
                                <w:lock w:val="sdtLocked"/>
                                <w:richText/>
                              </w:sdtPr>
                              <w:sdtContent>
                                <w:p>
                                  <w:pPr>
                                    <w:widowControl w:val="0"/>
                                    <w:spacing w:line="360" w:lineRule="auto"/>
                                    <w:ind w:firstLine="720"/>
                                    <w:jc w:val="both"/>
                                    <w:rPr>
                                      <w:bCs/>
                                      <w:strike/>
                                      <w:szCs w:val="24"/>
                                    </w:rPr>
                                  </w:pPr>
                                  <w:sdt>
                                    <w:sdtPr>
                                      <w:alias w:val="Numeris"/>
                                      <w:tag w:val="nr_6db92cd4a1924a499209cf74152b58ac"/>
                                      <w:lock w:val="sdtLocked"/>
                                      <w:richText/>
                                    </w:sdtPr>
                                    <w:sdtContent>
                                      <w:r>
                                        <w:rPr>
                                          <w:bCs/>
                                          <w:szCs w:val="24"/>
                                        </w:rPr>
                                        <w:t>5</w:t>
                                      </w:r>
                                    </w:sdtContent>
                                  </w:sdt>
                                  <w:r>
                                    <w:rPr>
                                      <w:bCs/>
                                      <w:szCs w:val="24"/>
                                    </w:rPr>
                                    <w:t xml:space="preserve">) sprendinių ekonomiškumas – planuojamų sprendinių atitiktis ilgalaikėms investicijoms, jų racionalumas užtikrinant </w:t>
                                  </w:r>
                                  <w:r>
                                    <w:rPr>
                                      <w:bCs/>
                                      <w:szCs w:val="24"/>
                                      <w:bdr w:val="none" w:sz="0" w:space="0" w:color="auto" w:frame="1"/>
                                    </w:rPr>
                                    <w:t xml:space="preserve">efektyvų statinio gyvavimo ciklą, siekiant </w:t>
                                  </w:r>
                                  <w:r>
                                    <w:rPr>
                                      <w:bCs/>
                                      <w:szCs w:val="24"/>
                                    </w:rPr>
                                    <w:t>optimalaus kokybės ir kainos santykio;</w:t>
                                  </w:r>
                                </w:p>
                              </w:sdtContent>
                            </w:sdt>
                            <w:sdt>
                              <w:sdtPr>
                                <w:alias w:val="11 str. 1 d. 6 p."/>
                                <w:tag w:val="part_a9aecaf4bfd74328bc940889c4cfe7ef"/>
                                <w:lock w:val="sdtLocked"/>
                                <w:richText/>
                              </w:sdtPr>
                              <w:sdtContent>
                                <w:p>
                                  <w:pPr>
                                    <w:widowControl w:val="0"/>
                                    <w:spacing w:line="360" w:lineRule="auto"/>
                                    <w:ind w:firstLine="720"/>
                                    <w:jc w:val="both"/>
                                    <w:rPr>
                                      <w:bCs/>
                                      <w:strike/>
                                      <w:szCs w:val="24"/>
                                      <w:lang w:eastAsia="lt-LT"/>
                                    </w:rPr>
                                  </w:pPr>
                                  <w:sdt>
                                    <w:sdtPr>
                                      <w:alias w:val="Numeris"/>
                                      <w:tag w:val="nr_a9aecaf4bfd74328bc940889c4cfe7ef"/>
                                      <w:lock w:val="sdtLocked"/>
                                      <w:richText/>
                                    </w:sdtPr>
                                    <w:sdtContent>
                                      <w:r>
                                        <w:rPr>
                                          <w:bCs/>
                                          <w:szCs w:val="24"/>
                                        </w:rPr>
                                        <w:t>6</w:t>
                                      </w:r>
                                    </w:sdtContent>
                                  </w:sdt>
                                  <w:r>
                                    <w:rPr>
                                      <w:bCs/>
                                      <w:szCs w:val="24"/>
                                    </w:rPr>
                                    <w:t>) inovatyvumas – naujos originalios architektūrinių ir urbanistinių sprendimų idėjos siekiant tvarios statybos</w:t>
                                  </w:r>
                                  <w:r>
                                    <w:rPr>
                                      <w:bCs/>
                                      <w:szCs w:val="24"/>
                                      <w:bdr w:val="none" w:sz="0" w:space="0" w:color="auto" w:frame="1"/>
                                    </w:rPr>
                                    <w:t xml:space="preserve"> ir statinio gyvavimo ciklo</w:t>
                                  </w:r>
                                  <w:r>
                                    <w:rPr>
                                      <w:bCs/>
                                      <w:szCs w:val="24"/>
                                    </w:rPr>
                                    <w:t>, naudojant pažangias technologijas ir medžiagas, skatinant žiedinę ekonomiką, klimatą ir energiją tausojančias priemones, kuriant kokybišką aplinką visiems;</w:t>
                                  </w:r>
                                </w:p>
                              </w:sdtContent>
                            </w:sdt>
                            <w:sdt>
                              <w:sdtPr>
                                <w:alias w:val="11 str. 1 d. 7 p."/>
                                <w:tag w:val="part_0b9611004f0c4c46a6a8bb36c70f7fba"/>
                                <w:lock w:val="sdtLocked"/>
                                <w:richText/>
                              </w:sdtPr>
                              <w:sdtContent>
                                <w:p>
                                  <w:pPr>
                                    <w:widowControl w:val="0"/>
                                    <w:spacing w:line="360" w:lineRule="auto"/>
                                    <w:ind w:firstLine="720"/>
                                    <w:jc w:val="both"/>
                                    <w:rPr>
                                      <w:bCs/>
                                      <w:szCs w:val="24"/>
                                    </w:rPr>
                                  </w:pPr>
                                  <w:sdt>
                                    <w:sdtPr>
                                      <w:alias w:val="Numeris"/>
                                      <w:tag w:val="nr_0b9611004f0c4c46a6a8bb36c70f7fba"/>
                                      <w:lock w:val="sdtLocked"/>
                                      <w:richText/>
                                    </w:sdtPr>
                                    <w:sdtContent>
                                      <w:r>
                                        <w:rPr>
                                          <w:bCs/>
                                          <w:szCs w:val="24"/>
                                        </w:rPr>
                                        <w:t>7</w:t>
                                      </w:r>
                                    </w:sdtContent>
                                  </w:sdt>
                                  <w:r>
                                    <w:rPr>
                                      <w:bCs/>
                                      <w:szCs w:val="24"/>
                                    </w:rPr>
                                    <w:t xml:space="preserve">) funkcionali struktūra – </w:t>
                                  </w:r>
                                  <w:r>
                                    <w:rPr>
                                      <w:rFonts w:eastAsia="Calibri"/>
                                      <w:bCs/>
                                      <w:szCs w:val="24"/>
                                    </w:rPr>
                                    <w:t>statinio, urbanistinio komplekso ir (ar) kraštovaizdžio</w:t>
                                  </w:r>
                                  <w:r>
                                    <w:rPr>
                                      <w:bCs/>
                                      <w:szCs w:val="24"/>
                                    </w:rPr>
                                    <w:t xml:space="preserve"> objekto atitiktis planuojamai funkcijai ir galimybė pritaikyti kintant funkcijoms;</w:t>
                                  </w:r>
                                </w:p>
                              </w:sdtContent>
                            </w:sdt>
                            <w:sdt>
                              <w:sdtPr>
                                <w:alias w:val="11 str. 1 d. 8 p."/>
                                <w:tag w:val="part_d10697ae6fdd4b6faae5303b2489fe73"/>
                                <w:lock w:val="sdtLocked"/>
                                <w:richText/>
                              </w:sdtPr>
                              <w:sdtContent>
                                <w:p>
                                  <w:pPr>
                                    <w:widowControl w:val="0"/>
                                    <w:spacing w:line="360" w:lineRule="auto"/>
                                    <w:ind w:firstLine="720"/>
                                    <w:jc w:val="both"/>
                                    <w:rPr>
                                      <w:bCs/>
                                      <w:szCs w:val="24"/>
                                    </w:rPr>
                                  </w:pPr>
                                  <w:sdt>
                                    <w:sdtPr>
                                      <w:alias w:val="Numeris"/>
                                      <w:tag w:val="nr_d10697ae6fdd4b6faae5303b2489fe73"/>
                                      <w:lock w:val="sdtLocked"/>
                                      <w:richText/>
                                    </w:sdtPr>
                                    <w:sdtContent>
                                      <w:r>
                                        <w:rPr>
                                          <w:bCs/>
                                          <w:szCs w:val="24"/>
                                        </w:rPr>
                                        <w:t>8</w:t>
                                      </w:r>
                                    </w:sdtContent>
                                  </w:sdt>
                                  <w:r>
                                    <w:rPr>
                                      <w:bCs/>
                                      <w:szCs w:val="24"/>
                                    </w:rPr>
                                    <w:t>) vientisa architektūrinė idėja ir estetika – nuosekliai suvokiama statinio, urbanistinio komplekso ir (ar) kraštovaizdžio objekto meninė išraiška.</w:t>
                                  </w:r>
                                </w:p>
                              </w:sdtContent>
                            </w:sdt>
                          </w:sdtContent>
                        </w:sdt>
                        <w:sdt>
                          <w:sdtPr>
                            <w:alias w:val="11 str. 2 d."/>
                            <w:tag w:val="part_427119fdba4d4ca89dc04709df925262"/>
                            <w:lock w:val="sdtLocked"/>
                            <w:richText/>
                          </w:sdtPr>
                          <w:sdtContent>
                            <w:p>
                              <w:pPr>
                                <w:widowControl w:val="0"/>
                                <w:spacing w:line="360" w:lineRule="auto"/>
                                <w:ind w:firstLine="720"/>
                                <w:jc w:val="both"/>
                                <w:rPr>
                                  <w:bCs/>
                                  <w:szCs w:val="24"/>
                                </w:rPr>
                              </w:pPr>
                              <w:sdt>
                                <w:sdtPr>
                                  <w:alias w:val="Numeris"/>
                                  <w:tag w:val="nr_427119fdba4d4ca89dc04709df925262"/>
                                  <w:lock w:val="sdtLocked"/>
                                  <w:richText/>
                                </w:sdtPr>
                                <w:sdtContent>
                                  <w:r>
                                    <w:rPr>
                                      <w:bCs/>
                                      <w:szCs w:val="24"/>
                                    </w:rPr>
                                    <w:t>2</w:t>
                                  </w:r>
                                </w:sdtContent>
                              </w:sdt>
                              <w:r>
                                <w:rPr>
                                  <w:bCs/>
                                  <w:szCs w:val="24"/>
                                </w:rPr>
                                <w:t>. Vertinant architektūros objektų kokybę, taikomi visi šio straipsnio 1 dalyje išvardyti kriterijai.</w:t>
                              </w:r>
                            </w:p>
                          </w:sdtContent>
                        </w:sdt>
                        <w:sdt>
                          <w:sdtPr>
                            <w:alias w:val="11 str. 3 d."/>
                            <w:tag w:val="part_48f11d6a94f841a99240f65dfacacaa5"/>
                            <w:lock w:val="sdtLocked"/>
                            <w:richText/>
                          </w:sdtPr>
                          <w:sdtContent>
                            <w:p>
                              <w:pPr>
                                <w:widowControl w:val="0"/>
                                <w:spacing w:line="360" w:lineRule="auto"/>
                                <w:ind w:firstLine="720"/>
                                <w:jc w:val="both"/>
                                <w:rPr>
                                  <w:bCs/>
                                  <w:szCs w:val="24"/>
                                </w:rPr>
                              </w:pPr>
                              <w:sdt>
                                <w:sdtPr>
                                  <w:alias w:val="Numeris"/>
                                  <w:tag w:val="nr_48f11d6a94f841a99240f65dfacacaa5"/>
                                  <w:lock w:val="sdtLocked"/>
                                  <w:richText/>
                                </w:sdtPr>
                                <w:sdtContent>
                                  <w:r>
                                    <w:rPr>
                                      <w:rFonts w:eastAsia="Lucida Sans Unicode"/>
                                      <w:bCs/>
                                      <w:iCs/>
                                      <w:szCs w:val="24"/>
                                    </w:rPr>
                                    <w:t>3</w:t>
                                  </w:r>
                                </w:sdtContent>
                              </w:sdt>
                              <w:r>
                                <w:rPr>
                                  <w:rFonts w:eastAsia="Lucida Sans Unicode"/>
                                  <w:bCs/>
                                  <w:iCs/>
                                  <w:szCs w:val="24"/>
                                </w:rPr>
                                <w:t xml:space="preserve">. Architektūros kokybės vertinimo metodiką (toliau – metodika) tvirtina aplinkos ministras. Metodikoje nustatomi </w:t>
                              </w:r>
                              <w:r>
                                <w:rPr>
                                  <w:bCs/>
                                  <w:szCs w:val="24"/>
                                </w:rPr>
                                <w:t>architektūros kokybės vertinimo</w:t>
                              </w:r>
                              <w:r>
                                <w:rPr>
                                  <w:rFonts w:eastAsia="Lucida Sans Unicode"/>
                                  <w:bCs/>
                                  <w:iCs/>
                                  <w:szCs w:val="24"/>
                                </w:rPr>
                                <w:t xml:space="preserve"> </w:t>
                              </w:r>
                              <w:r>
                                <w:rPr>
                                  <w:bCs/>
                                  <w:szCs w:val="24"/>
                                </w:rPr>
                                <w:t xml:space="preserve">būdai ir priemonės </w:t>
                              </w:r>
                              <w:r>
                                <w:rPr>
                                  <w:rFonts w:eastAsia="Lucida Sans Unicode"/>
                                  <w:bCs/>
                                  <w:iCs/>
                                  <w:szCs w:val="24"/>
                                </w:rPr>
                                <w:t xml:space="preserve">pagal šio straipsnio 1 dalyje išvardytus architektūros kokybės kriterijus, </w:t>
                              </w:r>
                              <w:r>
                                <w:rPr>
                                  <w:bCs/>
                                  <w:szCs w:val="24"/>
                                </w:rPr>
                                <w:t>atsižvelgus į kiekvieno kriterijaus vertinimo aspektus.</w:t>
                              </w:r>
                            </w:p>
                          </w:sdtContent>
                        </w:sdt>
                        <w:sdt>
                          <w:sdtPr>
                            <w:alias w:val="11 str. 4 d."/>
                            <w:tag w:val="part_24f6016a6593437394fb4e4f96051f18"/>
                            <w:lock w:val="sdtLocked"/>
                            <w:richText/>
                          </w:sdtPr>
                          <w:sdtContent>
                            <w:p>
                              <w:pPr>
                                <w:widowControl w:val="0"/>
                                <w:spacing w:line="360" w:lineRule="auto"/>
                                <w:ind w:firstLine="720"/>
                                <w:jc w:val="both"/>
                                <w:rPr>
                                  <w:bCs/>
                                  <w:szCs w:val="24"/>
                                </w:rPr>
                              </w:pPr>
                              <w:sdt>
                                <w:sdtPr>
                                  <w:alias w:val="Numeris"/>
                                  <w:tag w:val="nr_24f6016a6593437394fb4e4f96051f18"/>
                                  <w:lock w:val="sdtLocked"/>
                                  <w:richText/>
                                </w:sdtPr>
                                <w:sdtContent>
                                  <w:r>
                                    <w:rPr>
                                      <w:rFonts w:eastAsia="Lucida Sans Unicode"/>
                                      <w:bCs/>
                                      <w:szCs w:val="24"/>
                                    </w:rPr>
                                    <w:t>4</w:t>
                                  </w:r>
                                </w:sdtContent>
                              </w:sdt>
                              <w:r>
                                <w:rPr>
                                  <w:rFonts w:eastAsia="Lucida Sans Unicode"/>
                                  <w:bCs/>
                                  <w:szCs w:val="24"/>
                                </w:rPr>
                                <w:t xml:space="preserve">. </w:t>
                              </w:r>
                              <w:r>
                                <w:rPr>
                                  <w:bCs/>
                                  <w:szCs w:val="24"/>
                                </w:rPr>
                                <w:t>Pagal aplinkos ministro patvirtintą metodiką kiekvienos savivaldybės</w:t>
                              </w:r>
                              <w:r>
                                <w:rPr>
                                  <w:szCs w:val="24"/>
                                </w:rPr>
                                <w:t xml:space="preserve"> </w:t>
                              </w:r>
                              <w:r>
                                <w:rPr>
                                  <w:bCs/>
                                  <w:szCs w:val="24"/>
                                </w:rPr>
                                <w:t>įgaliota institucija ar įstaiga</w:t>
                              </w:r>
                              <w:r>
                                <w:rPr>
                                  <w:szCs w:val="24"/>
                                </w:rPr>
                                <w:t xml:space="preserve"> </w:t>
                              </w:r>
                              <w:r>
                                <w:rPr>
                                  <w:bCs/>
                                  <w:szCs w:val="24"/>
                                </w:rPr>
                                <w:t xml:space="preserve">parengia metodikos taikymo gairių projektą (toliau – gairių projektas), atsižvelgdama į savivaldybės teritorijų ar jų dalių būdingus urbanistinių struktūrų ypatumus, architektūros objektų savitumus, laikydamasi </w:t>
                              </w:r>
                              <w:r>
                                <w:rPr>
                                  <w:bCs/>
                                  <w:szCs w:val="24"/>
                                  <w:bdr w:val="none" w:sz="0" w:space="0" w:color="auto" w:frame="1"/>
                                  <w:lang w:eastAsia="lt-LT"/>
                                </w:rPr>
                                <w:t xml:space="preserve">teritorijų planavimo dokumentų </w:t>
                              </w:r>
                              <w:r>
                                <w:rPr>
                                  <w:bCs/>
                                  <w:szCs w:val="24"/>
                                </w:rPr>
                                <w:t>sprendinių ir teisės aktų reikalavimų. Gairių projekto rengimo ir jo teikimo visuomenei susipažinti tvarka nustatoma metodikoje.</w:t>
                              </w:r>
                            </w:p>
                          </w:sdtContent>
                        </w:sdt>
                        <w:sdt>
                          <w:sdtPr>
                            <w:alias w:val="11 str. 5 d."/>
                            <w:tag w:val="part_a21356246c234c5a8fca3a001eaea172"/>
                            <w:lock w:val="sdtLocked"/>
                            <w:richText/>
                          </w:sdtPr>
                          <w:sdtContent>
                            <w:p>
                              <w:pPr>
                                <w:widowControl w:val="0"/>
                                <w:spacing w:line="360" w:lineRule="auto"/>
                                <w:ind w:firstLine="720"/>
                                <w:jc w:val="both"/>
                                <w:rPr>
                                  <w:bCs/>
                                </w:rPr>
                              </w:pPr>
                              <w:sdt>
                                <w:sdtPr>
                                  <w:alias w:val="Numeris"/>
                                  <w:tag w:val="nr_a21356246c234c5a8fca3a001eaea172"/>
                                  <w:lock w:val="sdtLocked"/>
                                  <w:richText/>
                                </w:sdtPr>
                                <w:sdtContent>
                                  <w:r>
                                    <w:rPr>
                                      <w:bCs/>
                                      <w:szCs w:val="24"/>
                                    </w:rPr>
                                    <w:t>5</w:t>
                                  </w:r>
                                </w:sdtContent>
                              </w:sdt>
                              <w:r>
                                <w:rPr>
                                  <w:bCs/>
                                  <w:szCs w:val="24"/>
                                </w:rPr>
                                <w:t>. G</w:t>
                              </w:r>
                              <w:r>
                                <w:rPr>
                                  <w:bCs/>
                                  <w:iCs/>
                                  <w:szCs w:val="24"/>
                                </w:rPr>
                                <w:t xml:space="preserve">airių projektas </w:t>
                              </w:r>
                              <w:r>
                                <w:rPr>
                                  <w:bCs/>
                                  <w:szCs w:val="24"/>
                                </w:rPr>
                                <w:t xml:space="preserve">teikiamas visuomenei susipažinti ne trumpiau kaip 20 darbo dienų nuo jo paskelbimo savivaldybės interneto svetainėje dienos, </w:t>
                              </w:r>
                              <w:r>
                                <w:rPr>
                                  <w:bCs/>
                                </w:rPr>
                                <w:t xml:space="preserve">informuojant, iki kada galima teikti pasiūlymus dėl gairių projekto. </w:t>
                              </w:r>
                              <w:r>
                                <w:rPr>
                                  <w:bCs/>
                                  <w:iCs/>
                                  <w:szCs w:val="24"/>
                                </w:rPr>
                                <w:t xml:space="preserve">Gairių projektas </w:t>
                              </w:r>
                              <w:r>
                                <w:rPr>
                                  <w:bCs/>
                                  <w:szCs w:val="24"/>
                                </w:rPr>
                                <w:t>teikiamas atitinkamai regioninei architektūros tarybai Regioninių architektūros tarybų nuostatuose nustatyta tvarka šios tarybos rekomendacijai gauti.</w:t>
                              </w:r>
                            </w:p>
                          </w:sdtContent>
                        </w:sdt>
                        <w:sdt>
                          <w:sdtPr>
                            <w:alias w:val="11 str. 6 d."/>
                            <w:tag w:val="part_ad3e75fe60444c4ea17108ef78e7687a"/>
                            <w:lock w:val="sdtLocked"/>
                            <w:richText/>
                          </w:sdtPr>
                          <w:sdtContent>
                            <w:p>
                              <w:pPr>
                                <w:widowControl w:val="0"/>
                                <w:spacing w:line="360" w:lineRule="auto"/>
                                <w:ind w:firstLine="720"/>
                                <w:jc w:val="both"/>
                                <w:rPr>
                                  <w:bCs/>
                                  <w:szCs w:val="24"/>
                                </w:rPr>
                              </w:pPr>
                              <w:sdt>
                                <w:sdtPr>
                                  <w:alias w:val="Numeris"/>
                                  <w:tag w:val="nr_ad3e75fe60444c4ea17108ef78e7687a"/>
                                  <w:lock w:val="sdtLocked"/>
                                  <w:richText/>
                                </w:sdtPr>
                                <w:sdtContent>
                                  <w:r>
                                    <w:rPr>
                                      <w:bCs/>
                                      <w:szCs w:val="24"/>
                                    </w:rPr>
                                    <w:t>6</w:t>
                                  </w:r>
                                </w:sdtContent>
                              </w:sdt>
                              <w:r>
                                <w:rPr>
                                  <w:bCs/>
                                  <w:szCs w:val="24"/>
                                </w:rPr>
                                <w:t>. Metodikos taikymo g</w:t>
                              </w:r>
                              <w:r>
                                <w:rPr>
                                  <w:bCs/>
                                  <w:iCs/>
                                  <w:szCs w:val="24"/>
                                </w:rPr>
                                <w:t xml:space="preserve">airės, </w:t>
                              </w:r>
                              <w:r>
                                <w:rPr>
                                  <w:bCs/>
                                  <w:szCs w:val="24"/>
                                </w:rPr>
                                <w:t xml:space="preserve">įvertinus visuomenės pasiūlymus, gautus </w:t>
                              </w:r>
                              <w:r>
                                <w:rPr>
                                  <w:bCs/>
                                  <w:iCs/>
                                  <w:szCs w:val="24"/>
                                </w:rPr>
                                <w:t xml:space="preserve">metodikoje nustatyta tvarka, </w:t>
                              </w:r>
                              <w:r>
                                <w:rPr>
                                  <w:bCs/>
                                  <w:szCs w:val="24"/>
                                </w:rPr>
                                <w:t xml:space="preserve">ir gavus atitinkamos regioninės architektūros tarybos rekomendaciją, tvirtinamos savivaldybės tarybos sprendimu. </w:t>
                              </w:r>
                            </w:p>
                          </w:sdtContent>
                        </w:sdt>
                        <w:sdt>
                          <w:sdtPr>
                            <w:alias w:val="11 str. 7 d."/>
                            <w:tag w:val="part_0f8769de74e54eb88f86551d1b606687"/>
                            <w:lock w:val="sdtLocked"/>
                            <w:richText/>
                          </w:sdtPr>
                          <w:sdtContent>
                            <w:p>
                              <w:pPr>
                                <w:widowControl w:val="0"/>
                                <w:spacing w:line="360" w:lineRule="auto"/>
                                <w:ind w:firstLine="720"/>
                                <w:jc w:val="both"/>
                                <w:rPr>
                                  <w:bCs/>
                                  <w:szCs w:val="24"/>
                                </w:rPr>
                              </w:pPr>
                              <w:sdt>
                                <w:sdtPr>
                                  <w:alias w:val="Numeris"/>
                                  <w:tag w:val="nr_0f8769de74e54eb88f86551d1b606687"/>
                                  <w:lock w:val="sdtLocked"/>
                                  <w:richText/>
                                </w:sdtPr>
                                <w:sdtContent>
                                  <w:r>
                                    <w:rPr>
                                      <w:bCs/>
                                      <w:szCs w:val="24"/>
                                    </w:rPr>
                                    <w:t>7</w:t>
                                  </w:r>
                                </w:sdtContent>
                              </w:sdt>
                              <w:r>
                                <w:rPr>
                                  <w:bCs/>
                                  <w:szCs w:val="24"/>
                                </w:rPr>
                                <w:t xml:space="preserve">. Savivaldybės tarybos sprendimas dėl metodikos taikymo </w:t>
                              </w:r>
                              <w:r>
                                <w:rPr>
                                  <w:bCs/>
                                  <w:iCs/>
                                  <w:szCs w:val="24"/>
                                </w:rPr>
                                <w:t xml:space="preserve">gairių patvirtinimo </w:t>
                              </w:r>
                              <w:r>
                                <w:rPr>
                                  <w:bCs/>
                                  <w:szCs w:val="24"/>
                                </w:rPr>
                                <w:t>skelbiamas tos savivaldybės interneto svetainėje.</w:t>
                              </w:r>
                              <w:r>
                                <w:rPr>
                                  <w:szCs w:val="24"/>
                                </w:rPr>
                                <w:t>“</w:t>
                              </w:r>
                            </w:p>
                            <w:p>
                              <w:pPr>
                                <w:widowControl w:val="0"/>
                                <w:spacing w:line="360" w:lineRule="auto"/>
                                <w:ind w:firstLine="720"/>
                                <w:jc w:val="both"/>
                                <w:rPr>
                                  <w:b/>
                                  <w:bCs/>
                                  <w:szCs w:val="24"/>
                                </w:rPr>
                              </w:pPr>
                            </w:p>
                          </w:sdtContent>
                        </w:sdt>
                      </w:sdtContent>
                    </w:sdt>
                  </w:sdtContent>
                </w:sdt>
              </w:sdtContent>
            </w:sdt>
          </w:sdtContent>
        </w:sdt>
        <w:sdt>
          <w:sdtPr>
            <w:alias w:val="4 str."/>
            <w:tag w:val="part_c4fa90d81fb5493296dda8e99d5bae86"/>
            <w:lock w:val="sdtLocked"/>
            <w:richText/>
          </w:sdtPr>
          <w:sdtContent>
            <w:p>
              <w:pPr>
                <w:spacing w:line="360" w:lineRule="auto"/>
                <w:ind w:firstLine="720"/>
                <w:jc w:val="both"/>
                <w:rPr>
                  <w:b/>
                </w:rPr>
              </w:pPr>
              <w:sdt>
                <w:sdtPr>
                  <w:alias w:val="Numeris"/>
                  <w:tag w:val="nr_c4fa90d81fb5493296dda8e99d5bae86"/>
                  <w:lock w:val="sdtLocked"/>
                  <w:richText/>
                </w:sdtPr>
                <w:sdtContent>
                  <w:r>
                    <w:rPr>
                      <w:b/>
                    </w:rPr>
                    <w:t>4</w:t>
                  </w:r>
                </w:sdtContent>
              </w:sdt>
              <w:r>
                <w:rPr>
                  <w:b/>
                </w:rPr>
                <w:t xml:space="preserve"> straipsnis. </w:t>
              </w:r>
              <w:sdt>
                <w:sdtPr>
                  <w:alias w:val="Pavadinimas"/>
                  <w:tag w:val="title_c4fa90d81fb5493296dda8e99d5bae86"/>
                  <w:lock w:val="sdtLocked"/>
                  <w:richText/>
                </w:sdtPr>
                <w:sdtContent>
                  <w:r>
                    <w:rPr>
                      <w:b/>
                    </w:rPr>
                    <w:t>13 straipsnio pakeitimas</w:t>
                  </w:r>
                </w:sdtContent>
              </w:sdt>
            </w:p>
            <w:sdt>
              <w:sdtPr>
                <w:alias w:val="4 str. 1 d."/>
                <w:tag w:val="part_0e8433a4ccee44378fa63307000db7c2"/>
                <w:lock w:val="sdtLocked"/>
                <w:richText/>
              </w:sdtPr>
              <w:sdtContent>
                <w:p>
                  <w:pPr>
                    <w:spacing w:line="360" w:lineRule="auto"/>
                    <w:ind w:firstLine="720"/>
                    <w:jc w:val="both"/>
                    <w:rPr>
                      <w:bCs/>
                    </w:rPr>
                  </w:pPr>
                  <w:sdt>
                    <w:sdtPr>
                      <w:alias w:val="Numeris"/>
                      <w:tag w:val="nr_0e8433a4ccee44378fa63307000db7c2"/>
                      <w:lock w:val="sdtLocked"/>
                      <w:richText/>
                    </w:sdtPr>
                    <w:sdtContent>
                      <w:r>
                        <w:rPr>
                          <w:bCs/>
                        </w:rPr>
                        <w:t>1</w:t>
                      </w:r>
                    </w:sdtContent>
                  </w:sdt>
                  <w:r>
                    <w:rPr>
                      <w:bCs/>
                    </w:rPr>
                    <w:t>. Pakeisti 13 straipsnio pavadinimą ir jį išdėstyti taip:</w:t>
                  </w:r>
                </w:p>
                <w:sdt>
                  <w:sdtPr>
                    <w:alias w:val="citata"/>
                    <w:tag w:val="part_f25e32a96fab46eba987c5500229b666"/>
                    <w:lock w:val="sdtLocked"/>
                    <w:richText/>
                  </w:sdtPr>
                  <w:sdtContent>
                    <w:sdt>
                      <w:sdtPr>
                        <w:alias w:val="13 str."/>
                        <w:tag w:val="part_2f2f0d82d5a345a7adec52730d7da51b"/>
                        <w:lock w:val="sdtLocked"/>
                        <w:richText/>
                      </w:sdtPr>
                      <w:sdtContent>
                        <w:p>
                          <w:pPr>
                            <w:spacing w:line="360" w:lineRule="auto"/>
                            <w:ind w:firstLine="720"/>
                            <w:jc w:val="both"/>
                            <w:rPr>
                              <w:kern w:val="2"/>
                              <w:szCs w:val="24"/>
                            </w:rPr>
                          </w:pPr>
                          <w:r>
                            <w:rPr>
                              <w:kern w:val="2"/>
                              <w:szCs w:val="24"/>
                            </w:rPr>
                            <w:t>„</w:t>
                          </w:r>
                          <w:sdt>
                            <w:sdtPr>
                              <w:alias w:val="Numeris"/>
                              <w:tag w:val="nr_2f2f0d82d5a345a7adec52730d7da51b"/>
                              <w:lock w:val="sdtLocked"/>
                              <w:richText/>
                            </w:sdtPr>
                            <w:sdtContent>
                              <w:r>
                                <w:rPr>
                                  <w:b/>
                                  <w:bCs/>
                                  <w:kern w:val="2"/>
                                  <w:szCs w:val="24"/>
                                </w:rPr>
                                <w:t>13</w:t>
                              </w:r>
                            </w:sdtContent>
                          </w:sdt>
                          <w:r>
                            <w:rPr>
                              <w:b/>
                              <w:bCs/>
                              <w:kern w:val="2"/>
                              <w:szCs w:val="24"/>
                            </w:rPr>
                            <w:t xml:space="preserve"> straipsnis. </w:t>
                          </w:r>
                          <w:sdt>
                            <w:sdtPr>
                              <w:alias w:val="Pavadinimas"/>
                              <w:tag w:val="title_2f2f0d82d5a345a7adec52730d7da51b"/>
                              <w:lock w:val="sdtLocked"/>
                              <w:richText/>
                            </w:sdtPr>
                            <w:sdtContent>
                              <w:r>
                                <w:rPr>
                                  <w:b/>
                                  <w:bCs/>
                                  <w:kern w:val="2"/>
                                  <w:szCs w:val="24"/>
                                </w:rPr>
                                <w:t>Architektūriniai konkursai ir teritorijų planavimo ir statinio projektavimo paslaugos</w:t>
                              </w:r>
                            </w:sdtContent>
                          </w:sdt>
                          <w:r>
                            <w:rPr>
                              <w:kern w:val="2"/>
                              <w:szCs w:val="24"/>
                            </w:rPr>
                            <w:t>“.</w:t>
                          </w:r>
                        </w:p>
                      </w:sdtContent>
                    </w:sdt>
                  </w:sdtContent>
                </w:sdt>
              </w:sdtContent>
            </w:sdt>
            <w:sdt>
              <w:sdtPr>
                <w:alias w:val="4 str. 2 d."/>
                <w:tag w:val="part_e4794e416200413a9d62ba9142aa50da"/>
                <w:lock w:val="sdtLocked"/>
                <w:richText/>
              </w:sdtPr>
              <w:sdtContent>
                <w:p>
                  <w:pPr>
                    <w:widowControl w:val="0"/>
                    <w:spacing w:line="360" w:lineRule="auto"/>
                    <w:ind w:firstLine="720"/>
                    <w:jc w:val="both"/>
                    <w:rPr>
                      <w:szCs w:val="24"/>
                    </w:rPr>
                  </w:pPr>
                  <w:sdt>
                    <w:sdtPr>
                      <w:alias w:val="Numeris"/>
                      <w:tag w:val="nr_e4794e416200413a9d62ba9142aa50da"/>
                      <w:lock w:val="sdtLocked"/>
                      <w:richText/>
                    </w:sdtPr>
                    <w:sdtContent>
                      <w:r>
                        <w:rPr>
                          <w:szCs w:val="24"/>
                        </w:rPr>
                        <w:t>2</w:t>
                      </w:r>
                    </w:sdtContent>
                  </w:sdt>
                  <w:r>
                    <w:rPr>
                      <w:szCs w:val="24"/>
                    </w:rPr>
                    <w:t>. Pakeisti 13 straipsnio 2 dalies nuostatą iki dvitaškio ir ją išdėstyti taip:</w:t>
                  </w:r>
                </w:p>
                <w:sdt>
                  <w:sdtPr>
                    <w:alias w:val="citata"/>
                    <w:tag w:val="part_ff00bae61168416394a8c0523ec527a4"/>
                    <w:lock w:val="sdtLocked"/>
                    <w:richText/>
                  </w:sdtPr>
                  <w:sdtContent>
                    <w:sdt>
                      <w:sdtPr>
                        <w:alias w:val="2 d."/>
                        <w:tag w:val="part_d334ad7b50b1496db5b26579854f710f"/>
                        <w:lock w:val="sdtLocked"/>
                        <w:richText/>
                      </w:sdtPr>
                      <w:sdtContent>
                        <w:p>
                          <w:pPr>
                            <w:widowControl w:val="0"/>
                            <w:spacing w:line="360" w:lineRule="auto"/>
                            <w:ind w:firstLine="720"/>
                            <w:jc w:val="both"/>
                            <w:rPr>
                              <w:szCs w:val="24"/>
                            </w:rPr>
                          </w:pPr>
                          <w:r>
                            <w:rPr>
                              <w:szCs w:val="24"/>
                            </w:rPr>
                            <w:t>„</w:t>
                          </w:r>
                          <w:sdt>
                            <w:sdtPr>
                              <w:alias w:val="Numeris"/>
                              <w:tag w:val="nr_d334ad7b50b1496db5b26579854f710f"/>
                              <w:lock w:val="sdtLocked"/>
                              <w:richText/>
                            </w:sdtPr>
                            <w:sdtContent>
                              <w:r>
                                <w:rPr>
                                  <w:szCs w:val="24"/>
                                </w:rPr>
                                <w:t>2</w:t>
                              </w:r>
                            </w:sdtContent>
                          </w:sdt>
                          <w:r>
                            <w:rPr>
                              <w:szCs w:val="24"/>
                            </w:rPr>
                            <w:t xml:space="preserve">. Šio straipsnio 1 dalyje nurodytais objektais, </w:t>
                          </w:r>
                          <w:r>
                            <w:rPr>
                              <w:bCs/>
                              <w:szCs w:val="24"/>
                            </w:rPr>
                            <w:t xml:space="preserve">gavus </w:t>
                          </w:r>
                          <w:r>
                            <w:rPr>
                              <w:szCs w:val="24"/>
                            </w:rPr>
                            <w:t>regioninės architektūros tarybos rekomendaciją,</w:t>
                          </w:r>
                          <w:r>
                            <w:rPr>
                              <w:bCs/>
                              <w:szCs w:val="24"/>
                            </w:rPr>
                            <w:t xml:space="preserve"> </w:t>
                          </w:r>
                          <w:r>
                            <w:rPr>
                              <w:szCs w:val="24"/>
                            </w:rPr>
                            <w:t>savivaldybės tarybos sprendimu pripažįstami:“.</w:t>
                          </w:r>
                        </w:p>
                      </w:sdtContent>
                    </w:sdt>
                  </w:sdtContent>
                </w:sdt>
              </w:sdtContent>
            </w:sdt>
            <w:sdt>
              <w:sdtPr>
                <w:alias w:val="4 str. 3 d."/>
                <w:tag w:val="part_2f637120a6ce429985aeadc4a83ebbbd"/>
                <w:lock w:val="sdtLocked"/>
                <w:richText/>
              </w:sdtPr>
              <w:sdtContent>
                <w:p>
                  <w:pPr>
                    <w:widowControl w:val="0"/>
                    <w:spacing w:line="360" w:lineRule="auto"/>
                    <w:ind w:firstLine="720"/>
                    <w:jc w:val="both"/>
                    <w:rPr>
                      <w:szCs w:val="24"/>
                    </w:rPr>
                  </w:pPr>
                  <w:sdt>
                    <w:sdtPr>
                      <w:alias w:val="Numeris"/>
                      <w:tag w:val="nr_2f637120a6ce429985aeadc4a83ebbbd"/>
                      <w:lock w:val="sdtLocked"/>
                      <w:richText/>
                    </w:sdtPr>
                    <w:sdtContent>
                      <w:r>
                        <w:rPr>
                          <w:szCs w:val="24"/>
                        </w:rPr>
                        <w:t>3</w:t>
                      </w:r>
                    </w:sdtContent>
                  </w:sdt>
                  <w:r>
                    <w:rPr>
                      <w:szCs w:val="24"/>
                    </w:rPr>
                    <w:t>. Pakeisti 13 straipsnio 5 dalį ir ją išdėstyti taip:</w:t>
                  </w:r>
                </w:p>
                <w:sdt>
                  <w:sdtPr>
                    <w:alias w:val="citata"/>
                    <w:tag w:val="part_761ab72580844f50815275a915b4cd22"/>
                    <w:lock w:val="sdtLocked"/>
                    <w:richText/>
                  </w:sdtPr>
                  <w:sdtContent>
                    <w:sdt>
                      <w:sdtPr>
                        <w:alias w:val="5 d."/>
                        <w:tag w:val="part_668817244ba34c8fb00565b70153c1a4"/>
                        <w:lock w:val="sdtLocked"/>
                        <w:richText/>
                      </w:sdtPr>
                      <w:sdtContent>
                        <w:p>
                          <w:pPr>
                            <w:widowControl w:val="0"/>
                            <w:spacing w:line="360" w:lineRule="auto"/>
                            <w:ind w:firstLine="720"/>
                            <w:jc w:val="both"/>
                          </w:pPr>
                          <w:r>
                            <w:t>„</w:t>
                          </w:r>
                          <w:sdt>
                            <w:sdtPr>
                              <w:alias w:val="Numeris"/>
                              <w:tag w:val="nr_668817244ba34c8fb00565b70153c1a4"/>
                              <w:lock w:val="sdtLocked"/>
                              <w:richText/>
                            </w:sdtPr>
                            <w:sdtContent>
                              <w:r>
                                <w:t>5</w:t>
                              </w:r>
                            </w:sdtContent>
                          </w:sdt>
                          <w:r>
                            <w:t>. Šio straipsnio 4 dalyje nurodyti subjektai, vykdydami konkursus, privalo pagal Lietuvos Respublikos architektų rūmų nustatytą tvarką parengti konkurso sąlygas ir iki konkurso pradžios raštu jas suderinti su Lietuvos Respublikos architektų rūmais. Lietuvos Respublikos architektų rūmai konkurso sąlygas derina, jeigu jos</w:t>
                          </w:r>
                          <w:r>
                            <w:rPr>
                              <w:szCs w:val="24"/>
                            </w:rPr>
                            <w:t xml:space="preserve"> suderintos su savivaldybės vyriausiuoju architektu</w:t>
                          </w:r>
                          <w:r>
                            <w:rPr>
                              <w:bCs/>
                            </w:rPr>
                            <w:t xml:space="preserve"> ir</w:t>
                          </w:r>
                          <w:r>
                            <w:t xml:space="preserve"> neprieštarauja šio straipsnio 1 dalyje nurodytiems konkursų rengimo tikslams ir architektūros kokybės siekiui, atsižvelgdami į šio įstatymo 11 straipsnyje nurodytus architektūros kokybės kriterijus.“</w:t>
                          </w:r>
                        </w:p>
                      </w:sdtContent>
                    </w:sdt>
                  </w:sdtContent>
                </w:sdt>
              </w:sdtContent>
            </w:sdt>
            <w:sdt>
              <w:sdtPr>
                <w:alias w:val="4 str. 4 d."/>
                <w:tag w:val="part_581ffd36ca134fda8372772e4f4c7d48"/>
                <w:lock w:val="sdtLocked"/>
                <w:richText/>
              </w:sdtPr>
              <w:sdtContent>
                <w:p>
                  <w:pPr>
                    <w:widowControl w:val="0"/>
                    <w:spacing w:line="360" w:lineRule="auto"/>
                    <w:ind w:firstLine="720"/>
                    <w:jc w:val="both"/>
                    <w:rPr>
                      <w:szCs w:val="24"/>
                    </w:rPr>
                  </w:pPr>
                  <w:sdt>
                    <w:sdtPr>
                      <w:alias w:val="Numeris"/>
                      <w:tag w:val="nr_581ffd36ca134fda8372772e4f4c7d48"/>
                      <w:lock w:val="sdtLocked"/>
                      <w:richText/>
                    </w:sdtPr>
                    <w:sdtContent>
                      <w:r>
                        <w:rPr>
                          <w:szCs w:val="24"/>
                        </w:rPr>
                        <w:t>4</w:t>
                      </w:r>
                    </w:sdtContent>
                  </w:sdt>
                  <w:r>
                    <w:rPr>
                      <w:szCs w:val="24"/>
                    </w:rPr>
                    <w:t>. Papildyti 13 straipsnį 7, 8 ir 9 dalimis:</w:t>
                  </w:r>
                </w:p>
                <w:sdt>
                  <w:sdtPr>
                    <w:alias w:val="citata"/>
                    <w:tag w:val="part_8ad2e3d0cd94489ea538f987f1de31b8"/>
                    <w:lock w:val="sdtLocked"/>
                    <w:richText/>
                  </w:sdtPr>
                  <w:sdtContent>
                    <w:sdt>
                      <w:sdtPr>
                        <w:alias w:val="7 d."/>
                        <w:tag w:val="part_6922d01c5ca546a1a328b7a2307a475d"/>
                        <w:lock w:val="sdtLocked"/>
                        <w:richText/>
                      </w:sdtPr>
                      <w:sdtContent>
                        <w:p>
                          <w:pPr>
                            <w:widowControl w:val="0"/>
                            <w:spacing w:line="360" w:lineRule="auto"/>
                            <w:ind w:firstLine="720"/>
                            <w:jc w:val="both"/>
                            <w:rPr>
                              <w:szCs w:val="24"/>
                            </w:rPr>
                          </w:pPr>
                          <w:r>
                            <w:rPr>
                              <w:szCs w:val="24"/>
                            </w:rPr>
                            <w:t>„</w:t>
                          </w:r>
                          <w:sdt>
                            <w:sdtPr>
                              <w:alias w:val="Numeris"/>
                              <w:tag w:val="nr_6922d01c5ca546a1a328b7a2307a475d"/>
                              <w:lock w:val="sdtLocked"/>
                              <w:richText/>
                            </w:sdtPr>
                            <w:sdtContent>
                              <w:r>
                                <w:rPr>
                                  <w:bCs/>
                                  <w:iCs/>
                                  <w:szCs w:val="24"/>
                                </w:rPr>
                                <w:t>7</w:t>
                              </w:r>
                            </w:sdtContent>
                          </w:sdt>
                          <w:r>
                            <w:rPr>
                              <w:bCs/>
                              <w:iCs/>
                              <w:szCs w:val="24"/>
                            </w:rPr>
                            <w:t xml:space="preserve">. </w:t>
                          </w:r>
                          <w:r>
                            <w:rPr>
                              <w:bCs/>
                              <w:szCs w:val="24"/>
                              <w:lang w:eastAsia="lt-LT"/>
                            </w:rPr>
                            <w:t>Šio straipsnio 3 ir 4 dalyse nurodyti subjektai, rengdami šio straipsnio 1 dalyje nurodytus konkursus, objektus turi įvertinti pagal pirkimo dokumentuose ar konkurso sąlygose nustatytus kriterijus, kurie turi remtis kainos ar sąnaudų ir kokybės santykiu, kaip tai suprantama Viešųjų pirkimų įstatyme.</w:t>
                          </w:r>
                        </w:p>
                      </w:sdtContent>
                    </w:sdt>
                    <w:sdt>
                      <w:sdtPr>
                        <w:alias w:val="8 d."/>
                        <w:tag w:val="part_6625aabafd8042b297df9839b7f0a18e"/>
                        <w:lock w:val="sdtLocked"/>
                        <w:richText/>
                      </w:sdtPr>
                      <w:sdtContent>
                        <w:p>
                          <w:pPr>
                            <w:widowControl w:val="0"/>
                            <w:spacing w:line="360" w:lineRule="auto"/>
                            <w:ind w:firstLine="720"/>
                            <w:jc w:val="both"/>
                            <w:rPr>
                              <w:szCs w:val="24"/>
                            </w:rPr>
                          </w:pPr>
                          <w:sdt>
                            <w:sdtPr>
                              <w:alias w:val="Numeris"/>
                              <w:tag w:val="nr_6625aabafd8042b297df9839b7f0a18e"/>
                              <w:lock w:val="sdtLocked"/>
                              <w:richText/>
                            </w:sdtPr>
                            <w:sdtContent>
                              <w:r>
                                <w:rPr>
                                  <w:bCs/>
                                  <w:szCs w:val="24"/>
                                  <w:lang w:eastAsia="lt-LT"/>
                                </w:rPr>
                                <w:t>8</w:t>
                              </w:r>
                            </w:sdtContent>
                          </w:sdt>
                          <w:r>
                            <w:rPr>
                              <w:bCs/>
                              <w:szCs w:val="24"/>
                              <w:lang w:eastAsia="lt-LT"/>
                            </w:rPr>
                            <w:t>. Jeigu statinio projektavimo paslaugoms pirkti rengiami šio straipsnio 1 dalyje nurodyti konkursai, numatomos lėšos šio statinio meno kūriniams sukurti ir (ar) įsigyti. Jeigu statinio statybai skiriamos valstybės biudžeto lėšos, numatoma ne mažiau kaip 1 procentas lėšų nuo statinio statybos sąmatinės vertės meno kūriniams sukurti ir (ar) įsigyti.</w:t>
                          </w:r>
                        </w:p>
                      </w:sdtContent>
                    </w:sdt>
                    <w:sdt>
                      <w:sdtPr>
                        <w:alias w:val="9 d."/>
                        <w:tag w:val="part_12ae1bd1979742a4b3711c572c8b21b8"/>
                        <w:lock w:val="sdtLocked"/>
                        <w:richText/>
                      </w:sdtPr>
                      <w:sdtContent>
                        <w:p>
                          <w:pPr>
                            <w:widowControl w:val="0"/>
                            <w:spacing w:line="360" w:lineRule="auto"/>
                            <w:ind w:firstLine="720"/>
                            <w:jc w:val="both"/>
                            <w:rPr>
                              <w:szCs w:val="24"/>
                            </w:rPr>
                          </w:pPr>
                          <w:sdt>
                            <w:sdtPr>
                              <w:alias w:val="Numeris"/>
                              <w:tag w:val="nr_12ae1bd1979742a4b3711c572c8b21b8"/>
                              <w:lock w:val="sdtLocked"/>
                              <w:richText/>
                            </w:sdtPr>
                            <w:sdtContent>
                              <w:r>
                                <w:rPr>
                                  <w:bCs/>
                                </w:rPr>
                                <w:t>9</w:t>
                              </w:r>
                            </w:sdtContent>
                          </w:sdt>
                          <w:r>
                            <w:rPr>
                              <w:bCs/>
                            </w:rPr>
                            <w:t>. Jeigu pagal statinio projektavimo paslaugų pirkimo apimtį numatoma rengti statinio projekto</w:t>
                          </w:r>
                          <w:r>
                            <w:rPr>
                              <w:b/>
                            </w:rPr>
                            <w:t xml:space="preserve"> </w:t>
                          </w:r>
                          <w:r>
                            <w:rPr>
                              <w:bCs/>
                            </w:rPr>
                            <w:t xml:space="preserve">architektūrinę dalį, pasirenkamas statinio projektuotojas, pateikęs ekonomiškai naudingiausią pasiūlymą, kuris suprantamas taip, kaip jis apibrėžiamas Viešųjų pirkimų </w:t>
                          </w:r>
                          <w:r>
                            <w:rPr>
                              <w:bCs/>
                              <w:szCs w:val="24"/>
                            </w:rPr>
                            <w:t>įstatymo</w:t>
                          </w:r>
                          <w:r>
                            <w:rPr>
                              <w:szCs w:val="24"/>
                            </w:rPr>
                            <w:t xml:space="preserve"> </w:t>
                          </w:r>
                          <w:r>
                            <w:rPr>
                              <w:bCs/>
                              <w:szCs w:val="24"/>
                            </w:rPr>
                            <w:t>55 straipsnio</w:t>
                          </w:r>
                          <w:r>
                            <w:rPr>
                              <w:szCs w:val="24"/>
                            </w:rPr>
                            <w:t xml:space="preserve"> </w:t>
                          </w:r>
                          <w:r>
                            <w:rPr>
                              <w:bCs/>
                              <w:szCs w:val="24"/>
                            </w:rPr>
                            <w:t>1 dalies 1 punkte</w:t>
                          </w:r>
                          <w:r>
                            <w:rPr>
                              <w:bCs/>
                            </w:rPr>
                            <w:t>.</w:t>
                          </w:r>
                          <w:r>
                            <w:t>“</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810670f1c011ee9f5b8ffa077f9188">
                <w:r w:rsidRPr="00532B9F">
                  <w:rPr>
                    <w:rFonts w:ascii="Times New Roman" w:eastAsia="MS Mincho" w:hAnsi="Times New Roman"/>
                    <w:sz w:val="20"/>
                    <w:i/>
                    <w:iCs/>
                    <w:color w:val="0000FF" w:themeColor="hyperlink"/>
                    <w:u w:val="single"/>
                  </w:rPr>
                  <w:t>XIV-2525</w:t>
                </w:r>
              </w:fldSimple>
              <w:r>
                <w:rPr>
                  <w:rFonts w:ascii="Times New Roman" w:eastAsia="MS Mincho" w:hAnsi="Times New Roman"/>
                  <w:sz w:val="20"/>
                  <w:i/>
                  <w:iCs/>
                </w:rPr>
                <w:t>,
2024-03-28,
paskelbta TAR 2024-04-03, i. k. 2024-06312            </w:t>
              </w:r>
            </w:p>
            <w:p/>
          </w:sdtContent>
        </w:sdt>
        <w:sdt>
          <w:sdtPr>
            <w:alias w:val="5 str."/>
            <w:tag w:val="part_2345c63ef563460a86744d159f89f180"/>
            <w:lock w:val="sdtLocked"/>
            <w:richText/>
          </w:sdtPr>
          <w:sdtContent>
            <w:p>
              <w:pPr>
                <w:widowControl w:val="0"/>
                <w:spacing w:line="360" w:lineRule="auto"/>
                <w:ind w:firstLine="720"/>
                <w:jc w:val="both"/>
                <w:rPr>
                  <w:b/>
                  <w:szCs w:val="24"/>
                </w:rPr>
              </w:pPr>
              <w:sdt>
                <w:sdtPr>
                  <w:alias w:val="Numeris"/>
                  <w:tag w:val="nr_2345c63ef563460a86744d159f89f180"/>
                  <w:lock w:val="sdtLocked"/>
                  <w:richText/>
                </w:sdtPr>
                <w:sdtContent>
                  <w:r>
                    <w:rPr>
                      <w:b/>
                      <w:bCs/>
                      <w:szCs w:val="24"/>
                    </w:rPr>
                    <w:t>5</w:t>
                  </w:r>
                </w:sdtContent>
              </w:sdt>
              <w:r>
                <w:rPr>
                  <w:b/>
                  <w:bCs/>
                  <w:szCs w:val="24"/>
                </w:rPr>
                <w:t xml:space="preserve"> straipsnis. </w:t>
              </w:r>
              <w:sdt>
                <w:sdtPr>
                  <w:alias w:val="Pavadinimas"/>
                  <w:tag w:val="title_2345c63ef563460a86744d159f89f180"/>
                  <w:lock w:val="sdtLocked"/>
                  <w:richText/>
                </w:sdtPr>
                <w:sdtContent>
                  <w:r>
                    <w:rPr>
                      <w:b/>
                      <w:bCs/>
                      <w:szCs w:val="24"/>
                    </w:rPr>
                    <w:t>15 straipsnio pakeitimas</w:t>
                  </w:r>
                </w:sdtContent>
              </w:sdt>
            </w:p>
            <w:sdt>
              <w:sdtPr>
                <w:alias w:val="5 str. 1 d."/>
                <w:tag w:val="part_7d5ad5280ebf44d593719d9ec367df2e"/>
                <w:lock w:val="sdtLocked"/>
                <w:richText/>
              </w:sdtPr>
              <w:sdtContent>
                <w:p>
                  <w:pPr>
                    <w:widowControl w:val="0"/>
                    <w:spacing w:line="360" w:lineRule="auto"/>
                    <w:ind w:firstLine="720"/>
                    <w:jc w:val="both"/>
                    <w:rPr>
                      <w:rFonts w:eastAsia="Calibri"/>
                      <w:szCs w:val="24"/>
                    </w:rPr>
                  </w:pPr>
                  <w:r>
                    <w:rPr>
                      <w:szCs w:val="24"/>
                    </w:rPr>
                    <w:t>Pakeisti 15 straipsnio 1 dalies 4 punktą ir jį išdėstyti taip:</w:t>
                  </w:r>
                </w:p>
                <w:sdt>
                  <w:sdtPr>
                    <w:alias w:val="citata"/>
                    <w:tag w:val="part_f61626b3aeac404fa3439709c204d4a1"/>
                    <w:lock w:val="sdtLocked"/>
                    <w:richText/>
                  </w:sdtPr>
                  <w:sdtContent>
                    <w:sdt>
                      <w:sdtPr>
                        <w:alias w:val="4 p."/>
                        <w:tag w:val="part_a4ca5c64307b4bc6a3b717aef2b7275f"/>
                        <w:lock w:val="sdtLocked"/>
                        <w:richText/>
                      </w:sdtPr>
                      <w:sdtContent>
                        <w:p>
                          <w:pPr>
                            <w:widowControl w:val="0"/>
                            <w:spacing w:line="360" w:lineRule="auto"/>
                            <w:ind w:firstLine="720"/>
                            <w:jc w:val="both"/>
                            <w:rPr>
                              <w:rFonts w:eastAsia="Calibri"/>
                              <w:szCs w:val="24"/>
                            </w:rPr>
                          </w:pPr>
                          <w:r>
                            <w:rPr>
                              <w:szCs w:val="24"/>
                            </w:rPr>
                            <w:t>„</w:t>
                          </w:r>
                          <w:sdt>
                            <w:sdtPr>
                              <w:alias w:val="Numeris"/>
                              <w:tag w:val="nr_a4ca5c64307b4bc6a3b717aef2b7275f"/>
                              <w:lock w:val="sdtLocked"/>
                              <w:richText/>
                            </w:sdtPr>
                            <w:sdtContent>
                              <w:r>
                                <w:rPr>
                                  <w:szCs w:val="24"/>
                                </w:rPr>
                                <w:t>4</w:t>
                              </w:r>
                            </w:sdtContent>
                          </w:sdt>
                          <w:r>
                            <w:rPr>
                              <w:szCs w:val="24"/>
                            </w:rPr>
                            <w:t xml:space="preserve">) </w:t>
                          </w:r>
                          <w:r>
                            <w:rPr>
                              <w:bCs/>
                              <w:szCs w:val="24"/>
                            </w:rPr>
                            <w:t>reglamentuoja architekto profesinės kvalifikacijos, įgytos užsienio valstybėse,</w:t>
                          </w:r>
                          <w:r>
                            <w:rPr>
                              <w:szCs w:val="24"/>
                            </w:rPr>
                            <w:t xml:space="preserve"> </w:t>
                          </w:r>
                          <w:r>
                            <w:rPr>
                              <w:bCs/>
                              <w:szCs w:val="24"/>
                            </w:rPr>
                            <w:t>pripažinimą architektūros valdymo srityje</w:t>
                          </w:r>
                          <w:r>
                            <w:rPr>
                              <w:szCs w:val="24"/>
                            </w:rPr>
                            <w:t>;</w:t>
                          </w:r>
                          <w:r>
                            <w:rPr>
                              <w:rFonts w:eastAsia="Calibri"/>
                              <w:szCs w:val="24"/>
                            </w:rPr>
                            <w:t>“.</w:t>
                          </w:r>
                        </w:p>
                        <w:p>
                          <w:pPr>
                            <w:widowControl w:val="0"/>
                            <w:spacing w:line="360" w:lineRule="auto"/>
                            <w:ind w:firstLine="720"/>
                            <w:jc w:val="both"/>
                            <w:rPr>
                              <w:rFonts w:eastAsia="Calibri"/>
                              <w:szCs w:val="24"/>
                            </w:rPr>
                          </w:pPr>
                        </w:p>
                      </w:sdtContent>
                    </w:sdt>
                  </w:sdtContent>
                </w:sdt>
              </w:sdtContent>
            </w:sdt>
          </w:sdtContent>
        </w:sdt>
        <w:sdt>
          <w:sdtPr>
            <w:alias w:val="6 str."/>
            <w:tag w:val="part_ecb4cda58dd44d1098889e173c665e23"/>
            <w:lock w:val="sdtLocked"/>
            <w:richText/>
          </w:sdtPr>
          <w:sdtContent>
            <w:p>
              <w:pPr>
                <w:widowControl w:val="0"/>
                <w:spacing w:line="360" w:lineRule="auto"/>
                <w:ind w:firstLine="720"/>
                <w:jc w:val="both"/>
                <w:rPr>
                  <w:b/>
                  <w:szCs w:val="24"/>
                </w:rPr>
              </w:pPr>
              <w:sdt>
                <w:sdtPr>
                  <w:alias w:val="Numeris"/>
                  <w:tag w:val="nr_ecb4cda58dd44d1098889e173c665e23"/>
                  <w:lock w:val="sdtLocked"/>
                  <w:richText/>
                </w:sdtPr>
                <w:sdtContent>
                  <w:r>
                    <w:rPr>
                      <w:b/>
                      <w:szCs w:val="24"/>
                    </w:rPr>
                    <w:t>6</w:t>
                  </w:r>
                </w:sdtContent>
              </w:sdt>
              <w:r>
                <w:rPr>
                  <w:b/>
                  <w:szCs w:val="24"/>
                </w:rPr>
                <w:t xml:space="preserve"> straipsnis. </w:t>
              </w:r>
              <w:sdt>
                <w:sdtPr>
                  <w:alias w:val="Pavadinimas"/>
                  <w:tag w:val="title_ecb4cda58dd44d1098889e173c665e23"/>
                  <w:lock w:val="sdtLocked"/>
                  <w:richText/>
                </w:sdtPr>
                <w:sdtContent>
                  <w:r>
                    <w:rPr>
                      <w:b/>
                      <w:szCs w:val="24"/>
                    </w:rPr>
                    <w:t>17 straipsnio pakeitimas</w:t>
                  </w:r>
                </w:sdtContent>
              </w:sdt>
            </w:p>
            <w:sdt>
              <w:sdtPr>
                <w:alias w:val="6 str. 1 d."/>
                <w:tag w:val="part_b8923aac8eb549cf9af04c0379995af9"/>
                <w:lock w:val="sdtLocked"/>
                <w:richText/>
              </w:sdtPr>
              <w:sdtContent>
                <w:p>
                  <w:pPr>
                    <w:widowControl w:val="0"/>
                    <w:spacing w:line="360" w:lineRule="auto"/>
                    <w:ind w:firstLine="720"/>
                    <w:jc w:val="both"/>
                    <w:rPr>
                      <w:rFonts w:eastAsia="Calibri"/>
                      <w:szCs w:val="24"/>
                    </w:rPr>
                  </w:pPr>
                  <w:r>
                    <w:rPr>
                      <w:szCs w:val="24"/>
                    </w:rPr>
                    <w:t>Pakeisti 17 straipsnį ir jį išdėstyti taip:</w:t>
                  </w:r>
                </w:p>
                <w:sdt>
                  <w:sdtPr>
                    <w:alias w:val="citata"/>
                    <w:tag w:val="part_5aa40d42916e4c7eb80f4297f1eb448b"/>
                    <w:lock w:val="sdtLocked"/>
                    <w:richText/>
                  </w:sdtPr>
                  <w:sdtContent>
                    <w:sdt>
                      <w:sdtPr>
                        <w:alias w:val="17 str."/>
                        <w:tag w:val="part_bed33de034664b17931158864ec70d19"/>
                        <w:lock w:val="sdtLocked"/>
                        <w:richText/>
                      </w:sdtPr>
                      <w:sdtContent>
                        <w:p>
                          <w:pPr>
                            <w:widowControl w:val="0"/>
                            <w:spacing w:line="360" w:lineRule="auto"/>
                            <w:ind w:firstLine="720"/>
                            <w:jc w:val="both"/>
                            <w:rPr>
                              <w:rFonts w:eastAsia="Calibri"/>
                              <w:sz w:val="22"/>
                              <w:szCs w:val="22"/>
                            </w:rPr>
                          </w:pPr>
                          <w:r>
                            <w:rPr>
                              <w:szCs w:val="24"/>
                            </w:rPr>
                            <w:t>„</w:t>
                          </w:r>
                          <w:sdt>
                            <w:sdtPr>
                              <w:alias w:val="Numeris"/>
                              <w:tag w:val="nr_bed33de034664b17931158864ec70d19"/>
                              <w:lock w:val="sdtLocked"/>
                              <w:richText/>
                            </w:sdtPr>
                            <w:sdtContent>
                              <w:r>
                                <w:rPr>
                                  <w:b/>
                                  <w:szCs w:val="24"/>
                                </w:rPr>
                                <w:t>17</w:t>
                              </w:r>
                            </w:sdtContent>
                          </w:sdt>
                          <w:r>
                            <w:rPr>
                              <w:b/>
                              <w:szCs w:val="24"/>
                            </w:rPr>
                            <w:t xml:space="preserve"> straipsnis. </w:t>
                          </w:r>
                          <w:sdt>
                            <w:sdtPr>
                              <w:alias w:val="Pavadinimas"/>
                              <w:tag w:val="title_bed33de034664b17931158864ec70d19"/>
                              <w:lock w:val="sdtLocked"/>
                              <w:richText/>
                            </w:sdtPr>
                            <w:sdtContent>
                              <w:r>
                                <w:rPr>
                                  <w:b/>
                                  <w:szCs w:val="24"/>
                                </w:rPr>
                                <w:t>Lietuvos Respublikos architektų rūmų kompetencija</w:t>
                              </w:r>
                            </w:sdtContent>
                          </w:sdt>
                        </w:p>
                        <w:sdt>
                          <w:sdtPr>
                            <w:alias w:val="17 str. 1 d."/>
                            <w:tag w:val="part_1682179df5a144fe96e0c6f1e0040164"/>
                            <w:lock w:val="sdtLocked"/>
                            <w:richText/>
                          </w:sdtPr>
                          <w:sdtContent>
                            <w:p>
                              <w:pPr>
                                <w:widowControl w:val="0"/>
                                <w:spacing w:line="360" w:lineRule="auto"/>
                                <w:ind w:firstLine="720"/>
                                <w:jc w:val="both"/>
                                <w:rPr>
                                  <w:szCs w:val="24"/>
                                </w:rPr>
                              </w:pPr>
                              <w:r>
                                <w:rPr>
                                  <w:szCs w:val="24"/>
                                </w:rPr>
                                <w:t>Šiame įstatyme nustatytas funkcijas</w:t>
                              </w:r>
                              <w:r>
                                <w:rPr>
                                  <w:bCs/>
                                  <w:szCs w:val="24"/>
                                </w:rPr>
                                <w:t>, vadovaujantis Lietuvos Respublikos architektų rūmų įstatymu, Lietuvos Respublikos asociacijų įstatymu, šiuo įstatymu, Civiliniu kodeksu ir kitais teisės aktais</w:t>
                              </w:r>
                              <w:r>
                                <w:rPr>
                                  <w:szCs w:val="24"/>
                                </w:rPr>
                                <w:t xml:space="preserve">, vykdo, architektų profesinę savivaldą įgyvendina ir architektų profesiniams interesams atstovauja viešasis juridinis asmuo – </w:t>
                              </w:r>
                              <w:r>
                                <w:rPr>
                                  <w:rFonts w:eastAsia="Calibri"/>
                                  <w:szCs w:val="24"/>
                                </w:rPr>
                                <w:t>Lietuvos Respublikos architektų rūmai.</w:t>
                              </w:r>
                              <w:r>
                                <w:rPr>
                                  <w:szCs w:val="24"/>
                                </w:rPr>
                                <w:t xml:space="preserve"> </w:t>
                              </w:r>
                              <w:r>
                                <w:rPr>
                                  <w:bCs/>
                                  <w:szCs w:val="24"/>
                                </w:rPr>
                                <w:t>Lietuvos Respublikos architektų rūmai atlieka kompetentingos institucijos funkcijas, nustatytas</w:t>
                              </w:r>
                              <w:r>
                                <w:rPr>
                                  <w:bCs/>
                                  <w:strike/>
                                  <w:szCs w:val="24"/>
                                </w:rPr>
                                <w:t xml:space="preserve"> </w:t>
                              </w:r>
                              <w:r>
                                <w:rPr>
                                  <w:bCs/>
                                  <w:szCs w:val="24"/>
                                </w:rPr>
                                <w:t>Reglamentuojamų profesinių kvalifikacijų pripažinimo įstatyme, išskyrus architekto profesinės kvalifikacijos, įgytos užsienio valstybėje, pripažinimo reglamentavimą</w:t>
                              </w:r>
                              <w:r>
                                <w:rPr>
                                  <w:szCs w:val="24"/>
                                </w:rPr>
                                <w:t xml:space="preserve"> </w:t>
                              </w:r>
                              <w:r>
                                <w:rPr>
                                  <w:bCs/>
                                  <w:szCs w:val="24"/>
                                </w:rPr>
                                <w:t>architektūros valdymo</w:t>
                              </w:r>
                              <w:r>
                                <w:rPr>
                                  <w:szCs w:val="24"/>
                                </w:rPr>
                                <w:t xml:space="preserve"> </w:t>
                              </w:r>
                              <w:r>
                                <w:rPr>
                                  <w:bCs/>
                                  <w:szCs w:val="24"/>
                                </w:rPr>
                                <w:t>srityje.</w:t>
                              </w:r>
                              <w:r>
                                <w:rPr>
                                  <w:szCs w:val="24"/>
                                </w:rPr>
                                <w:t>“</w:t>
                              </w:r>
                            </w:p>
                            <w:p>
                              <w:pPr>
                                <w:widowControl w:val="0"/>
                                <w:spacing w:line="360" w:lineRule="auto"/>
                                <w:ind w:firstLine="720"/>
                                <w:jc w:val="both"/>
                                <w:rPr>
                                  <w:szCs w:val="24"/>
                                </w:rPr>
                              </w:pPr>
                            </w:p>
                          </w:sdtContent>
                        </w:sdt>
                      </w:sdtContent>
                    </w:sdt>
                  </w:sdtContent>
                </w:sdt>
              </w:sdtContent>
            </w:sdt>
          </w:sdtContent>
        </w:sdt>
        <w:sdt>
          <w:sdtPr>
            <w:alias w:val="7 str."/>
            <w:tag w:val="part_004060041be545028c2354a3734e281e"/>
            <w:lock w:val="sdtLocked"/>
            <w:richText/>
          </w:sdtPr>
          <w:sdtContent>
            <w:p>
              <w:pPr>
                <w:widowControl w:val="0"/>
                <w:spacing w:line="360" w:lineRule="auto"/>
                <w:ind w:firstLine="720"/>
                <w:jc w:val="both"/>
                <w:rPr>
                  <w:rFonts w:eastAsia="Calibri"/>
                  <w:b/>
                  <w:bCs/>
                  <w:szCs w:val="24"/>
                </w:rPr>
              </w:pPr>
              <w:sdt>
                <w:sdtPr>
                  <w:alias w:val="Numeris"/>
                  <w:tag w:val="nr_004060041be545028c2354a3734e281e"/>
                  <w:lock w:val="sdtLocked"/>
                  <w:richText/>
                </w:sdtPr>
                <w:sdtContent>
                  <w:r>
                    <w:rPr>
                      <w:rFonts w:eastAsia="Calibri"/>
                      <w:b/>
                      <w:bCs/>
                      <w:szCs w:val="24"/>
                    </w:rPr>
                    <w:t>7</w:t>
                  </w:r>
                </w:sdtContent>
              </w:sdt>
              <w:r>
                <w:rPr>
                  <w:rFonts w:eastAsia="Calibri"/>
                  <w:b/>
                  <w:bCs/>
                  <w:szCs w:val="24"/>
                </w:rPr>
                <w:t xml:space="preserve"> straipsnis. </w:t>
              </w:r>
              <w:sdt>
                <w:sdtPr>
                  <w:alias w:val="Pavadinimas"/>
                  <w:tag w:val="title_004060041be545028c2354a3734e281e"/>
                  <w:lock w:val="sdtLocked"/>
                  <w:richText/>
                </w:sdtPr>
                <w:sdtContent>
                  <w:r>
                    <w:rPr>
                      <w:rFonts w:eastAsia="Calibri"/>
                      <w:b/>
                      <w:bCs/>
                      <w:szCs w:val="24"/>
                    </w:rPr>
                    <w:t>18 straipsnio pakeitimas</w:t>
                  </w:r>
                </w:sdtContent>
              </w:sdt>
            </w:p>
            <w:sdt>
              <w:sdtPr>
                <w:alias w:val="7 str. 1 d."/>
                <w:tag w:val="part_cc94296117f249f19aa074f9c5a9d06e"/>
                <w:lock w:val="sdtLocked"/>
                <w:richText/>
              </w:sdtPr>
              <w:sdtContent>
                <w:p>
                  <w:pPr>
                    <w:widowControl w:val="0"/>
                    <w:spacing w:line="360" w:lineRule="auto"/>
                    <w:ind w:firstLine="720"/>
                    <w:jc w:val="both"/>
                  </w:pPr>
                  <w:sdt>
                    <w:sdtPr>
                      <w:alias w:val="Numeris"/>
                      <w:tag w:val="nr_cc94296117f249f19aa074f9c5a9d06e"/>
                      <w:lock w:val="sdtLocked"/>
                      <w:richText/>
                    </w:sdtPr>
                    <w:sdtContent>
                      <w:r>
                        <w:t>1</w:t>
                      </w:r>
                    </w:sdtContent>
                  </w:sdt>
                  <w:r>
                    <w:t xml:space="preserve">. Pakeisti 18 straipsnio 4 dalies </w:t>
                  </w:r>
                  <w:r>
                    <w:rPr>
                      <w:bCs/>
                    </w:rPr>
                    <w:t>nuostatą iki dvitaškio</w:t>
                  </w:r>
                  <w:r>
                    <w:t xml:space="preserve"> ir ją išdėstyti taip:</w:t>
                  </w:r>
                </w:p>
                <w:sdt>
                  <w:sdtPr>
                    <w:alias w:val="citata"/>
                    <w:tag w:val="part_fa386d7dd981463387dd626fb1969817"/>
                    <w:lock w:val="sdtLocked"/>
                    <w:richText/>
                  </w:sdtPr>
                  <w:sdtContent>
                    <w:sdt>
                      <w:sdtPr>
                        <w:alias w:val="4 d."/>
                        <w:tag w:val="part_81f9ce52fa9d4258a7001b92902ade22"/>
                        <w:lock w:val="sdtLocked"/>
                        <w:richText/>
                      </w:sdtPr>
                      <w:sdtContent>
                        <w:p>
                          <w:pPr>
                            <w:widowControl w:val="0"/>
                            <w:spacing w:line="360" w:lineRule="auto"/>
                            <w:ind w:firstLine="720"/>
                            <w:jc w:val="both"/>
                          </w:pPr>
                          <w:r>
                            <w:t>„</w:t>
                          </w:r>
                          <w:sdt>
                            <w:sdtPr>
                              <w:alias w:val="Numeris"/>
                              <w:tag w:val="nr_81f9ce52fa9d4258a7001b92902ade22"/>
                              <w:lock w:val="sdtLocked"/>
                              <w:richText/>
                            </w:sdtPr>
                            <w:sdtContent>
                              <w:r>
                                <w:t>4</w:t>
                              </w:r>
                            </w:sdtContent>
                          </w:sdt>
                          <w:r>
                            <w:t>. Regioninių architektūros tarybų nuostatus ir sudėtį, suderinusi su Lietuvos Respublikos aplinkos ministerija ir Lietuvos Respublikos kultūros ministerija, tvirtina Lietuvos Respublikos architektų rūmų taryba. Regioninių architektūros tarybų nariais a</w:t>
                          </w:r>
                          <w:r>
                            <w:rPr>
                              <w:shd w:val="clear" w:color="auto" w:fill="FFFFFF"/>
                            </w:rPr>
                            <w:t>smenys gali būti renkami ar skiriami ne daugiau kaip dviem kadencijoms iš eilės.</w:t>
                          </w:r>
                          <w:r>
                            <w:t xml:space="preserve"> Regioninės architektūros tarybos nariai išsirenka tarybos pirmininką. Regioninių architektūros tarybų nuostatuose nustatoma tarybų darbo tvarka, tarybų išvadų ir (ar) rekomendacijų kokybiniai reikalavimai, tarybų posėdžių organizavimo, techninio aptarnavimo ir tarybų narių darbo apmokėjimo tvarka,</w:t>
                          </w:r>
                          <w:r>
                            <w:rPr>
                              <w:bCs/>
                            </w:rPr>
                            <w:t xml:space="preserve"> </w:t>
                          </w:r>
                          <w:r>
                            <w:t xml:space="preserve">tarybų narių rotacijos tarybos viduje ir tarp skirtingų regioninių architektūros tarybų tvarka, tarybų narių teisės ir pareigos, nusišalinimo ir atšaukimo tvarka. Regioninių architektūros tarybų nuostatuose nustatoma nusišalinimo nuo sprendimų priėmimo ir asmenų teisės kreiptis į Lietuvos Respublikos architektų rūmus, jeigu regioninių architektūros </w:t>
                          </w:r>
                          <w:r>
                            <w:rPr>
                              <w:bCs/>
                              <w:iCs/>
                              <w:bdr w:val="none" w:sz="0" w:space="0" w:color="auto" w:frame="1"/>
                            </w:rPr>
                            <w:t xml:space="preserve">tarybų nariai nevykdė </w:t>
                          </w:r>
                          <w:r>
                            <w:t xml:space="preserve">šioje dalyje įtvirtintos prievolės nusišalinti nuo sprendimų priėmimo, įgyvendinimo tvarka. Regioninių architektūros </w:t>
                          </w:r>
                          <w:r>
                            <w:rPr>
                              <w:bCs/>
                              <w:iCs/>
                              <w:bdr w:val="none" w:sz="0" w:space="0" w:color="auto" w:frame="1"/>
                            </w:rPr>
                            <w:t>tarybų nariai privalo nusišalinti, kai gali kilti interesų konfliktas dėl šiose tarybose nagrinėjamų klausimų,</w:t>
                          </w:r>
                          <w:r>
                            <w:rPr>
                              <w:bCs/>
                            </w:rPr>
                            <w:t xml:space="preserve"> </w:t>
                          </w:r>
                          <w:r>
                            <w:t>jeigu:“.</w:t>
                          </w:r>
                        </w:p>
                      </w:sdtContent>
                    </w:sdt>
                  </w:sdtContent>
                </w:sdt>
              </w:sdtContent>
            </w:sdt>
            <w:sdt>
              <w:sdtPr>
                <w:alias w:val="7 str. 2 d."/>
                <w:tag w:val="part_6b4377f0f1a44ef5a8f34e86d65de441"/>
                <w:lock w:val="sdtLocked"/>
                <w:richText/>
              </w:sdtPr>
              <w:sdtContent>
                <w:p>
                  <w:pPr>
                    <w:widowControl w:val="0"/>
                    <w:spacing w:line="360" w:lineRule="auto"/>
                    <w:ind w:firstLine="720"/>
                    <w:jc w:val="both"/>
                  </w:pPr>
                  <w:sdt>
                    <w:sdtPr>
                      <w:alias w:val="Numeris"/>
                      <w:tag w:val="nr_6b4377f0f1a44ef5a8f34e86d65de441"/>
                      <w:lock w:val="sdtLocked"/>
                      <w:richText/>
                    </w:sdtPr>
                    <w:sdtContent>
                      <w:r>
                        <w:t>2</w:t>
                      </w:r>
                    </w:sdtContent>
                  </w:sdt>
                  <w:r>
                    <w:t>. Pakeisti 18 straipsnio 13 dalį ir ją išdėstyti taip:</w:t>
                  </w:r>
                </w:p>
                <w:sdt>
                  <w:sdtPr>
                    <w:alias w:val="citata"/>
                    <w:tag w:val="part_5bf738e0d71f4a97a6a1a9408a28c772"/>
                    <w:lock w:val="sdtLocked"/>
                    <w:richText/>
                  </w:sdtPr>
                  <w:sdtContent>
                    <w:sdt>
                      <w:sdtPr>
                        <w:alias w:val="13 d."/>
                        <w:tag w:val="part_7bf75ca0d5434b12abe89aabb7fbe4d5"/>
                        <w:lock w:val="sdtLocked"/>
                        <w:richText/>
                      </w:sdtPr>
                      <w:sdtContent>
                        <w:p>
                          <w:pPr>
                            <w:widowControl w:val="0"/>
                            <w:spacing w:line="360" w:lineRule="auto"/>
                            <w:ind w:firstLine="720"/>
                            <w:jc w:val="both"/>
                          </w:pPr>
                          <w:r>
                            <w:t>„</w:t>
                          </w:r>
                          <w:sdt>
                            <w:sdtPr>
                              <w:alias w:val="Numeris"/>
                              <w:tag w:val="nr_7bf75ca0d5434b12abe89aabb7fbe4d5"/>
                              <w:lock w:val="sdtLocked"/>
                              <w:richText/>
                            </w:sdtPr>
                            <w:sdtContent>
                              <w:r>
                                <w:t>13</w:t>
                              </w:r>
                            </w:sdtContent>
                          </w:sdt>
                          <w:r>
                            <w:t xml:space="preserve">. Regioninės architektūros tarybos posėdžiuose </w:t>
                          </w:r>
                          <w:r>
                            <w:rPr>
                              <w:lang w:eastAsia="en-GB"/>
                            </w:rPr>
                            <w:t xml:space="preserve">pagal šio straipsnio 3 dalies nuostatas rotacijos principu dalyvauja ir </w:t>
                          </w:r>
                          <w:r>
                            <w:t>pasiūlymus</w:t>
                          </w:r>
                          <w:r>
                            <w:rPr>
                              <w:b/>
                            </w:rPr>
                            <w:t xml:space="preserve"> </w:t>
                          </w:r>
                          <w:r>
                            <w:rPr>
                              <w:bCs/>
                            </w:rPr>
                            <w:t xml:space="preserve">regioninės architektūros tarybos </w:t>
                          </w:r>
                          <w:r>
                            <w:rPr>
                              <w:bCs/>
                              <w:lang w:eastAsia="en-GB"/>
                            </w:rPr>
                            <w:t>bendrai išvadai parengti</w:t>
                          </w:r>
                          <w:r>
                            <w:rPr>
                              <w:lang w:eastAsia="en-GB"/>
                            </w:rPr>
                            <w:t xml:space="preserve"> teikia ne daugiau kaip 13 tarybos narių.“</w:t>
                          </w:r>
                          <w:r>
                            <w:t xml:space="preserve"> </w:t>
                          </w:r>
                        </w:p>
                        <w:p>
                          <w:pPr>
                            <w:widowControl w:val="0"/>
                            <w:spacing w:line="360" w:lineRule="auto"/>
                            <w:ind w:firstLine="720"/>
                            <w:jc w:val="both"/>
                          </w:pPr>
                        </w:p>
                      </w:sdtContent>
                    </w:sdt>
                  </w:sdtContent>
                </w:sdt>
              </w:sdtContent>
            </w:sdt>
          </w:sdtContent>
        </w:sdt>
        <w:sdt>
          <w:sdtPr>
            <w:alias w:val="8 str."/>
            <w:tag w:val="part_9f17c7cef4204cfab5806d9dc95006b6"/>
            <w:lock w:val="sdtLocked"/>
            <w:richText/>
          </w:sdtPr>
          <w:sdtContent>
            <w:p>
              <w:pPr>
                <w:widowControl w:val="0"/>
                <w:spacing w:line="360" w:lineRule="auto"/>
                <w:ind w:firstLine="720"/>
                <w:jc w:val="both"/>
                <w:rPr>
                  <w:b/>
                  <w:szCs w:val="24"/>
                </w:rPr>
              </w:pPr>
              <w:sdt>
                <w:sdtPr>
                  <w:alias w:val="Numeris"/>
                  <w:tag w:val="nr_9f17c7cef4204cfab5806d9dc95006b6"/>
                  <w:lock w:val="sdtLocked"/>
                  <w:richText/>
                </w:sdtPr>
                <w:sdtContent>
                  <w:r>
                    <w:rPr>
                      <w:rFonts w:eastAsia="Calibri"/>
                      <w:b/>
                      <w:szCs w:val="24"/>
                    </w:rPr>
                    <w:t>8</w:t>
                  </w:r>
                </w:sdtContent>
              </w:sdt>
              <w:r>
                <w:rPr>
                  <w:rFonts w:eastAsia="Calibri"/>
                  <w:b/>
                  <w:szCs w:val="24"/>
                </w:rPr>
                <w:t xml:space="preserve"> </w:t>
              </w:r>
              <w:r>
                <w:rPr>
                  <w:b/>
                  <w:szCs w:val="24"/>
                </w:rPr>
                <w:t>straipsnis</w:t>
              </w:r>
              <w:r>
                <w:rPr>
                  <w:rFonts w:eastAsia="Calibri"/>
                  <w:b/>
                  <w:szCs w:val="24"/>
                </w:rPr>
                <w:t xml:space="preserve">. </w:t>
              </w:r>
              <w:sdt>
                <w:sdtPr>
                  <w:alias w:val="Pavadinimas"/>
                  <w:tag w:val="title_9f17c7cef4204cfab5806d9dc95006b6"/>
                  <w:lock w:val="sdtLocked"/>
                  <w:richText/>
                </w:sdtPr>
                <w:sdtContent>
                  <w:r>
                    <w:rPr>
                      <w:rFonts w:eastAsia="Calibri"/>
                      <w:b/>
                      <w:szCs w:val="24"/>
                    </w:rPr>
                    <w:t>Įstatymo įsigaliojimas, įgyvendinimas ir taikymas</w:t>
                  </w:r>
                </w:sdtContent>
              </w:sdt>
            </w:p>
            <w:sdt>
              <w:sdtPr>
                <w:alias w:val="8 str. 1 d."/>
                <w:tag w:val="part_32645576a65648658599d97e5f043fdc"/>
                <w:lock w:val="sdtLocked"/>
                <w:richText/>
              </w:sdtPr>
              <w:sdtContent>
                <w:p>
                  <w:pPr>
                    <w:widowControl w:val="0"/>
                    <w:spacing w:line="360" w:lineRule="auto"/>
                    <w:ind w:firstLine="720"/>
                    <w:jc w:val="both"/>
                  </w:pPr>
                  <w:sdt>
                    <w:sdtPr>
                      <w:alias w:val="Numeris"/>
                      <w:tag w:val="nr_32645576a65648658599d97e5f043fdc"/>
                      <w:lock w:val="sdtLocked"/>
                      <w:richText/>
                    </w:sdtPr>
                    <w:sdtContent>
                      <w:r>
                        <w:rPr>
                          <w:rFonts w:eastAsia="Calibri"/>
                        </w:rPr>
                        <w:t>1</w:t>
                      </w:r>
                    </w:sdtContent>
                  </w:sdt>
                  <w:r>
                    <w:rPr>
                      <w:rFonts w:eastAsia="Calibri"/>
                    </w:rPr>
                    <w:t xml:space="preserve">. </w:t>
                  </w:r>
                  <w:r>
                    <w:t>Šis įstatymas, išskyrus šio straipsnio 2 ir 4 dalis, įsigalioja 2024 m. gegužės 1 d.</w:t>
                  </w:r>
                </w:p>
              </w:sdtContent>
            </w:sdt>
            <w:sdt>
              <w:sdtPr>
                <w:alias w:val="8 str. 2 d."/>
                <w:tag w:val="part_c0ce84dedc3841f2b39c8f6b626bad31"/>
                <w:lock w:val="sdtLocked"/>
                <w:richText/>
              </w:sdtPr>
              <w:sdtContent>
                <w:p>
                  <w:pPr>
                    <w:widowControl w:val="0"/>
                    <w:spacing w:line="360" w:lineRule="auto"/>
                    <w:ind w:firstLine="720"/>
                    <w:jc w:val="both"/>
                    <w:rPr>
                      <w:lang w:eastAsia="en-GB"/>
                    </w:rPr>
                  </w:pPr>
                  <w:sdt>
                    <w:sdtPr>
                      <w:alias w:val="Numeris"/>
                      <w:tag w:val="nr_c0ce84dedc3841f2b39c8f6b626bad31"/>
                      <w:lock w:val="sdtLocked"/>
                      <w:richText/>
                    </w:sdtPr>
                    <w:sdtContent>
                      <w:r>
                        <w:t>2</w:t>
                      </w:r>
                    </w:sdtContent>
                  </w:sdt>
                  <w:r>
                    <w:t xml:space="preserve">. Aplinkos ministras ir </w:t>
                  </w:r>
                  <w:r>
                    <w:rPr>
                      <w:lang w:eastAsia="en-GB"/>
                    </w:rPr>
                    <w:t xml:space="preserve">Lietuvos Respublikos architektų rūmai iki </w:t>
                  </w:r>
                  <w:r>
                    <w:t>2024 m. balandžio 30 d.</w:t>
                  </w:r>
                  <w:r>
                    <w:rPr>
                      <w:lang w:eastAsia="en-GB"/>
                    </w:rPr>
                    <w:t xml:space="preserve"> priima šio įstatymo įgyvendinamuosius teisės aktus.</w:t>
                  </w:r>
                </w:p>
              </w:sdtContent>
            </w:sdt>
            <w:sdt>
              <w:sdtPr>
                <w:alias w:val="8 str. 3 d."/>
                <w:tag w:val="part_0054614571684a529932a97e2c77cb6f"/>
                <w:lock w:val="sdtLocked"/>
                <w:richText/>
              </w:sdtPr>
              <w:sdtContent>
                <w:p>
                  <w:pPr>
                    <w:spacing w:line="360" w:lineRule="auto"/>
                    <w:ind w:firstLine="720"/>
                    <w:jc w:val="both"/>
                    <w:rPr>
                      <w:rFonts w:eastAsia="Lucida Sans Unicode"/>
                      <w:szCs w:val="24"/>
                    </w:rPr>
                  </w:pPr>
                  <w:r>
                    <w:rPr>
                      <w:kern w:val="2"/>
                      <w:szCs w:val="24"/>
                      <w:lang w:eastAsia="en-GB"/>
                    </w:rPr>
                    <w:t xml:space="preserve">3. </w:t>
                  </w:r>
                  <w:r>
                    <w:rPr>
                      <w:rFonts w:eastAsia="Lucida Sans Unicode"/>
                      <w:kern w:val="2"/>
                      <w:szCs w:val="24"/>
                    </w:rPr>
                    <w:t xml:space="preserve">Šio įstatymo 4 straipsnio </w:t>
                  </w:r>
                  <w:r>
                    <w:rPr>
                      <w:rFonts w:eastAsia="Lucida Sans Unicode"/>
                      <w:bCs/>
                      <w:kern w:val="2"/>
                      <w:szCs w:val="24"/>
                    </w:rPr>
                    <w:t>4</w:t>
                  </w:r>
                  <w:r>
                    <w:rPr>
                      <w:rFonts w:eastAsia="Lucida Sans Unicode"/>
                      <w:b/>
                      <w:bCs/>
                      <w:kern w:val="2"/>
                      <w:szCs w:val="24"/>
                    </w:rPr>
                    <w:t xml:space="preserve"> </w:t>
                  </w:r>
                  <w:r>
                    <w:rPr>
                      <w:rFonts w:eastAsia="Lucida Sans Unicode"/>
                      <w:kern w:val="2"/>
                      <w:szCs w:val="24"/>
                    </w:rPr>
                    <w:t>dalyje iš</w:t>
                  </w:r>
                  <w:r>
                    <w:rPr>
                      <w:kern w:val="2"/>
                      <w:szCs w:val="24"/>
                      <w:lang w:eastAsia="lt-LT"/>
                    </w:rPr>
                    <w:t xml:space="preserve">dėstytos </w:t>
                  </w:r>
                  <w:r>
                    <w:rPr>
                      <w:kern w:val="2"/>
                      <w:szCs w:val="24"/>
                      <w:lang w:eastAsia="en-GB"/>
                    </w:rPr>
                    <w:t xml:space="preserve">Lietuvos Respublikos </w:t>
                  </w:r>
                  <w:r>
                    <w:rPr>
                      <w:kern w:val="2"/>
                      <w:szCs w:val="24"/>
                      <w:lang w:eastAsia="lt-LT"/>
                    </w:rPr>
                    <w:t xml:space="preserve">architektūros įstatymo 13 straipsnio 7, 8 ir 9 dalių </w:t>
                  </w:r>
                  <w:r>
                    <w:rPr>
                      <w:rFonts w:eastAsia="Lucida Sans Unicode"/>
                      <w:kern w:val="2"/>
                      <w:szCs w:val="24"/>
                    </w:rPr>
                    <w:t>nuostatos netaikomos konkursams, pradėtiems vykdyti iki šio įstatymo įsigaliojimo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810670f1c011ee9f5b8ffa077f9188">
                    <w:r w:rsidRPr="00532B9F">
                      <w:rPr>
                        <w:rFonts w:ascii="Times New Roman" w:eastAsia="MS Mincho" w:hAnsi="Times New Roman"/>
                        <w:sz w:val="20"/>
                        <w:i/>
                        <w:iCs/>
                        <w:color w:val="0000FF" w:themeColor="hyperlink"/>
                        <w:u w:val="single"/>
                      </w:rPr>
                      <w:t>XIV-2525</w:t>
                    </w:r>
                  </w:fldSimple>
                  <w:r>
                    <w:rPr>
                      <w:rFonts w:ascii="Times New Roman" w:eastAsia="MS Mincho" w:hAnsi="Times New Roman"/>
                      <w:sz w:val="20"/>
                      <w:i/>
                      <w:iCs/>
                    </w:rPr>
                    <w:t>,
2024-03-28,
paskelbta TAR 2024-04-03, i. k. 2024-06312            </w:t>
                  </w:r>
                </w:p>
                <w:p/>
              </w:sdtContent>
            </w:sdt>
            <w:sdt>
              <w:sdtPr>
                <w:alias w:val="8 str. 4 d."/>
                <w:tag w:val="part_0127022fe8a5433d99820e40a5e1ee9f"/>
                <w:lock w:val="sdtLocked"/>
                <w:richText/>
              </w:sdtPr>
              <w:sdtContent>
                <w:p>
                  <w:pPr>
                    <w:widowControl w:val="0"/>
                    <w:spacing w:line="360" w:lineRule="auto"/>
                    <w:ind w:firstLine="720"/>
                    <w:jc w:val="both"/>
                    <w:rPr>
                      <w:rFonts w:eastAsia="Lucida Sans Unicode"/>
                      <w:szCs w:val="24"/>
                    </w:rPr>
                  </w:pPr>
                  <w:sdt>
                    <w:sdtPr>
                      <w:alias w:val="Numeris"/>
                      <w:tag w:val="nr_0127022fe8a5433d99820e40a5e1ee9f"/>
                      <w:lock w:val="sdtLocked"/>
                      <w:richText/>
                    </w:sdtPr>
                    <w:sdtContent>
                      <w:r>
                        <w:rPr>
                          <w:rFonts w:eastAsia="Lucida Sans Unicode"/>
                          <w:szCs w:val="24"/>
                        </w:rPr>
                        <w:t>4</w:t>
                      </w:r>
                    </w:sdtContent>
                  </w:sdt>
                  <w:r>
                    <w:rPr>
                      <w:rFonts w:eastAsia="Lucida Sans Unicode"/>
                      <w:szCs w:val="24"/>
                    </w:rPr>
                    <w:t xml:space="preserve">. Šio įstatymo </w:t>
                  </w:r>
                  <w:r>
                    <w:rPr>
                      <w:szCs w:val="24"/>
                      <w:lang w:eastAsia="lt-LT"/>
                    </w:rPr>
                    <w:t xml:space="preserve">3 straipsnyje išdėstyto Architektūros įstatymo 11 straipsnio </w:t>
                  </w:r>
                  <w:r>
                    <w:rPr>
                      <w:lang w:eastAsia="lt-LT"/>
                    </w:rPr>
                    <w:t>6 dalies nuostata dėl savivaldybių tarybų patvirtintų Architektūros kokybės vertinimo metodikos taikymo gairių taikoma nuo</w:t>
                  </w:r>
                  <w:r>
                    <w:rPr>
                      <w:b/>
                      <w:bCs/>
                      <w:lang w:eastAsia="lt-LT"/>
                    </w:rPr>
                    <w:t xml:space="preserve"> </w:t>
                  </w:r>
                  <w:r>
                    <w:rPr>
                      <w:szCs w:val="24"/>
                      <w:lang w:eastAsia="lt-LT"/>
                    </w:rPr>
                    <w:t>2025 m. sausio 1 d. Savivaldybių tarybos iki 2024 gruodžio 31 d. priima šiai nuostatai įgyvendinti reikalingus teisės aktus.</w:t>
                  </w:r>
                </w:p>
              </w:sdtContent>
            </w:sdt>
            <w:sdt>
              <w:sdtPr>
                <w:alias w:val="8 str. 5 d."/>
                <w:tag w:val="part_3fb6b97d82394e5cb1dadd6716f4fc05"/>
                <w:lock w:val="sdtLocked"/>
                <w:richText/>
              </w:sdtPr>
              <w:sdtContent>
                <w:p>
                  <w:pPr>
                    <w:widowControl w:val="0"/>
                    <w:spacing w:line="360" w:lineRule="auto"/>
                    <w:ind w:firstLine="720"/>
                    <w:jc w:val="both"/>
                    <w:rPr>
                      <w:rFonts w:eastAsia="Lucida Sans Unicode"/>
                    </w:rPr>
                  </w:pPr>
                  <w:sdt>
                    <w:sdtPr>
                      <w:alias w:val="Numeris"/>
                      <w:tag w:val="nr_3fb6b97d82394e5cb1dadd6716f4fc05"/>
                      <w:lock w:val="sdtLocked"/>
                      <w:richText/>
                    </w:sdtPr>
                    <w:sdtContent>
                      <w:r>
                        <w:rPr>
                          <w:szCs w:val="24"/>
                          <w:lang w:eastAsia="lt-LT"/>
                        </w:rPr>
                        <w:t>5</w:t>
                      </w:r>
                    </w:sdtContent>
                  </w:sdt>
                  <w:r>
                    <w:rPr>
                      <w:szCs w:val="24"/>
                      <w:lang w:eastAsia="lt-LT"/>
                    </w:rPr>
                    <w:t xml:space="preserve">. Iki savivaldybių tarybos patvirtins </w:t>
                  </w:r>
                  <w:r>
                    <w:rPr>
                      <w:rFonts w:eastAsia="Lucida Sans Unicode"/>
                      <w:bCs/>
                      <w:iCs/>
                      <w:szCs w:val="24"/>
                    </w:rPr>
                    <w:t xml:space="preserve">Architektūros kokybės vertinimo metodikos taikymo </w:t>
                  </w:r>
                  <w:r>
                    <w:rPr>
                      <w:szCs w:val="24"/>
                      <w:lang w:eastAsia="lt-LT"/>
                    </w:rPr>
                    <w:t xml:space="preserve">gaires, vadovaujamasi </w:t>
                  </w:r>
                  <w:r>
                    <w:rPr>
                      <w:rFonts w:eastAsia="Lucida Sans Unicode"/>
                      <w:szCs w:val="24"/>
                    </w:rPr>
                    <w:t xml:space="preserve">šio įstatymo </w:t>
                  </w:r>
                  <w:r>
                    <w:rPr>
                      <w:szCs w:val="24"/>
                      <w:lang w:eastAsia="lt-LT"/>
                    </w:rPr>
                    <w:t xml:space="preserve">3 straipsnyje išdėstyto Architektūros įstatymo 11 straipsnio 3 dalyje nurodyta </w:t>
                  </w:r>
                  <w:r>
                    <w:rPr>
                      <w:rFonts w:eastAsia="Lucida Sans Unicode"/>
                      <w:bCs/>
                      <w:iCs/>
                      <w:szCs w:val="24"/>
                    </w:rPr>
                    <w:t xml:space="preserve">Architektūros kokybės vertinimo </w:t>
                  </w:r>
                  <w:r>
                    <w:rPr>
                      <w:szCs w:val="24"/>
                      <w:lang w:eastAsia="lt-LT"/>
                    </w:rPr>
                    <w:t>metodika.</w:t>
                  </w:r>
                </w:p>
                <w:p>
                  <w:pPr>
                    <w:spacing w:line="360" w:lineRule="auto"/>
                    <w:ind w:firstLine="720"/>
                    <w:jc w:val="both"/>
                    <w:rPr>
                      <w:i/>
                      <w:szCs w:val="24"/>
                    </w:rPr>
                  </w:pPr>
                </w:p>
              </w:sdtContent>
            </w:sdt>
          </w:sdtContent>
        </w:sdt>
        <w:sdt>
          <w:sdtPr>
            <w:alias w:val="signatura"/>
            <w:tag w:val="part_dd272b4067b94bf8824d2af202163fd9"/>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3810670f1c011ee9f5b8ffa077f9188">
            <w:r w:rsidRPr="00532B9F">
              <w:rPr>
                <w:rFonts w:ascii="Times New Roman" w:eastAsia="MS Mincho" w:hAnsi="Times New Roman"/>
                <w:sz w:val="20"/>
                <w:iCs/>
                <w:color w:val="0000FF" w:themeColor="hyperlink"/>
                <w:u w:val="single"/>
              </w:rPr>
              <w:t>XIV-2525</w:t>
            </w:r>
          </w:fldSimple>
          <w:r>
            <w:rPr>
              <w:rFonts w:ascii="Times New Roman" w:eastAsia="MS Mincho" w:hAnsi="Times New Roman"/>
              <w:sz w:val="20"/>
              <w:iCs/>
            </w:rPr>
            <w:t>,
2024-03-28,
paskelbta TAR 2024-04-03, i. k. 2024-06312                </w:t>
          </w:r>
        </w:p>
        <w:p>
          <w:pPr>
            <w:jc w:val="both"/>
            <w:rPr>
              <w:rFonts w:ascii="Times New Roman" w:hAnsi="Times New Roman"/>
            </w:rPr>
          </w:pPr>
          <w:r>
            <w:rPr>
              <w:rFonts w:ascii="Times New Roman" w:hAnsi="Times New Roman"/>
              <w:sz w:val="20"/>
            </w:rPr>
            <w:t>Lietuvos Respublikos architektūros įstatymo Nr. XIII-425 7, 10, 11, 13, 15, 17 ir 18 straipsnių pakeitimo įstatymo Nr. XIV-2416 4 ir 8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7441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03A0D15"/>
  <w15:docId w15:val="{9FFF57DC-573D-43E7-A60E-1691EC26947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5.xml"/>
  <Relationship Id="rId11" Type="http://schemas.openxmlformats.org/officeDocument/2006/relationships/footer" Target="footer4.xml"/>
  <Relationship Id="rId12" Type="http://schemas.openxmlformats.org/officeDocument/2006/relationships/footer" Target="footer5.xml"/>
  <Relationship Id="rId13" Type="http://schemas.openxmlformats.org/officeDocument/2006/relationships/header" Target="header6.xml"/>
  <Relationship Id="rId14" Type="http://schemas.openxmlformats.org/officeDocument/2006/relationships/footer" Target="footer6.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2.png"/>
  <Relationship Id="rId9" Type="http://schemas.openxmlformats.org/officeDocument/2006/relationships/header" Target="header4.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7fc9660679f41cfb93c874d5d25d93b" PartId="82bd8415341e4f1884b4681d6c86a09d">
    <Part Type="straipsnis" Nr="1" Abbr="1 str." Title="7 straipsnio pakeitimas" DocPartId="ef81b2af93b8462696a9bed0e0b8c0d0" PartId="8c0fad0308d54de28b195fad90445479">
      <Part Type="strDalis" Nr="1" Abbr="1 str. 1 d." DocPartId="58d556aa3c004dbf8ce00b66c4395f9b" PartId="902a3cd371484d4e884b07ccfd53ff35">
        <Part Type="citata" DocPartId="f47acb42330d4243b142e96550b9f255" PartId="7009e8365a144633b37d61756342e67e">
          <Part Type="strDalis" Nr="2" Abbr="2 d." DocPartId="7b678bb553c54951bb21eba223c06185" PartId="6e86c13b8cd0494b97676aa7041ecf32"/>
        </Part>
      </Part>
    </Part>
    <Part Type="straipsnis" Nr="2" Abbr="2 str." Title="10 straipsnio pakeitimas" DocPartId="aec717d7f3a143c3b494bf70dbe31788" PartId="23f448d6285d4b63973bf05a1ede511d">
      <Part Type="strDalis" Nr="1" Abbr="2 str. 1 d." DocPartId="9a3cd53329bf43f3a361213f8dec5dd7" PartId="678afea7a0e3455da9a42a0665ec482b">
        <Part Type="citata" DocPartId="55e83cc793e4407594da6dbd59a66af2" PartId="5baaec6b1cc049a2b56375bdbe36d252">
          <Part Type="strPunktas" Nr="3" Abbr="3 p." DocPartId="f45f1c9c00e64aabbd5fc1163807e815" PartId="cd20755ecbef432c8d06d048bef70f2d"/>
        </Part>
      </Part>
    </Part>
    <Part Type="straipsnis" Nr="3" Abbr="3 str." Title="11 straipsnio pakeitimas" DocPartId="7f33f2a2d3ac49808e6fc6b30c7804e5" PartId="f29391113d5e40adb27a1bcb8b640a1a">
      <Part Type="strDalis" Nr="1" Abbr="3 str. 1 d." DocPartId="1e8f2ac269304ed1b5344fa753e61adc" PartId="fdcfade743bc4d63a0f717494df2fa6a">
        <Part Type="citata" DocPartId="571d794606e94506a880f05ca106b768" PartId="c0e888aa462241979089b37f322651c8">
          <Part Type="straipsnis" Nr="11" Abbr="11 str." Title="Architektūros kokybės kriterijai" DocPartId="500e291a82ee4ff295415c14515b8228" PartId="3b6a8f37527e46999be7086a503108b6">
            <Part Type="strDalis" Nr="1" Abbr="11 str. 1 d." DocPartId="8461b023954843958dfba183e1be99ae" PartId="8494fe960adf4e1a932e1d6a9f53075b">
              <Part Type="strPunktas" Nr="1" Abbr="11 str. 1 d. 1 p." DocPartId="12747b29fa8f4180a985cd46abc0e1b0" PartId="9adc5e6c2bd6427e9bf31ee62d354d9f"/>
              <Part Type="strPunktas" Nr="2" Abbr="11 str. 1 d. 2 p." DocPartId="624a9f9f758f4ad69f054e92783a9eba" PartId="ea7af5fd0d654b53b4679cfc42ec3033"/>
              <Part Type="strPunktas" Nr="3" Abbr="11 str. 1 d. 3 p." DocPartId="d8437d13784642c985e3f995bd647d36" PartId="8109b764b65e43c9bb5491ef3550c6e1"/>
              <Part Type="strPunktas" Nr="4" Abbr="11 str. 1 d. 4 p." DocPartId="83b184731b84465883ee3aadfb6c3f36" PartId="d9723d1d93a442eb9d2ee75b519f5831"/>
              <Part Type="strPunktas" Nr="5" Abbr="11 str. 1 d. 5 p." DocPartId="36fa1fb645904ba994ebb68a406dbc4c" PartId="6db92cd4a1924a499209cf74152b58ac"/>
              <Part Type="strPunktas" Nr="6" Abbr="11 str. 1 d. 6 p." DocPartId="7900f34d755e4d88a1a67b470a7a57b6" PartId="a9aecaf4bfd74328bc940889c4cfe7ef"/>
              <Part Type="strPunktas" Nr="7" Abbr="11 str. 1 d. 7 p." DocPartId="c1b99c43c9e1465a867b154d18fcdc7a" PartId="0b9611004f0c4c46a6a8bb36c70f7fba"/>
              <Part Type="strPunktas" Nr="8" Abbr="11 str. 1 d. 8 p." DocPartId="f544a5c1a71848298fc28e69a3cb5451" PartId="d10697ae6fdd4b6faae5303b2489fe73"/>
            </Part>
            <Part Type="strDalis" Nr="2" Abbr="11 str. 2 d." DocPartId="496e566b2bf44460a568d555f3ee337a" PartId="427119fdba4d4ca89dc04709df925262"/>
            <Part Type="strDalis" Nr="3" Abbr="11 str. 3 d." DocPartId="5b33368730b345d1b9075ecd9f964e53" PartId="48f11d6a94f841a99240f65dfacacaa5"/>
            <Part Type="strDalis" Nr="4" Abbr="11 str. 4 d." DocPartId="fca6a8fd8f64414fa53b3df06e854f14" PartId="24f6016a6593437394fb4e4f96051f18"/>
            <Part Type="strDalis" Nr="5" Abbr="11 str. 5 d." DocPartId="d1c9c749277d41f5967d175f7b07dad1" PartId="a21356246c234c5a8fca3a001eaea172"/>
            <Part Type="strDalis" Nr="6" Abbr="11 str. 6 d." DocPartId="0a5d60cdde9040a799a220fb2b713f72" PartId="ad3e75fe60444c4ea17108ef78e7687a"/>
            <Part Type="strDalis" Nr="7" Abbr="11 str. 7 d." DocPartId="fabb71e446314213a03517b5f2b54b3a" PartId="0f8769de74e54eb88f86551d1b606687"/>
          </Part>
        </Part>
      </Part>
    </Part>
    <Part Type="straipsnis" Nr="4" Abbr="4 str." Title="13 straipsnio pakeitimas" DocPartId="52035a9999a34751908ffe9ecb34aeff" PartId="c4fa90d81fb5493296dda8e99d5bae86">
      <Part Type="strDalis" Nr="1" Abbr="4 str. 1 d." DocPartId="5b030f3380bf4dcab9f6f1b1a46e98d1" PartId="0e8433a4ccee44378fa63307000db7c2">
        <Part Type="citata" DocPartId="d1f3ec9c7d4846fdb1528877db44b56f" PartId="f25e32a96fab46eba987c5500229b666">
          <Part Type="straipsnis" Nr="13" Abbr="13 str." Title="Architektūriniai konkursai ir teritorijų planavimo ir statinio projektavimo paslaugos" DocPartId="1634e32b04b74f37b31aa0986b2fa35e" PartId="2f2f0d82d5a345a7adec52730d7da51b"/>
        </Part>
      </Part>
      <Part Type="strDalis" Nr="2" Abbr="4 str. 2 d." DocPartId="f0c0a6805b124e9c979fed38b58dbfa9" PartId="e4794e416200413a9d62ba9142aa50da">
        <Part Type="citata" DocPartId="478b2e5fd8e24555aa8944df7b37e795" PartId="ff00bae61168416394a8c0523ec527a4">
          <Part Type="strDalis" Nr="2" Abbr="2 d." DocPartId="5426e7ceab0448b8bc73b5cd961795db" PartId="d334ad7b50b1496db5b26579854f710f"/>
        </Part>
      </Part>
      <Part Type="strDalis" Nr="3" Abbr="4 str. 3 d." DocPartId="3f4f2b0140634eddb2342863b6658076" PartId="2f637120a6ce429985aeadc4a83ebbbd">
        <Part Type="citata" DocPartId="beeb9f572ea3430a98befb52bd7eebad" PartId="761ab72580844f50815275a915b4cd22">
          <Part Type="strDalis" Nr="5" Abbr="5 d." DocPartId="87faec72053041c59e69cb71803b736d" PartId="668817244ba34c8fb00565b70153c1a4"/>
        </Part>
      </Part>
      <Part Type="strDalis" Nr="4" Abbr="4 str. 4 d." DocPartId="aaed992428c54f13b47d5e48d5fff5a2" PartId="581ffd36ca134fda8372772e4f4c7d48">
        <Part Type="citata" DocPartId="9991b723ab4a4af3a8e260cf000bcc4a" PartId="8ad2e3d0cd94489ea538f987f1de31b8">
          <Part Type="strDalis" Nr="7" Abbr="7 d." DocPartId="41a30dfe894843549beade0b418947ab" PartId="6922d01c5ca546a1a328b7a2307a475d"/>
          <Part Type="strDalis" Nr="8" Abbr="8 d." DocPartId="3493605fbc354fcc959f49f3286f4850" PartId="6625aabafd8042b297df9839b7f0a18e"/>
          <Part Type="strDalis" Nr="9" Abbr="9 d." DocPartId="3eaa5e427b3f441b8807cd50356d8857" PartId="12ae1bd1979742a4b3711c572c8b21b8"/>
        </Part>
      </Part>
    </Part>
    <Part Type="straipsnis" Nr="5" Abbr="5 str." Title="15 straipsnio pakeitimas" DocPartId="452bc369ed4b48eca246e6c9646730b5" PartId="2345c63ef563460a86744d159f89f180">
      <Part Type="strDalis" Nr="1" Abbr="5 str. 1 d." DocPartId="11e2c1797bab46519185fdaeeb3c16fc" PartId="7d5ad5280ebf44d593719d9ec367df2e">
        <Part Type="citata" DocPartId="d6f37af7a32549848fbcd5e064d81075" PartId="f61626b3aeac404fa3439709c204d4a1">
          <Part Type="strPunktas" Nr="4" Abbr="4 p." DocPartId="485f6e1299c84e9bbe4783c51d9f1494" PartId="a4ca5c64307b4bc6a3b717aef2b7275f"/>
        </Part>
      </Part>
    </Part>
    <Part Type="straipsnis" Nr="6" Abbr="6 str." Title="17 straipsnio pakeitimas" DocPartId="12478a7e18df4a2f97c55c09952d0dc4" PartId="ecb4cda58dd44d1098889e173c665e23">
      <Part Type="strDalis" Nr="1" Abbr="6 str. 1 d." DocPartId="ebdaa2633a2f48d3bc64f322e8d85871" PartId="b8923aac8eb549cf9af04c0379995af9">
        <Part Type="citata" DocPartId="e362280531d247efb42de8b4a137c675" PartId="5aa40d42916e4c7eb80f4297f1eb448b">
          <Part Type="straipsnis" Nr="17" Abbr="17 str." Title="Lietuvos Respublikos architektų rūmų kompetencija" DocPartId="1c794c01419c4648b90322c00dc5db19" PartId="bed33de034664b17931158864ec70d19">
            <Part Type="strDalis" Nr="1" Abbr="17 str. 1 d." DocPartId="f760a89ee79b46d8a37abeb35b0a7922" PartId="1682179df5a144fe96e0c6f1e0040164"/>
          </Part>
        </Part>
      </Part>
    </Part>
    <Part Type="straipsnis" Nr="7" Abbr="7 str." Title="18 straipsnio pakeitimas" DocPartId="f470b8c0f11d4bd18f958479a260047a" PartId="004060041be545028c2354a3734e281e">
      <Part Type="strDalis" Nr="1" Abbr="7 str. 1 d." DocPartId="19aa256cbdf74744afe6be52f14bbaef" PartId="cc94296117f249f19aa074f9c5a9d06e">
        <Part Type="citata" DocPartId="c1a9ab46de6648b6b3d74d08f9b65418" PartId="fa386d7dd981463387dd626fb1969817">
          <Part Type="strDalis" Nr="4" Abbr="4 d." DocPartId="3773e2c83a4149b59da4ed1d4a979fcd" PartId="81f9ce52fa9d4258a7001b92902ade22"/>
        </Part>
      </Part>
      <Part Type="strDalis" Nr="2" Abbr="7 str. 2 d." DocPartId="7877f12797c54420b67540c773c46306" PartId="6b4377f0f1a44ef5a8f34e86d65de441">
        <Part Type="citata" DocPartId="f471bc660cf24a969a00a129a0ee44f3" PartId="5bf738e0d71f4a97a6a1a9408a28c772">
          <Part Type="strDalis" Nr="13" Abbr="13 d." DocPartId="0b02fe564a3d4ce69ccd0215e22665d0" PartId="7bf75ca0d5434b12abe89aabb7fbe4d5"/>
        </Part>
      </Part>
    </Part>
    <Part Type="straipsnis" Nr="8" Abbr="8 str." Title="Įstatymo įsigaliojimas, įgyvendinimas ir taikymas" DocPartId="4a103caa58f5469c81fe723a8761efd6" PartId="9f17c7cef4204cfab5806d9dc95006b6">
      <Part Type="strDalis" Nr="1" Abbr="8 str. 1 d." DocPartId="ed4a49d522ac46b49ed92847c967d582" PartId="32645576a65648658599d97e5f043fdc"/>
      <Part Type="strDalis" Nr="2" Abbr="8 str. 2 d." DocPartId="b3887f942ac74e89bf785ade6aaba413" PartId="c0ce84dedc3841f2b39c8f6b626bad31"/>
      <Part Type="strDalis" Nr="3" Abbr="8 str. 3 d." DocPartId="3d20574f2f614369bf5bab59251b0c50" PartId="0054614571684a529932a97e2c77cb6f"/>
      <Part Type="strDalis" Nr="4" Abbr="8 str. 4 d." DocPartId="99629444bac7460390f7561f55df830f" PartId="0127022fe8a5433d99820e40a5e1ee9f"/>
      <Part Type="strDalis" Nr="5" Abbr="8 str. 5 d." DocPartId="3589199eb30d4d4c9664efccb440fe0f" PartId="3fb6b97d82394e5cb1dadd6716f4fc05"/>
    </Part>
    <Part Type="signatura" DocPartId="9fa90b466163456889d9d978c482d56c" PartId="dd272b4067b94bf8824d2af202163fd9"/>
  </Part>
</Parts>
</file>

<file path=customXml/itemProps1.xml><?xml version="1.0" encoding="utf-8"?>
<ds:datastoreItem xmlns:ds="http://schemas.openxmlformats.org/officeDocument/2006/customXml" ds:itemID="{A639E713-C104-4E92-A32D-D1F61674BF61}">
  <ds:schemaRefs>
    <ds:schemaRef ds:uri="http://lrs.lt/TAIS/DocParts"/>
  </ds:schemaRefs>
</ds:datastoreItem>
</file>

<file path=docProps/app.xml><?xml version="1.0" encoding="utf-8"?>
<Properties xmlns="http://schemas.openxmlformats.org/officeDocument/2006/extended-properties">
  <Template>Normal.dotm</Template>
  <TotalTime>4</TotalTime>
  <Pages>6</Pages>
  <Words>1567</Words>
  <Characters>11568</Characters>
  <Application>Microsoft Office Word</Application>
  <DocSecurity>0</DocSecurity>
  <Lines>96</Lines>
  <Paragraphs>26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13109</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2023-12-28T07:24:00Z</dcterms:created>
  <dc:creator>„Windows“ vartotojas</dc:creator>
  <lastModifiedBy>TAMALIŪNIENĖ Vilija</lastModifiedBy>
  <lastPrinted>2023-12-20T07:08:00Z</lastPrinted>
  <dcterms:modified xsi:type="dcterms:W3CDTF">2024-04-08T12:52:00Z</dcterms:modified>
  <revision>4</revision>
</coreProperties>
</file>