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deea87531874eceb53968b558688103"/>
        <w:lock w:val="sdtLocked"/>
        <w:richText/>
      </w:sdtPr>
      <w:sdtContent>
        <w:p>
          <w:pPr>
            <w:jc w:val="both"/>
            <w:rPr>
              <w:rFonts w:ascii="Times New Roman" w:hAnsi="Times New Roman"/>
            </w:rPr>
          </w:pPr>
          <w:r>
            <w:rPr>
              <w:rFonts w:ascii="Times New Roman" w:hAnsi="Times New Roman"/>
              <w:b/>
              <w:i/>
            </w:rPr>
            <w:t>Suvestinė redakcija nuo 2025-09-23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2025-09-23:</w:t>
          </w:r>
        </w:p>
        <w:p>
          <w:pPr>
            <w:rPr>
              <w:rFonts w:ascii="Times New Roman" w:hAnsi="Times New Roman"/>
              <w:sz w:val="20"/>
              <w:i/>
            </w:rPr>
          </w:pPr>
          <w:r>
            <w:rPr>
              <w:rFonts w:ascii="Times New Roman" w:hAnsi="Times New Roman"/>
              <w:sz w:val="20"/>
              <w:i/>
            </w:rPr>
            <w:t xml:space="preserve">Nr. </w:t>
          </w:r>
          <w:fldSimple w:instr="HYPERLINK https://www.e-tar.lt/portal/legalAct.html?documentId=ce562c3697a411f0a8bbd1e98310677d">
            <w:r w:rsidRPr="00532B9F">
              <w:rPr>
                <w:rFonts w:ascii="Times New Roman" w:eastAsia="MS Mincho" w:hAnsi="Times New Roman"/>
                <w:sz w:val="20"/>
                <w:i/>
                <w:iCs/>
                <w:color w:val="0000FF" w:themeColor="hyperlink"/>
                <w:u w:val="single"/>
              </w:rPr>
              <w:t>1-219</w:t>
            </w:r>
          </w:fldSimple>
          <w:r>
            <w:rPr>
              <w:rFonts w:ascii="Times New Roman" w:eastAsia="MS Mincho" w:hAnsi="Times New Roman"/>
              <w:sz w:val="20"/>
              <w:i/>
              <w:iCs/>
            </w:rPr>
            <w:t>,
2025-09-22,
paskelbta TAR 2025-09-22, i. k. 2025-15743                </w:t>
          </w:r>
        </w:p>
        <w:p>
          <w:pPr>
            <w:rPr>
              <w:rFonts w:ascii="Times New Roman" w:hAnsi="Times New Roman"/>
              <w:sz w:val="22"/>
            </w:rPr>
          </w:pPr>
        </w:p>
        <w:p>
          <w:pPr>
            <w:widowControl w:val="0"/>
            <w:jc w:val="center"/>
            <w:rPr>
              <w:b/>
              <w:bCs/>
              <w:caps/>
              <w:color w:val="000000"/>
            </w:rPr>
          </w:pPr>
          <w:r>
            <w:rPr>
              <w:b/>
              <w:bCs/>
              <w:caps/>
              <w:color w:val="000000"/>
            </w:rPr>
            <w:t>LIETUVOS RESPUBLIKOS ENERGETIKOS MINISTRAS</w:t>
          </w:r>
        </w:p>
        <w:p>
          <w:pPr>
            <w:widowControl w:val="0"/>
            <w:jc w:val="center"/>
            <w:rPr>
              <w:b/>
              <w:bCs/>
              <w:caps/>
              <w:color w:val="000000"/>
            </w:rPr>
          </w:pPr>
        </w:p>
        <w:p>
          <w:pPr>
            <w:widowControl w:val="0"/>
            <w:jc w:val="center"/>
            <w:rPr>
              <w:b/>
              <w:bCs/>
            </w:rPr>
          </w:pPr>
          <w:r>
            <w:rPr>
              <w:b/>
              <w:bCs/>
            </w:rPr>
            <w:t>ĮSAKYMAS</w:t>
          </w:r>
        </w:p>
        <w:p>
          <w:pPr>
            <w:widowControl w:val="0"/>
            <w:tabs>
              <w:tab w:val="left" w:pos="993"/>
            </w:tabs>
            <w:jc w:val="center"/>
            <w:rPr>
              <w:b/>
              <w:bCs/>
            </w:rPr>
          </w:pPr>
          <w:r>
            <w:rPr>
              <w:b/>
              <w:bCs/>
            </w:rPr>
            <w:t>DĖL ATSINAUJINANČIŲ ENERGIJOS IŠTEKLIŲ DALIES, PALYGINTI SU BENDRUOJU GALUTINIU ENERGIJOS SUVARTOJIMU, APSKAIČIAVIMO METODIKOS PATVIRTINIMO</w:t>
          </w:r>
        </w:p>
        <w:p>
          <w:pPr>
            <w:widowControl w:val="0"/>
            <w:tabs>
              <w:tab w:val="left" w:pos="993"/>
            </w:tabs>
            <w:jc w:val="center"/>
            <w:rPr>
              <w:b/>
              <w:bCs/>
            </w:rPr>
          </w:pPr>
        </w:p>
        <w:p>
          <w:pPr>
            <w:widowControl w:val="0"/>
            <w:tabs>
              <w:tab w:val="left" w:pos="993"/>
            </w:tabs>
            <w:jc w:val="center"/>
            <w:rPr>
              <w:bCs/>
            </w:rPr>
          </w:pPr>
          <w:r>
            <w:rPr>
              <w:bCs/>
            </w:rPr>
            <w:t>2017 m. birželio 28 d. Nr. 1-170</w:t>
          </w:r>
        </w:p>
        <w:p>
          <w:pPr>
            <w:widowControl w:val="0"/>
            <w:tabs>
              <w:tab w:val="left" w:pos="993"/>
            </w:tabs>
            <w:jc w:val="center"/>
            <w:rPr>
              <w:bCs/>
            </w:rPr>
          </w:pPr>
          <w:r>
            <w:rPr>
              <w:bCs/>
            </w:rPr>
            <w:t>Vilnius</w:t>
          </w:r>
        </w:p>
        <w:p>
          <w:pPr>
            <w:widowControl w:val="0"/>
            <w:tabs>
              <w:tab w:val="left" w:pos="993"/>
            </w:tabs>
            <w:jc w:val="center"/>
            <w:rPr>
              <w:b/>
              <w:bCs/>
            </w:rPr>
          </w:pPr>
        </w:p>
        <w:p>
          <w:pPr>
            <w:widowControl w:val="0"/>
            <w:tabs>
              <w:tab w:val="left" w:pos="993"/>
            </w:tabs>
          </w:pPr>
        </w:p>
        <w:sdt>
          <w:sdtPr>
            <w:alias w:val="preambule"/>
            <w:tag w:val="part_a6a28a9e2f9f44659430b131db478e14"/>
            <w:lock w:val="sdtLocked"/>
            <w:richText/>
          </w:sdtPr>
          <w:sdtContent>
            <w:p>
              <w:pPr>
                <w:widowControl w:val="0"/>
                <w:ind w:firstLine="709"/>
                <w:jc w:val="both"/>
              </w:pPr>
              <w:r>
                <w:t xml:space="preserve">Vadovaudamasis Lietuvos Respublikos alternatyviųjų degalų įstatymo 18 straipsnio 4 dalies 3 punktu, 20 straipsnio 1 dalimi, 21 straipsniu, Lietuvos Respublikos atsinaujinančių išteklių energetikos įstatymo 1 straipsnio 5 dalies 4 bei 6 punktais, 6 straipsnio 1 ir 14 punktais ir įgyvendindamas 2018 m. gruodžio 11 d. Europos Parlamento ir Tarybos direktyvos </w:t>
              </w:r>
              <w:hyperlink r:id="rId21" w:tgtFrame="_blank" w:history="1">
                <w:r>
                  <w:rPr>
                    <w:color w:val="0563C1" w:themeColor="hyperlink"/>
                    <w:u w:val="single"/>
                  </w:rPr>
                  <w:t>(ES) 2018/2001</w:t>
                </w:r>
              </w:hyperlink>
              <w:r>
                <w:t xml:space="preserve"> dėl skatinimo naudoti atsinaujinančių išteklių energiją su paskutiniais pakeitimais, padarytais 2023 m. spalio 18 d. Europos Parlamento ir Tarybos direktyva </w:t>
              </w:r>
              <w:hyperlink r:id="rId22" w:tgtFrame="_blank" w:history="1">
                <w:r>
                  <w:rPr>
                    <w:color w:val="0563C1" w:themeColor="hyperlink"/>
                    <w:u w:val="single"/>
                  </w:rPr>
                  <w:t>(ES) 2023/2413</w:t>
                </w:r>
              </w:hyperlink>
              <w:r>
                <w:t>, 2, 3, 7, 22a, 25, 26 ir 27 straipsnių bei II, III ir VII ir IX priedų nuostatas,</w:t>
              </w:r>
            </w:p>
          </w:sdtContent>
        </w:sdt>
        <w:sdt>
          <w:sdtPr>
            <w:alias w:val="pastraipa"/>
            <w:tag w:val="part_83dd487771644298b760578d9616aede"/>
            <w:lock w:val="sdtLocked"/>
            <w:richText/>
          </w:sdtPr>
          <w:sdtContent>
            <w:p>
              <w:pPr>
                <w:widowControl w:val="0"/>
                <w:tabs>
                  <w:tab w:val="left" w:pos="993"/>
                </w:tabs>
                <w:ind w:firstLine="709"/>
                <w:jc w:val="both"/>
              </w:pPr>
              <w:r>
                <w:t>t v i r t i n u Atsinaujinančių energijos išteklių dalies, palyginti su bendruoju galutiniu energijos suvartojimu, apskaičiavimo metodiką (pridedama).</w:t>
              </w:r>
            </w:p>
          </w:sdtContent>
        </w:sdt>
        <w:sdt>
          <w:sdtPr>
            <w:alias w:val="signatura"/>
            <w:tag w:val="part_6f990b118643404b8d2a505b4798de1b"/>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a60f2325bf684981b605200a86c9355a"/>
        <w:lock w:val="sdtLocked"/>
        <w:richText/>
      </w:sdtPr>
      <w:sdtContent>
        <w:p>
          <w:pPr/>
        </w:p>
        <w:p>
          <w:pPr>
            <w:ind w:left="5040"/>
            <w:jc w:val="both"/>
            <w:sectPr>
              <w:headerReference w:type="even" r:id="rId23"/>
              <w:headerReference w:type="default" r:id="rId24"/>
              <w:footerReference w:type="even" r:id="rId25"/>
              <w:footerReference w:type="default" r:id="rId26"/>
              <w:headerReference w:type="first" r:id="rId27"/>
              <w:footerReference w:type="first" r:id="rId28"/>
              <w:pgSz w:w="12240" w:h="15840"/>
              <w:pgMar w:top="1134" w:right="567" w:bottom="1134" w:left="1701" w:header="709" w:footer="709" w:gutter="0"/>
              <w:cols w:space="708"/>
              <w:titlePg/>
              <w:docGrid w:linePitch="360"/>
            </w:sectPr>
          </w:pPr>
        </w:p>
        <w:p>
          <w:pPr>
            <w:tabs>
              <w:tab w:val="center" w:pos="4819"/>
              <w:tab w:val="right" w:pos="9638"/>
            </w:tabs>
          </w:pPr>
        </w:p>
        <w:p>
          <w:pPr>
            <w:tabs>
              <w:tab w:val="center" w:pos="4819"/>
              <w:tab w:val="right" w:pos="9638"/>
            </w:tabs>
            <w:ind w:firstLine="5387"/>
            <w:rPr>
              <w:lang w:eastAsia="lt-LT"/>
            </w:rPr>
          </w:pPr>
          <w:r>
            <w:rPr>
              <w:lang w:eastAsia="lt-LT"/>
            </w:rPr>
            <w:t>PATVIRTINTA</w:t>
          </w:r>
        </w:p>
        <w:p>
          <w:pPr>
            <w:ind w:firstLine="5387"/>
            <w:rPr>
              <w:lang w:eastAsia="lt-LT"/>
            </w:rPr>
          </w:pPr>
          <w:r>
            <w:rPr>
              <w:lang w:eastAsia="lt-LT"/>
            </w:rPr>
            <w:t>Lietuvos Respublikos energetikos ministro</w:t>
          </w:r>
        </w:p>
        <w:p>
          <w:pPr>
            <w:ind w:firstLine="5387"/>
            <w:rPr>
              <w:lang w:eastAsia="lt-LT"/>
            </w:rPr>
          </w:pPr>
          <w:r>
            <w:rPr>
              <w:lang w:eastAsia="lt-LT"/>
            </w:rPr>
            <w:t>2017 m. birželio 28 d. įsakymu Nr. 1-170</w:t>
          </w:r>
        </w:p>
        <w:p>
          <w:pPr>
            <w:ind w:firstLine="5387"/>
            <w:rPr>
              <w:lang w:eastAsia="lt-LT"/>
            </w:rPr>
          </w:pPr>
          <w:r>
            <w:rPr>
              <w:lang w:eastAsia="lt-LT"/>
            </w:rPr>
            <w:t>(Lietuvos Respublikos energetikos ministro</w:t>
          </w:r>
        </w:p>
        <w:p>
          <w:pPr>
            <w:ind w:firstLine="5387"/>
            <w:rPr>
              <w:lang w:eastAsia="lt-LT"/>
            </w:rPr>
          </w:pPr>
          <w:r>
            <w:rPr>
              <w:lang w:eastAsia="lt-LT"/>
            </w:rPr>
            <w:t xml:space="preserve">2025 m. rugsėjo </w:t>
          </w:r>
          <w:r>
            <w:rPr>
              <w:lang w:val="en-US" w:eastAsia="lt-LT"/>
            </w:rPr>
            <w:t xml:space="preserve">22 </w:t>
          </w:r>
          <w:r>
            <w:rPr>
              <w:lang w:eastAsia="lt-LT"/>
            </w:rPr>
            <w:t>d. įsakymo Nr. 1-219</w:t>
          </w:r>
        </w:p>
        <w:p>
          <w:pPr>
            <w:ind w:firstLine="5387"/>
            <w:rPr>
              <w:color w:val="000000"/>
              <w:lang w:eastAsia="lt-LT"/>
            </w:rPr>
          </w:pPr>
          <w:r>
            <w:rPr>
              <w:lang w:eastAsia="lt-LT"/>
            </w:rPr>
            <w:t>redakcija</w:t>
          </w:r>
          <w:r>
            <w:rPr>
              <w:color w:val="000000"/>
              <w:lang w:eastAsia="lt-LT"/>
            </w:rPr>
            <w:t>)</w:t>
          </w:r>
        </w:p>
        <w:p>
          <w:pPr/>
        </w:p>
        <w:p>
          <w:pPr>
            <w:ind w:firstLine="5102"/>
          </w:pPr>
        </w:p>
        <w:sdt>
          <w:sdtPr>
            <w:alias w:val="Pavadinimas"/>
            <w:tag w:val="title_a60f2325bf684981b605200a86c9355a"/>
            <w:lock w:val="sdtLocked"/>
            <w:richText/>
          </w:sdtPr>
          <w:sdtContent>
            <w:p>
              <w:pPr>
                <w:jc w:val="center"/>
                <w:rPr>
                  <w:b/>
                  <w:bCs/>
                  <w:caps/>
                </w:rPr>
              </w:pPr>
              <w:r>
                <w:rPr>
                  <w:b/>
                  <w:bCs/>
                  <w:caps/>
                </w:rPr>
                <w:t>ATSINAUJINANČIŲ ENERGIJOS IŠTEKLIŲ DALIES, palyginti su bendruoju galutiniu energijos suvartojimu, APSKAIČIAVIMO METODIKA</w:t>
              </w:r>
            </w:p>
          </w:sdtContent>
        </w:sdt>
        <w:p>
          <w:pPr/>
        </w:p>
        <w:sdt>
          <w:sdtPr>
            <w:alias w:val="skyrius"/>
            <w:tag w:val="part_aff22fb080904174a43ab30385147de7"/>
            <w:lock w:val="sdtLocked"/>
            <w:richText/>
          </w:sdtPr>
          <w:sdtContent>
            <w:p>
              <w:pPr>
                <w:jc w:val="center"/>
                <w:rPr>
                  <w:b/>
                  <w:bCs/>
                </w:rPr>
              </w:pPr>
              <w:sdt>
                <w:sdtPr>
                  <w:alias w:val="Numeris"/>
                  <w:tag w:val="nr_aff22fb080904174a43ab30385147de7"/>
                  <w:lock w:val="sdtLocked"/>
                  <w:richText/>
                </w:sdtPr>
                <w:sdtContent>
                  <w:r>
                    <w:rPr>
                      <w:b/>
                      <w:bCs/>
                    </w:rPr>
                    <w:t>I</w:t>
                  </w:r>
                </w:sdtContent>
              </w:sdt>
              <w:r>
                <w:rPr>
                  <w:b/>
                  <w:bCs/>
                </w:rPr>
                <w:t xml:space="preserve"> SKYRIUS</w:t>
              </w:r>
            </w:p>
            <w:p>
              <w:pPr>
                <w:jc w:val="center"/>
                <w:rPr>
                  <w:b/>
                  <w:bCs/>
                </w:rPr>
              </w:pPr>
              <w:sdt>
                <w:sdtPr>
                  <w:alias w:val="Pavadinimas"/>
                  <w:tag w:val="title_aff22fb080904174a43ab30385147de7"/>
                  <w:lock w:val="sdtLocked"/>
                  <w:richText/>
                </w:sdtPr>
                <w:sdtContent>
                  <w:r>
                    <w:rPr>
                      <w:b/>
                      <w:bCs/>
                    </w:rPr>
                    <w:t>BENDROSIOS NUOSTATOS</w:t>
                  </w:r>
                </w:sdtContent>
              </w:sdt>
            </w:p>
            <w:p>
              <w:pPr/>
            </w:p>
            <w:sdt>
              <w:sdtPr>
                <w:alias w:val="1 p."/>
                <w:tag w:val="part_f55b7ac15cf74eaabfb6c5db0ac346c1"/>
                <w:lock w:val="sdtLocked"/>
                <w:richText/>
              </w:sdtPr>
              <w:sdtContent>
                <w:p>
                  <w:pPr>
                    <w:tabs>
                      <w:tab w:val="left" w:pos="993"/>
                    </w:tabs>
                    <w:ind w:firstLine="709"/>
                    <w:jc w:val="both"/>
                  </w:pPr>
                  <w:sdt>
                    <w:sdtPr>
                      <w:alias w:val="Numeris"/>
                      <w:tag w:val="nr_f55b7ac15cf74eaabfb6c5db0ac346c1"/>
                      <w:lock w:val="sdtLocked"/>
                      <w:richText/>
                    </w:sdtPr>
                    <w:sdtContent>
                      <w:r>
                        <w:t>1</w:t>
                      </w:r>
                    </w:sdtContent>
                  </w:sdt>
                  <w:r>
                    <w:t>.</w:t>
                    <w:tab/>
                    <w:t>Vadovaujantis Atsinaujinančių energijos išteklių dalies, palyginti su bendruoju galutiniu energijos suvartojimu, apskaičiavimo metodika (toliau – Metodika) apskaičiuojama:</w:t>
                  </w:r>
                </w:p>
                <w:sdt>
                  <w:sdtPr>
                    <w:alias w:val="1.1 pp."/>
                    <w:tag w:val="part_57d11c44d7a04aadbb8e913703811e00"/>
                    <w:lock w:val="sdtLocked"/>
                    <w:richText/>
                  </w:sdtPr>
                  <w:sdtContent>
                    <w:p>
                      <w:pPr>
                        <w:tabs>
                          <w:tab w:val="left" w:pos="1134"/>
                        </w:tabs>
                        <w:ind w:firstLine="709"/>
                        <w:jc w:val="both"/>
                      </w:pPr>
                      <w:sdt>
                        <w:sdtPr>
                          <w:alias w:val="Numeris"/>
                          <w:tag w:val="nr_57d11c44d7a04aadbb8e913703811e00"/>
                          <w:lock w:val="sdtLocked"/>
                          <w:richText/>
                        </w:sdtPr>
                        <w:sdtContent>
                          <w:r>
                            <w:t>1.1</w:t>
                          </w:r>
                        </w:sdtContent>
                      </w:sdt>
                      <w:r>
                        <w:t>.</w:t>
                        <w:tab/>
                        <w:t>atsinaujinančių energijos išteklių dalis, palyginti su bendruoju galutiniu energijos suvartojimu;</w:t>
                      </w:r>
                    </w:p>
                  </w:sdtContent>
                </w:sdt>
                <w:sdt>
                  <w:sdtPr>
                    <w:alias w:val="1.2 pp."/>
                    <w:tag w:val="part_fd56131690e74755a8926f279aa2a3ae"/>
                    <w:lock w:val="sdtLocked"/>
                    <w:richText/>
                  </w:sdtPr>
                  <w:sdtContent>
                    <w:p>
                      <w:pPr>
                        <w:tabs>
                          <w:tab w:val="left" w:pos="1134"/>
                        </w:tabs>
                        <w:ind w:firstLine="709"/>
                        <w:jc w:val="both"/>
                      </w:pPr>
                      <w:sdt>
                        <w:sdtPr>
                          <w:alias w:val="Numeris"/>
                          <w:tag w:val="nr_fd56131690e74755a8926f279aa2a3ae"/>
                          <w:lock w:val="sdtLocked"/>
                          <w:richText/>
                        </w:sdtPr>
                        <w:sdtContent>
                          <w:r>
                            <w:t>1.2</w:t>
                          </w:r>
                        </w:sdtContent>
                      </w:sdt>
                      <w:r>
                        <w:t>.</w:t>
                        <w:tab/>
                        <w:t xml:space="preserve">pažanga siekiant 2023 m. spalio 18 d. Europos Parlamento ir Tarybos direktyvoje </w:t>
                      </w:r>
                      <w:hyperlink r:id="rId29" w:tgtFrame="_blank" w:history="1">
                        <w:r>
                          <w:rPr>
                            <w:color w:val="0563C1" w:themeColor="hyperlink"/>
                            <w:u w:val="single"/>
                          </w:rPr>
                          <w:t>(ES) 2023/2413</w:t>
                        </w:r>
                      </w:hyperlink>
                      <w:r>
                        <w:t xml:space="preserve"> nustatyto 29 procentų atsinaujinančių energijos išteklių dalies tikslo transporto sektoriuje (toliau – Pažanga siekiant transporto tikslo); </w:t>
                      </w:r>
                    </w:p>
                  </w:sdtContent>
                </w:sdt>
                <w:sdt>
                  <w:sdtPr>
                    <w:alias w:val="1.3 pp."/>
                    <w:tag w:val="part_b20982b28aaf443180fdde28d2b50031"/>
                    <w:lock w:val="sdtLocked"/>
                    <w:richText/>
                  </w:sdtPr>
                  <w:sdtContent>
                    <w:p>
                      <w:pPr>
                        <w:tabs>
                          <w:tab w:val="left" w:pos="1134"/>
                        </w:tabs>
                        <w:ind w:firstLine="709"/>
                        <w:jc w:val="both"/>
                      </w:pPr>
                      <w:sdt>
                        <w:sdtPr>
                          <w:alias w:val="Numeris"/>
                          <w:tag w:val="nr_b20982b28aaf443180fdde28d2b50031"/>
                          <w:lock w:val="sdtLocked"/>
                          <w:richText/>
                        </w:sdtPr>
                        <w:sdtContent>
                          <w:r>
                            <w:t>1.3</w:t>
                          </w:r>
                        </w:sdtContent>
                      </w:sdt>
                      <w:r>
                        <w:t xml:space="preserve">. atsinaujinančių energijos išteklių dalis, palyginti su bendruoju galutiniu energijos suvartojimu, ir Pažanga siekiant transporto tikslo apskaičiuojama vadovaujantis 2008 m. spalio 22 d. Europos Parlamento ir Tarybos reglamente </w:t>
                      </w:r>
                      <w:hyperlink r:id="rId30" w:tgtFrame="_blank" w:history="1">
                        <w:r>
                          <w:rPr>
                            <w:color w:val="0563C1" w:themeColor="hyperlink"/>
                            <w:u w:val="single"/>
                          </w:rPr>
                          <w:t>(EB) Nr. 1099/2008</w:t>
                        </w:r>
                      </w:hyperlink>
                      <w:r>
                        <w:t xml:space="preserve"> dėl energetikos statistikos, su visais pakeitimais, pateikta metodika ir apibrėžtimis. </w:t>
                      </w:r>
                    </w:p>
                  </w:sdtContent>
                </w:sdt>
              </w:sdtContent>
            </w:sdt>
            <w:sdt>
              <w:sdtPr>
                <w:alias w:val="2 p."/>
                <w:tag w:val="part_510e36973f2445b69ff179d89d78c648"/>
                <w:lock w:val="sdtLocked"/>
                <w:richText/>
              </w:sdtPr>
              <w:sdtContent>
                <w:p>
                  <w:pPr>
                    <w:tabs>
                      <w:tab w:val="left" w:pos="993"/>
                    </w:tabs>
                    <w:ind w:firstLine="709"/>
                    <w:jc w:val="both"/>
                  </w:pPr>
                  <w:sdt>
                    <w:sdtPr>
                      <w:alias w:val="Numeris"/>
                      <w:tag w:val="nr_510e36973f2445b69ff179d89d78c648"/>
                      <w:lock w:val="sdtLocked"/>
                      <w:richText/>
                    </w:sdtPr>
                    <w:sdtContent>
                      <w:r>
                        <w:t>2</w:t>
                      </w:r>
                    </w:sdtContent>
                  </w:sdt>
                  <w:r>
                    <w:t>. Metodikoje vartojamos sąvokos:</w:t>
                  </w:r>
                </w:p>
                <w:sdt>
                  <w:sdtPr>
                    <w:alias w:val="2.1 pp."/>
                    <w:tag w:val="part_c4a8f15b71c6435e9754f8a35bd1029d"/>
                    <w:lock w:val="sdtLocked"/>
                    <w:richText/>
                  </w:sdtPr>
                  <w:sdtContent>
                    <w:p>
                      <w:pPr>
                        <w:widowControl w:val="0"/>
                        <w:tabs>
                          <w:tab w:val="left" w:pos="993"/>
                        </w:tabs>
                        <w:ind w:firstLine="709"/>
                        <w:jc w:val="both"/>
                      </w:pPr>
                      <w:sdt>
                        <w:sdtPr>
                          <w:alias w:val="Numeris"/>
                          <w:tag w:val="nr_c4a8f15b71c6435e9754f8a35bd1029d"/>
                          <w:lock w:val="sdtLocked"/>
                          <w:richText/>
                        </w:sdtPr>
                        <w:sdtContent>
                          <w:r>
                            <w:t>2.1</w:t>
                          </w:r>
                        </w:sdtContent>
                      </w:sdt>
                      <w:r>
                        <w:t xml:space="preserve">. </w:t>
                      </w:r>
                      <w:r>
                        <w:rPr>
                          <w:b/>
                          <w:bCs/>
                        </w:rPr>
                        <w:t>Atliekinė šiluma ir (ar) vėsuma</w:t>
                      </w:r>
                      <w:r>
                        <w:t xml:space="preserve"> – pramoniniuose ar energijos gamybos įrenginiuose arba paslaugų sektoriuje, kuriuose yra arba bus vykdoma bendra šilumos ir elektros energijos gamyba (kogeneracija) arba tokia gamyba yra negalima, sukuriama perteklinė šiluma ir (ar) vėsuma, kuri, nepatekusi į centralizuoto šilumos ir (ar) vėsumos tiekimo sistemą, nenaudojama pasklistų ore arba vandenyje. </w:t>
                      </w:r>
                    </w:p>
                  </w:sdtContent>
                </w:sdt>
                <w:sdt>
                  <w:sdtPr>
                    <w:alias w:val="2.2 pp."/>
                    <w:tag w:val="part_72319c117ed04a329f5776e3ad10d953"/>
                    <w:lock w:val="sdtLocked"/>
                    <w:richText/>
                  </w:sdtPr>
                  <w:sdtContent>
                    <w:p>
                      <w:pPr>
                        <w:spacing w:line="257" w:lineRule="auto"/>
                        <w:ind w:firstLine="709"/>
                        <w:jc w:val="both"/>
                      </w:pPr>
                      <w:sdt>
                        <w:sdtPr>
                          <w:alias w:val="Numeris"/>
                          <w:tag w:val="nr_72319c117ed04a329f5776e3ad10d953"/>
                          <w:lock w:val="sdtLocked"/>
                          <w:richText/>
                        </w:sdtPr>
                        <w:sdtContent>
                          <w:r>
                            <w:t>2.2</w:t>
                          </w:r>
                        </w:sdtContent>
                      </w:sdt>
                      <w:r>
                        <w:t xml:space="preserve">. </w:t>
                      </w:r>
                      <w:r>
                        <w:rPr>
                          <w:b/>
                          <w:bCs/>
                        </w:rPr>
                        <w:t>Išvestiniai vandenilio produktai</w:t>
                      </w:r>
                      <w:r>
                        <w:t xml:space="preserve"> – iš vandenilio gaminami sintetiniai degalai, sintetinis metanas, amoniakas, metanolis ir kiti produktai.</w:t>
                      </w:r>
                    </w:p>
                  </w:sdtContent>
                </w:sdt>
                <w:sdt>
                  <w:sdtPr>
                    <w:alias w:val="2.3 pp."/>
                    <w:tag w:val="part_9eba842034c84ac2b06c2b72bf158b07"/>
                    <w:lock w:val="sdtLocked"/>
                    <w:richText/>
                  </w:sdtPr>
                  <w:sdtContent>
                    <w:p>
                      <w:pPr>
                        <w:spacing w:line="257" w:lineRule="auto"/>
                        <w:ind w:firstLine="709"/>
                        <w:jc w:val="both"/>
                        <w:rPr>
                          <w:rFonts w:eastAsia="MS Mincho"/>
                          <w:i/>
                          <w:iCs/>
                          <w:sz w:val="20"/>
                        </w:rPr>
                      </w:pPr>
                      <w:sdt>
                        <w:sdtPr>
                          <w:alias w:val="Numeris"/>
                          <w:tag w:val="nr_9eba842034c84ac2b06c2b72bf158b07"/>
                          <w:lock w:val="sdtLocked"/>
                          <w:richText/>
                        </w:sdtPr>
                        <w:sdtContent>
                          <w:r>
                            <w:t>2.3</w:t>
                          </w:r>
                        </w:sdtContent>
                      </w:sdt>
                      <w:r>
                        <w:t xml:space="preserve">. </w:t>
                      </w:r>
                      <w:r>
                        <w:rPr>
                          <w:b/>
                          <w:bCs/>
                        </w:rPr>
                        <w:t>Iš nedidelę netiesioginę žemės paskirties keitimo riziką keliančių augalų gaminami biodegalai, skystieji bioproduktai ir biomasės kuras</w:t>
                      </w:r>
                      <w:r>
                        <w:t xml:space="preserve"> – biodegalai, skystieji bioproduktai ir biomasės kuras, gaminami taikant schemas, pagal kurias atsisakoma biodegalų, skystųjų bioproduktų ir biomasės kuro gamybos maistinių ir pašarinių augalų pagrindu, ir taikant geresnę ūkininkavimo praktiką, augalus auginant žemėje, kuri anksčiau nebuvo naudojama augalams auginti, taip pat gaminami laikantis Lietuvos Respublikos atsinaujinančių išteklių energetikos įstatymo 38 straipsnyje nurodytų atsinaujinančių išteklių kuro tvarumo ir išmetamųjų šiltnamio efektą sukeliančių dujų kiekio sumažėjimo kriterijų.</w:t>
                      </w:r>
                    </w:p>
                  </w:sdtContent>
                </w:sdt>
                <w:sdt>
                  <w:sdtPr>
                    <w:alias w:val="2.4 pp."/>
                    <w:tag w:val="part_4ce310b2912944628510a333521448e9"/>
                    <w:lock w:val="sdtLocked"/>
                    <w:richText/>
                  </w:sdtPr>
                  <w:sdtContent>
                    <w:p>
                      <w:pPr>
                        <w:ind w:firstLine="709"/>
                        <w:jc w:val="both"/>
                        <w:rPr>
                          <w:rFonts w:eastAsia="MS Mincho"/>
                          <w:i/>
                          <w:iCs/>
                          <w:sz w:val="20"/>
                        </w:rPr>
                      </w:pPr>
                      <w:sdt>
                        <w:sdtPr>
                          <w:alias w:val="Numeris"/>
                          <w:tag w:val="nr_4ce310b2912944628510a333521448e9"/>
                          <w:lock w:val="sdtLocked"/>
                          <w:richText/>
                        </w:sdtPr>
                        <w:sdtContent>
                          <w:r>
                            <w:t>2.4</w:t>
                          </w:r>
                        </w:sdtContent>
                      </w:sdt>
                      <w:r>
                        <w:t xml:space="preserve">. </w:t>
                      </w:r>
                      <w:r>
                        <w:rPr>
                          <w:b/>
                          <w:bCs/>
                        </w:rPr>
                        <w:t>Krakmolingieji augalai</w:t>
                      </w:r>
                      <w:r>
                        <w:t xml:space="preserve"> – daug krakmolo turintys augalai, prie kurių priskiriami javai (neatsižvelgiant į tai, ar naudojami tik grūdai, ar visas augalas), gumbavaisiai, šakniavaisiai ir gumbasvogūniai.</w:t>
                      </w:r>
                    </w:p>
                  </w:sdtContent>
                </w:sdt>
                <w:sdt>
                  <w:sdtPr>
                    <w:alias w:val="2.5 pp."/>
                    <w:tag w:val="part_366915d5885d4d1990845dd2786d11a4"/>
                    <w:lock w:val="sdtLocked"/>
                    <w:richText/>
                  </w:sdtPr>
                  <w:sdtContent>
                    <w:p>
                      <w:pPr>
                        <w:ind w:firstLine="709"/>
                        <w:jc w:val="both"/>
                        <w:rPr>
                          <w:rFonts w:eastAsia="MS Mincho"/>
                          <w:i/>
                          <w:iCs/>
                          <w:sz w:val="20"/>
                        </w:rPr>
                      </w:pPr>
                      <w:sdt>
                        <w:sdtPr>
                          <w:alias w:val="Numeris"/>
                          <w:tag w:val="nr_366915d5885d4d1990845dd2786d11a4"/>
                          <w:lock w:val="sdtLocked"/>
                          <w:richText/>
                        </w:sdtPr>
                        <w:sdtContent>
                          <w:r>
                            <w:t>2.5</w:t>
                          </w:r>
                        </w:sdtContent>
                      </w:sdt>
                      <w:r>
                        <w:t xml:space="preserve">. </w:t>
                      </w:r>
                      <w:r>
                        <w:rPr>
                          <w:b/>
                          <w:bCs/>
                        </w:rPr>
                        <w:t xml:space="preserve">Lignoceliuliozė </w:t>
                      </w:r>
                      <w:r>
                        <w:t>– medžiaga, sudaryta iš lignino, celiuliozės ir hemiceliuliozės.</w:t>
                      </w:r>
                    </w:p>
                  </w:sdtContent>
                </w:sdt>
                <w:sdt>
                  <w:sdtPr>
                    <w:alias w:val="2.6 pp."/>
                    <w:tag w:val="part_0011ba273d8c44f299033dbe61c0c87d"/>
                    <w:lock w:val="sdtLocked"/>
                    <w:richText/>
                  </w:sdtPr>
                  <w:sdtContent>
                    <w:p>
                      <w:pPr>
                        <w:ind w:firstLine="709"/>
                        <w:jc w:val="both"/>
                        <w:rPr>
                          <w:rFonts w:eastAsia="MS Mincho"/>
                          <w:i/>
                          <w:iCs/>
                          <w:sz w:val="20"/>
                        </w:rPr>
                      </w:pPr>
                      <w:sdt>
                        <w:sdtPr>
                          <w:alias w:val="Numeris"/>
                          <w:tag w:val="nr_0011ba273d8c44f299033dbe61c0c87d"/>
                          <w:lock w:val="sdtLocked"/>
                          <w:richText/>
                        </w:sdtPr>
                        <w:sdtContent>
                          <w:r>
                            <w:t>2.6</w:t>
                          </w:r>
                        </w:sdtContent>
                      </w:sdt>
                      <w:r>
                        <w:t xml:space="preserve">. </w:t>
                      </w:r>
                      <w:r>
                        <w:rPr>
                          <w:b/>
                          <w:bCs/>
                        </w:rPr>
                        <w:t>Maistiniai ir pašariniai augalai</w:t>
                      </w:r>
                      <w:r>
                        <w:t xml:space="preserve"> – žemės ūkio paskirties žemėje kaip pagrindiniai augalai auginami krakmolingieji, cukringieji ir aliejiniai augalai, iš kurių visų, o ne jų perdirbimo liekanų, atliekų ir lignoceliuliozės medžiagų gaminami biodegalai, taip pat apimant ir</w:t>
                      </w:r>
                      <w:r>
                        <w:rPr>
                          <w:szCs w:val="24"/>
                        </w:rPr>
                        <w:t xml:space="preserve"> šiuos augalus, užaugintus kaip</w:t>
                      </w:r>
                      <w:r>
                        <w:t xml:space="preserve"> tarpiniai pasėliai, įskaitant posėlius ir antsėlius, su sąlyga, kad tokiems tarpiniams pasėliams nereikia papildomos žemės. </w:t>
                      </w:r>
                    </w:p>
                  </w:sdtContent>
                </w:sdt>
                <w:sdt>
                  <w:sdtPr>
                    <w:alias w:val="2.7 pp."/>
                    <w:tag w:val="part_9b14ff7e7ed4408394bb450c2e2e4fbe"/>
                    <w:lock w:val="sdtLocked"/>
                    <w:richText/>
                  </w:sdtPr>
                  <w:sdtContent>
                    <w:p>
                      <w:pPr>
                        <w:ind w:firstLine="709"/>
                        <w:jc w:val="both"/>
                        <w:rPr>
                          <w:b/>
                          <w:bCs/>
                        </w:rPr>
                      </w:pPr>
                      <w:sdt>
                        <w:sdtPr>
                          <w:alias w:val="Numeris"/>
                          <w:tag w:val="nr_9b14ff7e7ed4408394bb450c2e2e4fbe"/>
                          <w:lock w:val="sdtLocked"/>
                          <w:richText/>
                        </w:sdtPr>
                        <w:sdtContent>
                          <w:r>
                            <w:rPr>
                              <w:rFonts w:eastAsia="MS Mincho"/>
                            </w:rPr>
                            <w:t>2</w:t>
                          </w:r>
                          <w:r>
                            <w:rPr>
                              <w:rFonts w:eastAsia="MS Mincho"/>
                              <w:b/>
                              <w:bCs/>
                            </w:rPr>
                            <w:t>.7</w:t>
                          </w:r>
                        </w:sdtContent>
                      </w:sdt>
                      <w:r>
                        <w:rPr>
                          <w:rFonts w:eastAsia="MS Mincho"/>
                        </w:rPr>
                        <w:t xml:space="preserve">. </w:t>
                      </w:r>
                      <w:r>
                        <w:rPr>
                          <w:rFonts w:eastAsia="MS Mincho"/>
                          <w:b/>
                          <w:bCs/>
                        </w:rPr>
                        <w:t>Mažos anglies dioksido taršos vandenilis</w:t>
                      </w:r>
                      <w:r>
                        <w:rPr>
                          <w:rFonts w:eastAsia="MS Mincho"/>
                          <w:b/>
                          <w:bCs/>
                          <w:sz w:val="20"/>
                        </w:rPr>
                        <w:t xml:space="preserve"> – </w:t>
                      </w:r>
                      <w:r>
                        <w:t>vandenilis, kuris gaunamas iš neatsinaujinančių energijos išteklių ir kuris atitinka išmetamų šiltnamio efektą sukeliančių dujų 70 procentų sumažinimo, palyginti su iškastiniu kuru, kriterijų.</w:t>
                      </w:r>
                    </w:p>
                  </w:sdtContent>
                </w:sdt>
                <w:sdt>
                  <w:sdtPr>
                    <w:alias w:val="2.8 pp."/>
                    <w:tag w:val="part_db5b0c04425245faa8335c70cf063912"/>
                    <w:lock w:val="sdtLocked"/>
                    <w:richText/>
                  </w:sdtPr>
                  <w:sdtContent>
                    <w:p>
                      <w:pPr>
                        <w:ind w:firstLine="709"/>
                        <w:jc w:val="both"/>
                        <w:rPr>
                          <w:rFonts w:eastAsia="MS Mincho"/>
                          <w:i/>
                          <w:iCs/>
                          <w:sz w:val="20"/>
                        </w:rPr>
                      </w:pPr>
                      <w:sdt>
                        <w:sdtPr>
                          <w:alias w:val="Numeris"/>
                          <w:tag w:val="nr_db5b0c04425245faa8335c70cf063912"/>
                          <w:lock w:val="sdtLocked"/>
                          <w:richText/>
                        </w:sdtPr>
                        <w:sdtContent>
                          <w:r>
                            <w:t>2.8</w:t>
                          </w:r>
                        </w:sdtContent>
                      </w:sdt>
                      <w:r>
                        <w:t xml:space="preserve">. </w:t>
                      </w:r>
                      <w:r>
                        <w:rPr>
                          <w:b/>
                          <w:bCs/>
                        </w:rPr>
                        <w:t>Miško biomasės</w:t>
                      </w:r>
                      <w:r>
                        <w:t xml:space="preserve"> </w:t>
                      </w:r>
                      <w:r>
                        <w:rPr>
                          <w:b/>
                          <w:bCs/>
                        </w:rPr>
                        <w:t xml:space="preserve">gavybos teritorija – </w:t>
                      </w:r>
                      <w:r>
                        <w:t>geografiškai apibrėžtas plotas, iš kurio gaunama miško biomasės pradinė žaliava ir kuriame sąlygos yra pakankamai vienodos, kad būtų galima įvertinti riziką tvarumo ir teisėtumo atžvilgiu.</w:t>
                      </w:r>
                    </w:p>
                  </w:sdtContent>
                </w:sdt>
                <w:sdt>
                  <w:sdtPr>
                    <w:alias w:val="2.9 pp."/>
                    <w:tag w:val="part_0f52747465b641ba91bb767293f4c50b"/>
                    <w:lock w:val="sdtLocked"/>
                    <w:richText/>
                  </w:sdtPr>
                  <w:sdtContent>
                    <w:p>
                      <w:pPr>
                        <w:ind w:firstLine="709"/>
                        <w:jc w:val="both"/>
                      </w:pPr>
                      <w:sdt>
                        <w:sdtPr>
                          <w:alias w:val="Numeris"/>
                          <w:tag w:val="nr_0f52747465b641ba91bb767293f4c50b"/>
                          <w:lock w:val="sdtLocked"/>
                          <w:richText/>
                        </w:sdtPr>
                        <w:sdtContent>
                          <w:r>
                            <w:t>2.9</w:t>
                          </w:r>
                        </w:sdtContent>
                      </w:sdt>
                      <w:r>
                        <w:t xml:space="preserve">. </w:t>
                      </w:r>
                      <w:r>
                        <w:rPr>
                          <w:b/>
                          <w:bCs/>
                        </w:rPr>
                        <w:t xml:space="preserve">Nemaistinė celiuliozė </w:t>
                      </w:r>
                      <w:r>
                        <w:t xml:space="preserve">– medžiaga, kuri sudaryta daugiausia iš celiuliozės ir hemiceliuliozės ir kurioje lignino yra mažiau nei lignoceliuliozėje. Nemaistinė celiuliozė gaunama iš maistinių ir pašarinių augalų liekanų (pavyzdžiui, šiaudų, kukurūzų kotų, išaižų ir kevalų), žolinių energinių augalų, kuriuose yra mažai krakmolo (pavyzdžiui, aukštųjų avižuolių, sorų, miskantų, didžijų arundinarijų), kaip antsėliai prieš pagrindinius augalus ir po jų naudojamų augalų, pievų augalų, gamybinių atliekų (įskaitant maistinių ir pašarinių augalų liekanas, išgavus aliejų, cukrų, krakmolą ir proteiną) ir iš biologinių atliekų. Pievų augalai ir antsėliai suprantami, kaip laikinose trumpalaikėse apsėjamose ganyklose augančios žolės ir mažai krakmolo turintys ankštiniai augalai, skirti gyvulių pašarui gaminti ir dirvos derlingumui didinti, siekiant gauti didesnį pagrindinių lauko augalų derlių. </w:t>
                      </w:r>
                    </w:p>
                  </w:sdtContent>
                </w:sdt>
                <w:sdt>
                  <w:sdtPr>
                    <w:alias w:val="2.10 pp."/>
                    <w:tag w:val="part_4776e9e1a1de4c3684b796b8ad38eb86"/>
                    <w:lock w:val="sdtLocked"/>
                    <w:richText/>
                  </w:sdtPr>
                  <w:sdtContent>
                    <w:p>
                      <w:pPr>
                        <w:ind w:firstLine="709"/>
                        <w:jc w:val="both"/>
                        <w:rPr>
                          <w:rFonts w:eastAsia="MS Mincho"/>
                        </w:rPr>
                      </w:pPr>
                      <w:sdt>
                        <w:sdtPr>
                          <w:alias w:val="Numeris"/>
                          <w:tag w:val="nr_4776e9e1a1de4c3684b796b8ad38eb86"/>
                          <w:lock w:val="sdtLocked"/>
                          <w:richText/>
                        </w:sdtPr>
                        <w:sdtContent>
                          <w:r>
                            <w:rPr>
                              <w:rFonts w:eastAsia="MS Mincho"/>
                            </w:rPr>
                            <w:t>2.10</w:t>
                          </w:r>
                        </w:sdtContent>
                      </w:sdt>
                      <w:r>
                        <w:rPr>
                          <w:rFonts w:eastAsia="MS Mincho"/>
                        </w:rPr>
                        <w:t xml:space="preserve">. </w:t>
                      </w:r>
                      <w:r>
                        <w:rPr>
                          <w:rFonts w:eastAsia="MS Mincho"/>
                          <w:b/>
                          <w:bCs/>
                        </w:rPr>
                        <w:t>Saulės energija varoma elektrinė transporto priemonė</w:t>
                      </w:r>
                      <w:r>
                        <w:rPr>
                          <w:rFonts w:eastAsia="MS Mincho"/>
                        </w:rPr>
                        <w:t xml:space="preserve"> – motorinė transporto priemonė, kurioje sumontuota jėgos pavara, turinti vien tik neišorinius elektros įrenginius, veikiančius kaip energijos keitiklis su iš išorės galima įkrauti energijos kaupimo sistema, ir kurioje įrengtos fotovoltinės plokštės.</w:t>
                      </w:r>
                    </w:p>
                  </w:sdtContent>
                </w:sdt>
                <w:sdt>
                  <w:sdtPr>
                    <w:alias w:val="2.11 pp."/>
                    <w:tag w:val="part_cbe78b0812cf4dbf8a5ca269c1b48c29"/>
                    <w:lock w:val="sdtLocked"/>
                    <w:richText/>
                  </w:sdtPr>
                  <w:sdtContent>
                    <w:p>
                      <w:pPr>
                        <w:ind w:firstLine="709"/>
                        <w:jc w:val="both"/>
                        <w:rPr>
                          <w:rFonts w:eastAsia="MS Mincho"/>
                        </w:rPr>
                      </w:pPr>
                      <w:sdt>
                        <w:sdtPr>
                          <w:alias w:val="Numeris"/>
                          <w:tag w:val="nr_cbe78b0812cf4dbf8a5ca269c1b48c29"/>
                          <w:lock w:val="sdtLocked"/>
                          <w:richText/>
                        </w:sdtPr>
                        <w:sdtContent>
                          <w:r>
                            <w:rPr>
                              <w:rFonts w:eastAsia="MS Mincho"/>
                            </w:rPr>
                            <w:t>2.11</w:t>
                          </w:r>
                        </w:sdtContent>
                      </w:sdt>
                      <w:r>
                        <w:rPr>
                          <w:rFonts w:eastAsia="MS Mincho"/>
                        </w:rPr>
                        <w:t>.</w:t>
                      </w:r>
                      <w:r>
                        <w:rPr>
                          <w:rFonts w:eastAsia="MS Mincho"/>
                          <w:b/>
                          <w:bCs/>
                        </w:rPr>
                        <w:t xml:space="preserve"> Sistemos efektyvumas</w:t>
                      </w:r>
                      <w:r>
                        <w:rPr>
                          <w:rFonts w:eastAsia="MS Mincho"/>
                        </w:rPr>
                        <w:t xml:space="preserve"> – sistemos savybė, užtikrinanti efektyvų energijos vartojimą, sudarant sąlygas ekonomiškai efektyviai ir lanksčiai siekti priklausomybės nuo iškastinio kuro mažinimo ir efektyviai naudoti išteklius.</w:t>
                      </w:r>
                    </w:p>
                  </w:sdtContent>
                </w:sdt>
                <w:sdt>
                  <w:sdtPr>
                    <w:alias w:val="2.12 pp."/>
                    <w:tag w:val="part_8d679df9f0434fea8239084d9a54e0f6"/>
                    <w:lock w:val="sdtLocked"/>
                    <w:richText/>
                  </w:sdtPr>
                  <w:sdtContent>
                    <w:p>
                      <w:pPr>
                        <w:ind w:firstLine="709"/>
                        <w:jc w:val="both"/>
                      </w:pPr>
                      <w:sdt>
                        <w:sdtPr>
                          <w:alias w:val="Numeris"/>
                          <w:tag w:val="nr_8d679df9f0434fea8239084d9a54e0f6"/>
                          <w:lock w:val="sdtLocked"/>
                          <w:richText/>
                        </w:sdtPr>
                        <w:sdtContent>
                          <w:r>
                            <w:t>2.12</w:t>
                          </w:r>
                        </w:sdtContent>
                      </w:sdt>
                      <w:r>
                        <w:t>.</w:t>
                      </w:r>
                      <w:r>
                        <w:rPr>
                          <w:b/>
                          <w:bCs/>
                        </w:rPr>
                        <w:t xml:space="preserve"> Vandenilis</w:t>
                      </w:r>
                      <w:r>
                        <w:t xml:space="preserve"> – lengviausias ir labiausiai paplitęs cheminis elementas žemėje. Normaliomis sąlygomis tai bespalvės, bekvapės, itin degios dviatomės dujos. </w:t>
                      </w:r>
                    </w:p>
                  </w:sdtContent>
                </w:sdt>
                <w:sdt>
                  <w:sdtPr>
                    <w:alias w:val="2.13 pp."/>
                    <w:tag w:val="part_262536efe4cd41e18a555b9dafadd7ec"/>
                    <w:lock w:val="sdtLocked"/>
                    <w:richText/>
                  </w:sdtPr>
                  <w:sdtContent>
                    <w:p>
                      <w:pPr>
                        <w:spacing w:line="257" w:lineRule="auto"/>
                        <w:ind w:firstLine="709"/>
                        <w:jc w:val="both"/>
                      </w:pPr>
                      <w:sdt>
                        <w:sdtPr>
                          <w:alias w:val="Numeris"/>
                          <w:tag w:val="nr_262536efe4cd41e18a555b9dafadd7ec"/>
                          <w:lock w:val="sdtLocked"/>
                          <w:richText/>
                        </w:sdtPr>
                        <w:sdtContent>
                          <w:r>
                            <w:t>2.13</w:t>
                          </w:r>
                        </w:sdtContent>
                      </w:sdt>
                      <w:r>
                        <w:t>.</w:t>
                      </w:r>
                      <w:r>
                        <w:rPr>
                          <w:b/>
                          <w:bCs/>
                        </w:rPr>
                        <w:t xml:space="preserve"> Vandenilis iš iškastinio kuro – </w:t>
                      </w:r>
                      <w:r>
                        <w:t>vandenilis, kuris gaunamas įvairiais gamybos metodais iš iškastinio kuro (naftos, gamtinių dujų, akmens anglių ir kt.) ir kurį gaminant išmetamas anglies dioksidas nėra surenkamas ir patenka į atmosferą.</w:t>
                      </w:r>
                    </w:p>
                  </w:sdtContent>
                </w:sdt>
                <w:sdt>
                  <w:sdtPr>
                    <w:alias w:val="2.14 pp."/>
                    <w:tag w:val="part_90e2ae85406447a19559bf26030a58ac"/>
                    <w:lock w:val="sdtLocked"/>
                    <w:richText/>
                  </w:sdtPr>
                  <w:sdtContent>
                    <w:p>
                      <w:pPr>
                        <w:ind w:firstLine="709"/>
                        <w:jc w:val="both"/>
                      </w:pPr>
                      <w:sdt>
                        <w:sdtPr>
                          <w:alias w:val="Numeris"/>
                          <w:tag w:val="nr_90e2ae85406447a19559bf26030a58ac"/>
                          <w:lock w:val="sdtLocked"/>
                          <w:richText/>
                        </w:sdtPr>
                        <w:sdtContent>
                          <w:r>
                            <w:t>2.14</w:t>
                          </w:r>
                        </w:sdtContent>
                      </w:sdt>
                      <w:r>
                        <w:t xml:space="preserve">. </w:t>
                      </w:r>
                      <w:r>
                        <w:rPr>
                          <w:b/>
                          <w:bCs/>
                        </w:rPr>
                        <w:t>Žemės ūkio, akvakultūros, žuvininkystės ir miškininkystės veiklos liekanos</w:t>
                      </w:r>
                      <w:r>
                        <w:t xml:space="preserve"> – liekanos, gaunamos vykdant žemės ūkio, akvakultūros, žuvininkystės ir miškininkystės veiklą, išskyrus susijusių pramonės šakų ir perdirbimo liekanas.</w:t>
                      </w:r>
                    </w:p>
                  </w:sdtContent>
                </w:sdt>
                <w:sdt>
                  <w:sdtPr>
                    <w:alias w:val="2.15 pp."/>
                    <w:tag w:val="part_c276bb5e9b454461b639b85f818d7f7e"/>
                    <w:lock w:val="sdtLocked"/>
                    <w:richText/>
                  </w:sdtPr>
                  <w:sdtContent>
                    <w:p>
                      <w:pPr>
                        <w:ind w:firstLine="709"/>
                        <w:jc w:val="both"/>
                        <w:rPr>
                          <w:rFonts w:eastAsia="MS Mincho"/>
                          <w:i/>
                          <w:iCs/>
                          <w:sz w:val="20"/>
                        </w:rPr>
                      </w:pPr>
                      <w:sdt>
                        <w:sdtPr>
                          <w:alias w:val="Numeris"/>
                          <w:tag w:val="nr_c276bb5e9b454461b639b85f818d7f7e"/>
                          <w:lock w:val="sdtLocked"/>
                          <w:richText/>
                        </w:sdtPr>
                        <w:sdtContent>
                          <w:r>
                            <w:t>2.15</w:t>
                          </w:r>
                        </w:sdtContent>
                      </w:sdt>
                      <w:r>
                        <w:t xml:space="preserve">. </w:t>
                      </w:r>
                      <w:r>
                        <w:rPr>
                          <w:b/>
                          <w:bCs/>
                        </w:rPr>
                        <w:t xml:space="preserve">Žemės ūkio biomasė – </w:t>
                      </w:r>
                      <w:r>
                        <w:t>žemės ūkyje gaunama biomasė.</w:t>
                      </w:r>
                    </w:p>
                  </w:sdtContent>
                </w:sdt>
                <w:sdt>
                  <w:sdtPr>
                    <w:alias w:val="2.16 pp."/>
                    <w:tag w:val="part_67364d66d8564d9a9751c1c995f61a51"/>
                    <w:lock w:val="sdtLocked"/>
                    <w:richText/>
                  </w:sdtPr>
                  <w:sdtContent>
                    <w:p>
                      <w:pPr>
                        <w:ind w:firstLine="709"/>
                        <w:jc w:val="both"/>
                        <w:rPr>
                          <w:color w:val="000000"/>
                        </w:rPr>
                      </w:pPr>
                      <w:sdt>
                        <w:sdtPr>
                          <w:alias w:val="Numeris"/>
                          <w:tag w:val="nr_67364d66d8564d9a9751c1c995f61a51"/>
                          <w:lock w:val="sdtLocked"/>
                          <w:richText/>
                        </w:sdtPr>
                        <w:sdtContent>
                          <w:r>
                            <w:t>2.16</w:t>
                          </w:r>
                        </w:sdtContent>
                      </w:sdt>
                      <w:r>
                        <w:t xml:space="preserve">. </w:t>
                      </w:r>
                      <w:r>
                        <w:rPr>
                          <w:color w:val="000000"/>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jc w:val="both"/>
                        <w:rPr>
                          <w:color w:val="000000"/>
                        </w:rPr>
                      </w:pPr>
                    </w:p>
                  </w:sdtContent>
                </w:sdt>
              </w:sdtContent>
            </w:sdt>
          </w:sdtContent>
        </w:sdt>
        <w:sdt>
          <w:sdtPr>
            <w:alias w:val="skyrius"/>
            <w:tag w:val="part_557fbfc4e45e4855bbb60899c4e594f6"/>
            <w:lock w:val="sdtLocked"/>
            <w:richText/>
          </w:sdtPr>
          <w:sdtContent>
            <w:p>
              <w:pPr>
                <w:keepNext/>
                <w:jc w:val="center"/>
                <w:rPr>
                  <w:b/>
                  <w:bCs/>
                </w:rPr>
              </w:pPr>
              <w:sdt>
                <w:sdtPr>
                  <w:alias w:val="Numeris"/>
                  <w:tag w:val="nr_557fbfc4e45e4855bbb60899c4e594f6"/>
                  <w:lock w:val="sdtLocked"/>
                  <w:richText/>
                </w:sdtPr>
                <w:sdtContent>
                  <w:r>
                    <w:rPr>
                      <w:b/>
                      <w:bCs/>
                    </w:rPr>
                    <w:t>II</w:t>
                  </w:r>
                </w:sdtContent>
              </w:sdt>
              <w:r>
                <w:rPr>
                  <w:b/>
                  <w:bCs/>
                </w:rPr>
                <w:t xml:space="preserve"> SKYRIUS</w:t>
              </w:r>
            </w:p>
            <w:p>
              <w:pPr>
                <w:keepNext/>
                <w:jc w:val="center"/>
                <w:rPr>
                  <w:b/>
                  <w:bCs/>
                </w:rPr>
              </w:pPr>
              <w:sdt>
                <w:sdtPr>
                  <w:alias w:val="Pavadinimas"/>
                  <w:tag w:val="title_557fbfc4e45e4855bbb60899c4e594f6"/>
                  <w:lock w:val="sdtLocked"/>
                  <w:richText/>
                </w:sdtPr>
                <w:sdtContent>
                  <w:r>
                    <w:rPr>
                      <w:b/>
                      <w:bCs/>
                    </w:rPr>
                    <w:t>APSKAIČIAVIMAI PAGAL METODIKĄ</w:t>
                  </w:r>
                </w:sdtContent>
              </w:sdt>
            </w:p>
            <w:p>
              <w:pPr>
                <w:keepNext/>
                <w:ind w:firstLine="709"/>
                <w:jc w:val="both"/>
                <w:rPr>
                  <w:color w:val="000000"/>
                </w:rPr>
              </w:pPr>
            </w:p>
            <w:sdt>
              <w:sdtPr>
                <w:alias w:val="3 p."/>
                <w:tag w:val="part_8f1af753c8bb4f14a377666a50445be7"/>
                <w:lock w:val="sdtLocked"/>
                <w:richText/>
              </w:sdtPr>
              <w:sdtContent>
                <w:p>
                  <w:pPr>
                    <w:keepNext/>
                    <w:ind w:firstLine="709"/>
                    <w:jc w:val="both"/>
                    <w:rPr>
                      <w:color w:val="000000"/>
                    </w:rPr>
                  </w:pPr>
                  <w:sdt>
                    <w:sdtPr>
                      <w:alias w:val="Numeris"/>
                      <w:tag w:val="nr_8f1af753c8bb4f14a377666a50445be7"/>
                      <w:lock w:val="sdtLocked"/>
                      <w:richText/>
                    </w:sdtPr>
                    <w:sdtContent>
                      <w:r>
                        <w:rPr>
                          <w:color w:val="000000"/>
                        </w:rPr>
                        <w:t>3</w:t>
                      </w:r>
                    </w:sdtContent>
                  </w:sdt>
                  <w:r>
                    <w:rPr>
                      <w:color w:val="000000"/>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rPr>
                  </w:pPr>
                  <w:r>
                    <w:rPr>
                      <w:color w:val="000000"/>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šalimis įgyvendinimo rezultatus ir bendras su kitomis valstybėmis narėmis paramos schemas.</w:t>
                  </w:r>
                </w:p>
              </w:sdtContent>
            </w:sdt>
            <w:sdt>
              <w:sdtPr>
                <w:alias w:val="4 p."/>
                <w:tag w:val="part_a97401bfb3684095a718416ed107de1d"/>
                <w:lock w:val="sdtLocked"/>
                <w:richText/>
              </w:sdtPr>
              <w:sdtContent>
                <w:p>
                  <w:pPr>
                    <w:ind w:firstLine="709"/>
                    <w:jc w:val="both"/>
                    <w:rPr>
                      <w:color w:val="000000"/>
                    </w:rPr>
                  </w:pPr>
                  <w:sdt>
                    <w:sdtPr>
                      <w:alias w:val="Numeris"/>
                      <w:tag w:val="nr_a97401bfb3684095a718416ed107de1d"/>
                      <w:lock w:val="sdtLocked"/>
                      <w:richText/>
                    </w:sdtPr>
                    <w:sdtContent>
                      <w:r>
                        <w:rPr>
                          <w:color w:val="000000"/>
                        </w:rPr>
                        <w:t>4</w:t>
                      </w:r>
                    </w:sdtContent>
                  </w:sdt>
                  <w:r>
                    <w:rPr>
                      <w:color w:val="000000"/>
                    </w:rPr>
                    <w:t>. Bendrasis galutinis visų energijos išteklių suvartojimas apskaičiuojamas sudedant:</w:t>
                  </w:r>
                </w:p>
                <w:sdt>
                  <w:sdtPr>
                    <w:alias w:val="4.1 pp."/>
                    <w:tag w:val="part_a78f04b272034e4e9ec7c35859cff903"/>
                    <w:lock w:val="sdtLocked"/>
                    <w:richText/>
                  </w:sdtPr>
                  <w:sdtContent>
                    <w:p>
                      <w:pPr>
                        <w:ind w:firstLine="709"/>
                        <w:jc w:val="both"/>
                        <w:rPr>
                          <w:color w:val="000000"/>
                        </w:rPr>
                      </w:pPr>
                      <w:sdt>
                        <w:sdtPr>
                          <w:alias w:val="Numeris"/>
                          <w:tag w:val="nr_a78f04b272034e4e9ec7c35859cff903"/>
                          <w:lock w:val="sdtLocked"/>
                          <w:richText/>
                        </w:sdtPr>
                        <w:sdtContent>
                          <w:r>
                            <w:rPr>
                              <w:color w:val="000000"/>
                            </w:rPr>
                            <w:t>4.1</w:t>
                          </w:r>
                        </w:sdtContent>
                      </w:sdt>
                      <w:r>
                        <w:rPr>
                          <w:color w:val="000000"/>
                        </w:rPr>
                        <w:t>. energijos kiekį, suvartotą pramonės, transporto, namų ūkių, paslaugų (įskaitant viešąsias paslaugas), žemės ūkio, miškininkystės ir žuvininkystės sektorių;</w:t>
                      </w:r>
                    </w:p>
                  </w:sdtContent>
                </w:sdt>
                <w:sdt>
                  <w:sdtPr>
                    <w:alias w:val="4.2 pp."/>
                    <w:tag w:val="part_ee4e1d42c9574ae3a1df786882133bbe"/>
                    <w:lock w:val="sdtLocked"/>
                    <w:richText/>
                  </w:sdtPr>
                  <w:sdtContent>
                    <w:p>
                      <w:pPr>
                        <w:ind w:firstLine="709"/>
                        <w:jc w:val="both"/>
                        <w:rPr>
                          <w:color w:val="000000"/>
                        </w:rPr>
                      </w:pPr>
                      <w:sdt>
                        <w:sdtPr>
                          <w:alias w:val="Numeris"/>
                          <w:tag w:val="nr_ee4e1d42c9574ae3a1df786882133bbe"/>
                          <w:lock w:val="sdtLocked"/>
                          <w:richText/>
                        </w:sdtPr>
                        <w:sdtContent>
                          <w:r>
                            <w:rPr>
                              <w:color w:val="000000"/>
                            </w:rPr>
                            <w:t>4.2</w:t>
                          </w:r>
                        </w:sdtContent>
                      </w:sdt>
                      <w:r>
                        <w:rPr>
                          <w:color w:val="000000"/>
                        </w:rPr>
                        <w:t>. elektros ir šilumos energijos kiekį, kurį elektros ir šilumos energijos gamybai sunaudoja energetikos sektorius;</w:t>
                      </w:r>
                    </w:p>
                  </w:sdtContent>
                </w:sdt>
                <w:sdt>
                  <w:sdtPr>
                    <w:alias w:val="4.3 pp."/>
                    <w:tag w:val="part_2650cee498814920acf2b31aa7613417"/>
                    <w:lock w:val="sdtLocked"/>
                    <w:richText/>
                  </w:sdtPr>
                  <w:sdtContent>
                    <w:p>
                      <w:pPr>
                        <w:ind w:firstLine="709"/>
                        <w:jc w:val="both"/>
                        <w:rPr>
                          <w:color w:val="000000"/>
                        </w:rPr>
                      </w:pPr>
                      <w:sdt>
                        <w:sdtPr>
                          <w:alias w:val="Numeris"/>
                          <w:tag w:val="nr_2650cee498814920acf2b31aa7613417"/>
                          <w:lock w:val="sdtLocked"/>
                          <w:richText/>
                        </w:sdtPr>
                        <w:sdtContent>
                          <w:r>
                            <w:rPr>
                              <w:color w:val="000000"/>
                            </w:rPr>
                            <w:t>4.3</w:t>
                          </w:r>
                        </w:sdtContent>
                      </w:sdt>
                      <w:r>
                        <w:rPr>
                          <w:color w:val="000000"/>
                        </w:rPr>
                        <w:t>. elektros ir šilumos energijos nuostolius, susidariusius elektros ir šilumos energijos skirstymo ir perdavimo metu.</w:t>
                      </w:r>
                    </w:p>
                  </w:sdtContent>
                </w:sdt>
              </w:sdtContent>
            </w:sdt>
            <w:sdt>
              <w:sdtPr>
                <w:alias w:val="5 p."/>
                <w:tag w:val="part_4932da76fe004d65aa8dc9375677f0b1"/>
                <w:lock w:val="sdtLocked"/>
                <w:richText/>
              </w:sdtPr>
              <w:sdtContent>
                <w:p>
                  <w:pPr>
                    <w:ind w:firstLine="709"/>
                    <w:jc w:val="both"/>
                    <w:rPr>
                      <w:color w:val="000000"/>
                    </w:rPr>
                  </w:pPr>
                  <w:sdt>
                    <w:sdtPr>
                      <w:alias w:val="Numeris"/>
                      <w:tag w:val="nr_4932da76fe004d65aa8dc9375677f0b1"/>
                      <w:lock w:val="sdtLocked"/>
                      <w:richText/>
                    </w:sdtPr>
                    <w:sdtContent>
                      <w:r>
                        <w:rPr>
                          <w:color w:val="000000"/>
                        </w:rPr>
                        <w:t>5</w:t>
                      </w:r>
                    </w:sdtContent>
                  </w:sdt>
                  <w:r>
                    <w:rPr>
                      <w:color w:val="000000"/>
                    </w:rPr>
                    <w:t>. Apskaičiuojant atsinaujinančių energijos išteklių dalį, palyginti su bendruoju galutiniu energijos suvartojimu, siekiant nustatyti, ar ji atitinka planinį 2030 metų rodiklį ir orientacinę trajektoriją, ir atsižvelgiant į prognozuojamą vidutinę atsinaujinančių energijos išteklių dalį, laikoma, kad aviacijos sektorius sunaudoja ne daugiau kaip 6,18 procento, palyginti su šalies bendruoju galutiniu energijos suvartojimu.</w:t>
                  </w:r>
                </w:p>
              </w:sdtContent>
            </w:sdt>
            <w:sdt>
              <w:sdtPr>
                <w:alias w:val="6 p."/>
                <w:tag w:val="part_f1a2732b31714636b1b7f2e5d06b435b"/>
                <w:lock w:val="sdtLocked"/>
                <w:richText/>
              </w:sdtPr>
              <w:sdtContent>
                <w:p>
                  <w:pPr>
                    <w:ind w:firstLine="709"/>
                    <w:jc w:val="both"/>
                    <w:rPr>
                      <w:color w:val="000000"/>
                    </w:rPr>
                  </w:pPr>
                  <w:sdt>
                    <w:sdtPr>
                      <w:alias w:val="Numeris"/>
                      <w:tag w:val="nr_f1a2732b31714636b1b7f2e5d06b435b"/>
                      <w:lock w:val="sdtLocked"/>
                      <w:richText/>
                    </w:sdtPr>
                    <w:sdtContent>
                      <w:r>
                        <w:rPr>
                          <w:color w:val="000000"/>
                        </w:rPr>
                        <w:t>6</w:t>
                      </w:r>
                    </w:sdtContent>
                  </w:sdt>
                  <w:r>
                    <w:t>. </w:t>
                  </w:r>
                  <w:r>
                    <w:rPr>
                      <w:color w:val="000000"/>
                    </w:rPr>
                    <w:t>Bendrasis galutinis atsinaujinančių energijos išteklių suvartojimas apskaičiuojamas sudedant šiuos rodiklius:</w:t>
                  </w:r>
                </w:p>
                <w:sdt>
                  <w:sdtPr>
                    <w:alias w:val="6.1 pp."/>
                    <w:tag w:val="part_15bffc8da11446388d796ef36b7fa61d"/>
                    <w:lock w:val="sdtLocked"/>
                    <w:richText/>
                  </w:sdtPr>
                  <w:sdtContent>
                    <w:p>
                      <w:pPr>
                        <w:ind w:firstLine="709"/>
                        <w:jc w:val="both"/>
                        <w:rPr>
                          <w:color w:val="000000"/>
                        </w:rPr>
                      </w:pPr>
                      <w:sdt>
                        <w:sdtPr>
                          <w:alias w:val="Numeris"/>
                          <w:tag w:val="nr_15bffc8da11446388d796ef36b7fa61d"/>
                          <w:lock w:val="sdtLocked"/>
                          <w:richText/>
                        </w:sdtPr>
                        <w:sdtContent>
                          <w:r>
                            <w:rPr>
                              <w:color w:val="000000"/>
                            </w:rPr>
                            <w:t>6.1</w:t>
                          </w:r>
                        </w:sdtContent>
                      </w:sdt>
                      <w:r>
                        <w:rPr>
                          <w:color w:val="000000"/>
                        </w:rPr>
                        <w:t>. bendrąjį galutinį elektros energijos, pagamintos iš atsinaujinančių energijos išteklių, suvartojimą;</w:t>
                      </w:r>
                    </w:p>
                  </w:sdtContent>
                </w:sdt>
                <w:sdt>
                  <w:sdtPr>
                    <w:alias w:val="6.2 pp."/>
                    <w:tag w:val="part_0d745c131fbc481391c1b2c32a01e2d4"/>
                    <w:lock w:val="sdtLocked"/>
                    <w:richText/>
                  </w:sdtPr>
                  <w:sdtContent>
                    <w:p>
                      <w:pPr>
                        <w:ind w:firstLine="709"/>
                        <w:jc w:val="both"/>
                        <w:rPr>
                          <w:color w:val="000000"/>
                        </w:rPr>
                      </w:pPr>
                      <w:sdt>
                        <w:sdtPr>
                          <w:alias w:val="Numeris"/>
                          <w:tag w:val="nr_0d745c131fbc481391c1b2c32a01e2d4"/>
                          <w:lock w:val="sdtLocked"/>
                          <w:richText/>
                        </w:sdtPr>
                        <w:sdtContent>
                          <w:r>
                            <w:rPr>
                              <w:color w:val="000000"/>
                            </w:rPr>
                            <w:t>6.2</w:t>
                          </w:r>
                        </w:sdtContent>
                      </w:sdt>
                      <w:r>
                        <w:rPr>
                          <w:color w:val="000000"/>
                        </w:rPr>
                        <w:t xml:space="preserve">. bendrąjį galutinį atsinaujinančių energijos išteklių suvartojimą šildymui ir vėsinimui; </w:t>
                      </w:r>
                    </w:p>
                  </w:sdtContent>
                </w:sdt>
                <w:sdt>
                  <w:sdtPr>
                    <w:alias w:val="6.3 pp."/>
                    <w:tag w:val="part_aaa966b5f4be4179b8c0a644db36d813"/>
                    <w:lock w:val="sdtLocked"/>
                    <w:richText/>
                  </w:sdtPr>
                  <w:sdtContent>
                    <w:p>
                      <w:pPr>
                        <w:spacing w:line="259" w:lineRule="auto"/>
                        <w:ind w:firstLine="709"/>
                        <w:jc w:val="both"/>
                        <w:rPr>
                          <w:color w:val="000000"/>
                        </w:rPr>
                      </w:pPr>
                      <w:sdt>
                        <w:sdtPr>
                          <w:alias w:val="Numeris"/>
                          <w:tag w:val="nr_aaa966b5f4be4179b8c0a644db36d813"/>
                          <w:lock w:val="sdtLocked"/>
                          <w:richText/>
                        </w:sdtPr>
                        <w:sdtContent>
                          <w:r>
                            <w:rPr>
                              <w:color w:val="000000"/>
                            </w:rPr>
                            <w:t>6.3</w:t>
                          </w:r>
                        </w:sdtContent>
                      </w:sdt>
                      <w:r>
                        <w:rPr>
                          <w:color w:val="000000"/>
                        </w:rPr>
                        <w:t>. bendrąjį galutinį atsinaujinančių energijos išteklių suvartojimą transporto sektoriuje;</w:t>
                      </w:r>
                    </w:p>
                  </w:sdtContent>
                </w:sdt>
                <w:sdt>
                  <w:sdtPr>
                    <w:alias w:val="6.4 pp."/>
                    <w:tag w:val="part_058f30bf15074d82b09cc5eb08107bc8"/>
                    <w:lock w:val="sdtLocked"/>
                    <w:richText/>
                  </w:sdtPr>
                  <w:sdtContent>
                    <w:p>
                      <w:pPr>
                        <w:spacing w:line="259" w:lineRule="auto"/>
                        <w:ind w:firstLine="709"/>
                        <w:jc w:val="both"/>
                      </w:pPr>
                      <w:sdt>
                        <w:sdtPr>
                          <w:alias w:val="Numeris"/>
                          <w:tag w:val="nr_058f30bf15074d82b09cc5eb08107bc8"/>
                          <w:lock w:val="sdtLocked"/>
                          <w:richText/>
                        </w:sdtPr>
                        <w:sdtContent>
                          <w:r>
                            <w:t>6.4</w:t>
                          </w:r>
                        </w:sdtContent>
                      </w:sdt>
                      <w:r>
                        <w:t xml:space="preserve">. bendrąjį galutinį atsinaujinančių energijos išteklių suvartojimą pramonės sektoriuje, </w:t>
                      </w:r>
                      <w:r>
                        <w:rPr>
                          <w:color w:val="000000"/>
                        </w:rPr>
                        <w:t>kai tai apima įmones ir gaminius, priskiriamus Ekonominės veiklos rūšių klasifikatoriaus B, C ir F sekcijoms ir J sekcijos 63 skyriui</w:t>
                      </w:r>
                      <w:r>
                        <w:t>.</w:t>
                      </w:r>
                    </w:p>
                  </w:sdtContent>
                </w:sdt>
              </w:sdtContent>
            </w:sdt>
            <w:sdt>
              <w:sdtPr>
                <w:alias w:val="7 p."/>
                <w:tag w:val="part_04fda19a5c6944869301d9713822de4d"/>
                <w:lock w:val="sdtLocked"/>
                <w:richText/>
              </w:sdtPr>
              <w:sdtContent>
                <w:p>
                  <w:pPr>
                    <w:ind w:firstLine="709"/>
                    <w:jc w:val="both"/>
                  </w:pPr>
                  <w:sdt>
                    <w:sdtPr>
                      <w:alias w:val="Numeris"/>
                      <w:tag w:val="nr_04fda19a5c6944869301d9713822de4d"/>
                      <w:lock w:val="sdtLocked"/>
                      <w:richText/>
                    </w:sdtPr>
                    <w:sdtContent>
                      <w:r>
                        <w:t>7</w:t>
                      </w:r>
                    </w:sdtContent>
                  </w:sdt>
                  <w:r>
                    <w:t>. </w:t>
                  </w:r>
                  <w:r>
                    <w:rPr>
                      <w:color w:val="000000"/>
                    </w:rPr>
                    <w:t xml:space="preserve">Apskaičiuojant atsinaujinančių energijos išteklių dalį, palyginti su bendruoju galutiniu energijos suvartojimu, į dujas, elektros energiją ir </w:t>
                  </w:r>
                  <w:r>
                    <w:t>iš atsinaujinančių energijos šaltinių pagamintą nebiologinės kilmės kurą</w:t>
                  </w:r>
                  <w:r>
                    <w:rPr>
                      <w:color w:val="000000"/>
                    </w:rPr>
                    <w:t>, pagamintus iš atsinaujinančių energijos išteklių, atsižvelgiama tik vieną kartą pagal Metodikos 6.1, 6.2, 6.3 arba 6.4 papunkčius. Energija, pagaminta naudojant iš atsinaujinančių energijos išteklių pagamintą nebiologinės kilmės kurą, įskaitoma į sektorių, kuriame ji suvartojama (elektros energijos, šildymo ir vėsinimo bei transporto). Apskaičiuojant atsinaujinančių energijos išteklių dalį, a</w:t>
                  </w:r>
                  <w:r>
                    <w:t>tsižvelgiama tik į tą iš atsinaujinančių energijos išteklių pagamintą nebiologinės kilmės kurą, biodegalus, skystuosius bioproduktus ir biomasės kurą, kurie atitinka nustatytus jų tvarumo ir išmetamųjų šiltnamio efektą sukeliančių dujų kiekio sumažėjimo kriterijus ir taikymo sąlygas.</w:t>
                  </w:r>
                </w:p>
              </w:sdtContent>
            </w:sdt>
            <w:sdt>
              <w:sdtPr>
                <w:alias w:val="8 p."/>
                <w:tag w:val="part_d5f9807827dd4f8690177a4c3dc32aea"/>
                <w:lock w:val="sdtLocked"/>
                <w:richText/>
              </w:sdtPr>
              <w:sdtContent>
                <w:p>
                  <w:pPr>
                    <w:ind w:firstLine="709"/>
                    <w:jc w:val="both"/>
                  </w:pPr>
                  <w:sdt>
                    <w:sdtPr>
                      <w:alias w:val="Numeris"/>
                      <w:tag w:val="nr_d5f9807827dd4f8690177a4c3dc32aea"/>
                      <w:lock w:val="sdtLocked"/>
                      <w:richText/>
                    </w:sdtPr>
                    <w:sdtContent>
                      <w:r>
                        <w:t>8</w:t>
                      </w:r>
                    </w:sdtContent>
                  </w:sdt>
                  <w:r>
                    <w:t>. Apskaičiuojant bendrąjį galutinį elektros energijos iš atsinaujinančių energijos išteklių suvartojimą:</w:t>
                  </w:r>
                </w:p>
                <w:sdt>
                  <w:sdtPr>
                    <w:alias w:val="8.1 pp."/>
                    <w:tag w:val="part_1b29d43037d1491aa5324bae2a97d6f1"/>
                    <w:lock w:val="sdtLocked"/>
                    <w:richText/>
                  </w:sdtPr>
                  <w:sdtContent>
                    <w:p>
                      <w:pPr>
                        <w:ind w:firstLine="709"/>
                        <w:jc w:val="both"/>
                      </w:pPr>
                      <w:sdt>
                        <w:sdtPr>
                          <w:alias w:val="Numeris"/>
                          <w:tag w:val="nr_1b29d43037d1491aa5324bae2a97d6f1"/>
                          <w:lock w:val="sdtLocked"/>
                          <w:richText/>
                        </w:sdtPr>
                        <w:sdtContent>
                          <w:r>
                            <w:t>8.1</w:t>
                          </w:r>
                        </w:sdtContent>
                      </w:sdt>
                      <w:r>
                        <w:t>. įskaitoma elektros energija, kurią iš atsinaujinančių išteklių pasigamino vartotojai ir atsinaujinančių išteklių energijos bendrijos ir elektros energija, pagaminta naudojant iš atsinaujinančių energijos išteklių pagamintą nebiologinės kilmės kurą;</w:t>
                      </w:r>
                    </w:p>
                  </w:sdtContent>
                </w:sdt>
                <w:sdt>
                  <w:sdtPr>
                    <w:alias w:val="8.2 pp."/>
                    <w:tag w:val="part_d3c0f70e5aa44643a283308562213ece"/>
                    <w:lock w:val="sdtLocked"/>
                    <w:richText/>
                  </w:sdtPr>
                  <w:sdtContent>
                    <w:p>
                      <w:pPr>
                        <w:ind w:firstLine="709"/>
                        <w:jc w:val="both"/>
                      </w:pPr>
                      <w:sdt>
                        <w:sdtPr>
                          <w:alias w:val="Numeris"/>
                          <w:tag w:val="nr_d3c0f70e5aa44643a283308562213ece"/>
                          <w:lock w:val="sdtLocked"/>
                          <w:richText/>
                        </w:sdtPr>
                        <w:sdtContent>
                          <w:r>
                            <w:t>8.2</w:t>
                          </w:r>
                        </w:sdtContent>
                      </w:sdt>
                      <w:r>
                        <w:t>. neįskaitoma elektros energija, pagaminama hidroakumuliacinių įrenginių, naudojančių prieš tai į aukštutinį baseiną pakeltą vandenį ir elektros energija, naudojama iš atsinaujinančių energijos išteklių pagamintam nebiologinės kilmės kurui gaminti;</w:t>
                      </w:r>
                    </w:p>
                  </w:sdtContent>
                </w:sdt>
                <w:sdt>
                  <w:sdtPr>
                    <w:alias w:val="8.3 pp."/>
                    <w:tag w:val="part_756982b7642749a687a5e00a6466be61"/>
                    <w:lock w:val="sdtLocked"/>
                    <w:richText/>
                  </w:sdtPr>
                  <w:sdtContent>
                    <w:p>
                      <w:pPr>
                        <w:ind w:firstLine="709"/>
                        <w:jc w:val="both"/>
                        <w:rPr>
                          <w:color w:val="000000"/>
                        </w:rPr>
                      </w:pPr>
                      <w:sdt>
                        <w:sdtPr>
                          <w:alias w:val="Numeris"/>
                          <w:tag w:val="nr_756982b7642749a687a5e00a6466be61"/>
                          <w:lock w:val="sdtLocked"/>
                          <w:richText/>
                        </w:sdtPr>
                        <w:sdtContent>
                          <w:r>
                            <w:t>8.3</w:t>
                          </w:r>
                        </w:sdtContent>
                      </w:sdt>
                      <w:r>
                        <w:t>. į</w:t>
                      </w:r>
                      <w:r>
                        <w:rPr>
                          <w:color w:val="000000"/>
                        </w:rPr>
                        <w:t>vairų kurą deginančių jėgainių, kurios naudoja atsinaujinančius ir neatsinaujinančius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53993e4b09544d4d8f29100b8d3a1173"/>
                    <w:lock w:val="sdtLocked"/>
                    <w:richText/>
                  </w:sdtPr>
                  <w:sdtContent>
                    <w:p>
                      <w:pPr>
                        <w:ind w:firstLine="709"/>
                        <w:jc w:val="both"/>
                      </w:pPr>
                      <w:sdt>
                        <w:sdtPr>
                          <w:alias w:val="Numeris"/>
                          <w:tag w:val="nr_53993e4b09544d4d8f29100b8d3a1173"/>
                          <w:lock w:val="sdtLocked"/>
                          <w:richText/>
                        </w:sdtPr>
                        <w:sdtContent>
                          <w:r>
                            <w:t>8.4</w:t>
                          </w:r>
                        </w:sdtContent>
                      </w:sdt>
                      <w:r>
                        <w:t>. iš hidroenergijos, vėjo energijos sausumos teritorijoje ir vėjo energijos jūrinėje teritorijoje pagaminta elektros energija skaičiuojama laikantis normalizavimo taisyklių:</w:t>
                      </w:r>
                    </w:p>
                    <w:sdt>
                      <w:sdtPr>
                        <w:alias w:val="8.4.1 pp."/>
                        <w:tag w:val="part_cc4af4b227804bbb83c5e77e02819857"/>
                        <w:lock w:val="sdtLocked"/>
                        <w:richText/>
                      </w:sdtPr>
                      <w:sdtContent>
                        <w:p>
                          <w:pPr>
                            <w:ind w:firstLine="709"/>
                            <w:jc w:val="both"/>
                          </w:pPr>
                          <w:sdt>
                            <w:sdtPr>
                              <w:alias w:val="Numeris"/>
                              <w:tag w:val="nr_cc4af4b227804bbb83c5e77e02819857"/>
                              <w:lock w:val="sdtLocked"/>
                              <w:richText/>
                            </w:sdtPr>
                            <w:sdtContent>
                              <w:r>
                                <w:t>8.4.1</w:t>
                              </w:r>
                            </w:sdtContent>
                          </w:sdt>
                          <w:r>
                            <w:t>. elektros energijos kiekio, pagaminto iš hidroenergijos, normalizavimo taisyklė:</w:t>
                          </w:r>
                        </w:p>
                        <w:p>
                          <w:pPr/>
                        </w:p>
                        <w:p>
                          <w:pPr/>
                          <w:r>
                            <w:rPr>
                              <w:lang w:eastAsia="lt-LT"/>
                            </w:rPr>
                            <w:drawing>
                              <wp:inline distT="0" distB="0" distL="0" distR="0">
                                <wp:extent cx="2085975" cy="51435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t>, kur:</w:t>
                          </w:r>
                        </w:p>
                        <w:p>
                          <w:pPr/>
                        </w:p>
                        <w:p>
                          <w:pPr>
                            <w:ind w:firstLine="709"/>
                            <w:jc w:val="both"/>
                            <w:rPr>
                              <w:color w:val="000000"/>
                            </w:rPr>
                          </w:pPr>
                          <w:r>
                            <w:rPr>
                              <w:color w:val="000000"/>
                            </w:rPr>
                            <w:t>N – ataskaitiniai metai;</w:t>
                          </w:r>
                        </w:p>
                        <w:p>
                          <w:pPr>
                            <w:ind w:firstLine="709"/>
                            <w:jc w:val="both"/>
                          </w:pPr>
                          <w:r>
                            <w:t>Q</w:t>
                          </w:r>
                          <w:r>
                            <w:rPr>
                              <w:i/>
                              <w:iCs/>
                              <w:vertAlign w:val="subscript"/>
                            </w:rPr>
                            <w:t>N</w:t>
                          </w:r>
                          <w:r>
                            <w:rPr>
                              <w:vertAlign w:val="subscript"/>
                            </w:rPr>
                            <w:t>(</w:t>
                          </w:r>
                          <w:r>
                            <w:rPr>
                              <w:i/>
                              <w:iCs/>
                              <w:vertAlign w:val="subscript"/>
                            </w:rPr>
                            <w:t xml:space="preserve">norm) </w:t>
                          </w:r>
                          <w:r>
                            <w:t>– apskaičiuoti elektros energijai, pagamintai iš hidroenergijos, naudojamas normalizuotas elektros energijos kiekis, pagamintas visose hidroelektrinėse N</w:t>
                          </w:r>
                          <w:r>
                            <w:rPr>
                              <w:i/>
                              <w:iCs/>
                            </w:rPr>
                            <w:t>-</w:t>
                          </w:r>
                          <w:r>
                            <w:t>aisiais metais;</w:t>
                          </w:r>
                        </w:p>
                        <w:p>
                          <w:pPr>
                            <w:ind w:firstLine="709"/>
                            <w:jc w:val="both"/>
                          </w:pPr>
                          <w:r>
                            <w:t>Q</w:t>
                          </w:r>
                          <w:r>
                            <w:rPr>
                              <w:i/>
                              <w:iCs/>
                              <w:vertAlign w:val="subscript"/>
                            </w:rPr>
                            <w:t xml:space="preserve">i </w:t>
                          </w:r>
                          <w:r>
                            <w:t xml:space="preserve">– elektros energijos kiekis, faktiškai pagamintas visose hidroelektrinėse i-aisiais </w:t>
                          </w:r>
                          <w:r>
                            <w:rPr>
                              <w:spacing w:val="-2"/>
                            </w:rPr>
                            <w:t>metais, matuojamas GWh, neįskaitant elektros energijos kiekio, pagaminto hidroakumuliacinių</w:t>
                          </w:r>
                          <w:r>
                            <w:t xml:space="preserve"> įrenginių, naudojančių prieš tai pakeltą vandenį;</w:t>
                          </w:r>
                        </w:p>
                        <w:p>
                          <w:pPr>
                            <w:ind w:firstLine="709"/>
                            <w:jc w:val="both"/>
                          </w:pPr>
                          <w:r>
                            <w:t>C</w:t>
                          </w:r>
                          <w:r>
                            <w:rPr>
                              <w:i/>
                              <w:iCs/>
                              <w:vertAlign w:val="subscript"/>
                            </w:rPr>
                            <w:t xml:space="preserve">i </w:t>
                          </w:r>
                          <w:r>
                            <w:t>– visų, neįskaitant hidroakumuliacinių, hidroelektrinių bendra įrengtoji galia i metų pabaigoje, matuojama MW.</w:t>
                          </w:r>
                        </w:p>
                      </w:sdtContent>
                    </w:sdt>
                    <w:sdt>
                      <w:sdtPr>
                        <w:alias w:val="8.4.2 pp."/>
                        <w:tag w:val="part_7716599c3f20487880943500ca8af1d4"/>
                        <w:lock w:val="sdtLocked"/>
                        <w:richText/>
                      </w:sdtPr>
                      <w:sdtContent>
                        <w:p>
                          <w:pPr>
                            <w:ind w:firstLine="709"/>
                            <w:jc w:val="both"/>
                            <w:rPr>
                              <w:color w:val="000000"/>
                            </w:rPr>
                          </w:pPr>
                          <w:sdt>
                            <w:sdtPr>
                              <w:alias w:val="Numeris"/>
                              <w:tag w:val="nr_7716599c3f20487880943500ca8af1d4"/>
                              <w:lock w:val="sdtLocked"/>
                              <w:richText/>
                            </w:sdtPr>
                            <w:sdtContent>
                              <w:r>
                                <w:rPr>
                                  <w:color w:val="000000"/>
                                </w:rPr>
                                <w:t>8.4.2</w:t>
                              </w:r>
                            </w:sdtContent>
                          </w:sdt>
                          <w:r>
                            <w:rPr>
                              <w:color w:val="000000"/>
                            </w:rPr>
                            <w:t>. elektros energijos kiekio, pagaminto iš vėjo energijos sausumos teritorijoje, normalizavimo taisyklė:</w:t>
                          </w:r>
                        </w:p>
                        <w:p>
                          <w:pPr/>
                          <w:r>
                            <w:rPr>
                              <w:lang w:eastAsia="lt-LT"/>
                            </w:rPr>
                            <w:drawing>
                              <wp:inline distT="0" distB="0" distL="0" distR="0">
                                <wp:extent cx="28575" cy="161925"/>
                                <wp:effectExtent l="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
                            <w:rPr>
                              <w:lang w:eastAsia="lt-LT"/>
                            </w:rPr>
                            <w:drawing>
                              <wp:inline distT="0" distB="0" distL="0" distR="0">
                                <wp:extent cx="2781300" cy="571500"/>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33">
                                          <a:extLst>
                                            <a:ext uri="{28A0092B-C50C-407E-A947-70E740481C1C}">
                                              <a14:useLocalDpi xmlns:a14="http://schemas.microsoft.com/office/drawing/2010/main" val="0"/>
                                            </a:ext>
                                          </a:extLst>
                                        </a:blip>
                                        <a:stretch>
                                          <a:fillRect/>
                                        </a:stretch>
                                      </pic:blipFill>
                                      <pic:spPr>
                                        <a:xfrm>
                                          <a:off x="0" y="0"/>
                                          <a:ext cx="2781300" cy="571500"/>
                                        </a:xfrm>
                                        <a:prstGeom prst="rect">
                                          <a:avLst/>
                                        </a:prstGeom>
                                      </pic:spPr>
                                    </pic:pic>
                                  </a:graphicData>
                                </a:graphic>
                              </wp:inline>
                            </w:drawing>
                          </w:r>
                          <w:r>
                            <w:t>, kur:</w:t>
                          </w:r>
                        </w:p>
                        <w:p>
                          <w:pPr>
                            <w:ind w:firstLine="709"/>
                            <w:jc w:val="both"/>
                            <w:rPr>
                              <w:color w:val="000000"/>
                            </w:rPr>
                          </w:pPr>
                          <w:r>
                            <w:rPr>
                              <w:color w:val="000000"/>
                            </w:rPr>
                            <w:t>N – ataskaitiniai metai;</w:t>
                          </w:r>
                        </w:p>
                        <w:p>
                          <w:pPr>
                            <w:ind w:firstLine="709"/>
                            <w:jc w:val="both"/>
                            <w:rPr>
                              <w:color w:val="000000"/>
                            </w:rPr>
                          </w:pPr>
                          <w:r>
                            <w:rPr>
                              <w:lang w:eastAsia="lt-LT"/>
                            </w:rPr>
                            <w:drawing>
                              <wp:inline distT="0" distB="0" distL="0" distR="0">
                                <wp:extent cx="533400" cy="180975"/>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sausumos teritorijoje pagamintai elektros energijai naudojamas normalizuotas elektros energijos kiekis, pagamintas visų vėjo jėgainių sausumos teritorijoje N</w:t>
                          </w:r>
                          <w:r>
                            <w:rPr>
                              <w:i/>
                              <w:iCs/>
                              <w:color w:val="000000"/>
                            </w:rPr>
                            <w:t>-</w:t>
                          </w:r>
                          <w:r>
                            <w:rPr>
                              <w:color w:val="000000"/>
                            </w:rPr>
                            <w:t>aisiais</w:t>
                          </w:r>
                          <w:r>
                            <w:rPr>
                              <w:i/>
                              <w:iCs/>
                              <w:color w:val="000000"/>
                            </w:rPr>
                            <w:t xml:space="preserve"> </w:t>
                          </w:r>
                          <w:r>
                            <w:rPr>
                              <w:color w:val="000000"/>
                            </w:rPr>
                            <w:t>metais;</w:t>
                          </w:r>
                        </w:p>
                        <w:p>
                          <w:pPr>
                            <w:ind w:firstLine="709"/>
                            <w:jc w:val="both"/>
                          </w:pPr>
                          <w:r>
                            <w:t>Q</w:t>
                          </w:r>
                          <w:r>
                            <w:rPr>
                              <w:i/>
                              <w:iCs/>
                              <w:vertAlign w:val="subscript"/>
                            </w:rPr>
                            <w:t xml:space="preserve">i </w:t>
                          </w:r>
                          <w:r>
                            <w:t>– elektros energijos kiekis, faktiškai pagamintas visų vėjo jėgainių sausumos teritorijoje i</w:t>
                          </w:r>
                          <w:r>
                            <w:rPr>
                              <w:i/>
                              <w:iCs/>
                            </w:rPr>
                            <w:t>-</w:t>
                          </w:r>
                          <w:r>
                            <w:t>aisiais</w:t>
                          </w:r>
                          <w:r>
                            <w:rPr>
                              <w:i/>
                              <w:iCs/>
                            </w:rPr>
                            <w:t xml:space="preserve"> </w:t>
                          </w:r>
                          <w:r>
                            <w:t>metais, matuojamas GWh;</w:t>
                          </w:r>
                        </w:p>
                        <w:p>
                          <w:pPr>
                            <w:ind w:firstLine="709"/>
                            <w:jc w:val="both"/>
                          </w:pPr>
                          <w:r>
                            <w:t>C</w:t>
                          </w:r>
                          <w:r>
                            <w:rPr>
                              <w:i/>
                              <w:iCs/>
                              <w:vertAlign w:val="subscript"/>
                            </w:rPr>
                            <w:t xml:space="preserve">j </w:t>
                          </w:r>
                          <w:r>
                            <w:t>– visų vėjo jėgainių sausumos teritorijoje bendra įrengtoji galia j</w:t>
                          </w:r>
                          <w:r>
                            <w:rPr>
                              <w:i/>
                              <w:iCs/>
                            </w:rPr>
                            <w:t xml:space="preserve"> </w:t>
                          </w:r>
                          <w:r>
                            <w:t>metų pabaigoje, matuojama MW;</w:t>
                          </w:r>
                        </w:p>
                        <w:p>
                          <w:pPr>
                            <w:ind w:firstLine="709"/>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
                      <w:sdtPr>
                        <w:alias w:val="8.4.3 pp."/>
                        <w:tag w:val="part_ce408b56cf084af4bac72943ba6adb9c"/>
                        <w:lock w:val="sdtLocked"/>
                        <w:richText/>
                      </w:sdtPr>
                      <w:sdtContent>
                        <w:p>
                          <w:pPr>
                            <w:ind w:firstLine="709"/>
                            <w:jc w:val="both"/>
                            <w:rPr>
                              <w:color w:val="000000"/>
                            </w:rPr>
                          </w:pPr>
                          <w:sdt>
                            <w:sdtPr>
                              <w:alias w:val="Numeris"/>
                              <w:tag w:val="nr_ce408b56cf084af4bac72943ba6adb9c"/>
                              <w:lock w:val="sdtLocked"/>
                              <w:richText/>
                            </w:sdtPr>
                            <w:sdtContent>
                              <w:r>
                                <w:rPr>
                                  <w:color w:val="000000"/>
                                </w:rPr>
                                <w:t>8.4.3</w:t>
                              </w:r>
                            </w:sdtContent>
                          </w:sdt>
                          <w:r>
                            <w:rPr>
                              <w:color w:val="000000"/>
                            </w:rPr>
                            <w:t>. elektros energijos kiekio, pagaminto iš vėjo energijos jūrinėje teritorijoje, normalizavimo taisyklė:</w:t>
                          </w:r>
                        </w:p>
                        <w:p>
                          <w:pPr>
                            <w:ind w:firstLine="567"/>
                            <w:jc w:val="both"/>
                            <w:rPr>
                              <w:color w:val="000000"/>
                            </w:rPr>
                          </w:pPr>
                          <w:r>
                            <w:rPr>
                              <w:lang w:eastAsia="lt-LT"/>
                            </w:rPr>
                            <w:drawing>
                              <wp:inline distT="0" distB="0" distL="0" distR="0">
                                <wp:extent cx="2781300" cy="571500"/>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t>, kur:</w:t>
                          </w:r>
                        </w:p>
                        <w:p>
                          <w:pPr>
                            <w:ind w:firstLine="567"/>
                            <w:jc w:val="both"/>
                            <w:rPr>
                              <w:color w:val="000000"/>
                            </w:rPr>
                          </w:pPr>
                          <w:r>
                            <w:rPr>
                              <w:lang w:eastAsia="lt-LT"/>
                            </w:rPr>
                            <w:drawing>
                              <wp:inline distT="0" distB="0" distL="0" distR="0">
                                <wp:extent cx="533400" cy="180975"/>
                                <wp:effectExtent l="0" t="0" r="0" b="0"/>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jūrinėje teritorijoje pagamintai elektros energijai naudojamas normalizuotas elektros energijos kiekis, pagamintas visų vėjo jėgainių jūrinėje teritorijoje N</w:t>
                          </w:r>
                          <w:r>
                            <w:rPr>
                              <w:i/>
                              <w:iCs/>
                              <w:color w:val="000000"/>
                            </w:rPr>
                            <w:t>-</w:t>
                          </w:r>
                          <w:r>
                            <w:rPr>
                              <w:color w:val="000000"/>
                            </w:rPr>
                            <w:t>aisiais</w:t>
                          </w:r>
                          <w:r>
                            <w:rPr>
                              <w:i/>
                              <w:iCs/>
                              <w:color w:val="000000"/>
                            </w:rPr>
                            <w:t xml:space="preserve"> </w:t>
                          </w:r>
                          <w:r>
                            <w:rPr>
                              <w:color w:val="000000"/>
                            </w:rPr>
                            <w:t>metais;</w:t>
                          </w:r>
                        </w:p>
                        <w:p>
                          <w:pPr>
                            <w:ind w:firstLine="567"/>
                            <w:jc w:val="both"/>
                          </w:pPr>
                          <w:r>
                            <w:t>Q</w:t>
                          </w:r>
                          <w:r>
                            <w:rPr>
                              <w:i/>
                              <w:iCs/>
                              <w:vertAlign w:val="subscript"/>
                            </w:rPr>
                            <w:t xml:space="preserve">i </w:t>
                          </w:r>
                          <w:r>
                            <w:t>– elektros energijos kiekis, faktiškai pagamintas visų vėjo jėgainių jūrinėje teritorijoje i</w:t>
                          </w:r>
                          <w:r>
                            <w:rPr>
                              <w:i/>
                              <w:iCs/>
                            </w:rPr>
                            <w:t>-</w:t>
                          </w:r>
                          <w:r>
                            <w:t>aisiais</w:t>
                          </w:r>
                          <w:r>
                            <w:rPr>
                              <w:i/>
                              <w:iCs/>
                            </w:rPr>
                            <w:t xml:space="preserve"> </w:t>
                          </w:r>
                          <w:r>
                            <w:t>metais, matuojamas GWh;</w:t>
                          </w:r>
                        </w:p>
                        <w:p>
                          <w:pPr>
                            <w:ind w:firstLine="567"/>
                            <w:jc w:val="both"/>
                          </w:pPr>
                          <w:r>
                            <w:t>C</w:t>
                          </w:r>
                          <w:r>
                            <w:rPr>
                              <w:i/>
                              <w:iCs/>
                              <w:vertAlign w:val="subscript"/>
                            </w:rPr>
                            <w:t xml:space="preserve">j </w:t>
                          </w:r>
                          <w:r>
                            <w:t>– visų vėjo jėgainių jūrinėje teritorijoje bendra įrengtoji galia j</w:t>
                          </w:r>
                          <w:r>
                            <w:rPr>
                              <w:i/>
                              <w:iCs/>
                            </w:rPr>
                            <w:t xml:space="preserve"> </w:t>
                          </w:r>
                          <w:r>
                            <w:t>metų pabaigoje, matuojama MW;</w:t>
                          </w:r>
                        </w:p>
                        <w:p>
                          <w:pPr>
                            <w:ind w:firstLine="567"/>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Content>
                </w:sdt>
              </w:sdtContent>
            </w:sdt>
            <w:sdt>
              <w:sdtPr>
                <w:alias w:val="9 p."/>
                <w:tag w:val="part_b29a76d4753e44d79edd1fe3d125c4fb"/>
                <w:lock w:val="sdtLocked"/>
                <w:richText/>
              </w:sdtPr>
              <w:sdtContent>
                <w:p>
                  <w:pPr>
                    <w:ind w:firstLine="709"/>
                    <w:jc w:val="both"/>
                    <w:rPr>
                      <w:color w:val="000000"/>
                    </w:rPr>
                  </w:pPr>
                  <w:sdt>
                    <w:sdtPr>
                      <w:alias w:val="Numeris"/>
                      <w:tag w:val="nr_b29a76d4753e44d79edd1fe3d125c4fb"/>
                      <w:lock w:val="sdtLocked"/>
                      <w:richText/>
                    </w:sdtPr>
                    <w:sdtContent>
                      <w:r>
                        <w:rPr>
                          <w:color w:val="000000"/>
                        </w:rPr>
                        <w:t>9</w:t>
                      </w:r>
                    </w:sdtContent>
                  </w:sdt>
                  <w:r>
                    <w:rPr>
                      <w:color w:val="000000"/>
                    </w:rPr>
                    <w:t>. Bendrasis galutinis atsinaujinančių energijos išteklių suvartojimas šildymui ir vėsinimui apskaičiuojamas:</w:t>
                  </w:r>
                </w:p>
                <w:sdt>
                  <w:sdtPr>
                    <w:alias w:val="9.1 pp."/>
                    <w:tag w:val="part_36c346ca68624dadb0dd7655514eda86"/>
                    <w:lock w:val="sdtLocked"/>
                    <w:richText/>
                  </w:sdtPr>
                  <w:sdtContent>
                    <w:p>
                      <w:pPr>
                        <w:ind w:firstLine="709"/>
                        <w:jc w:val="both"/>
                        <w:rPr>
                          <w:color w:val="000000"/>
                        </w:rPr>
                      </w:pPr>
                      <w:sdt>
                        <w:sdtPr>
                          <w:alias w:val="Numeris"/>
                          <w:tag w:val="nr_36c346ca68624dadb0dd7655514eda86"/>
                          <w:lock w:val="sdtLocked"/>
                          <w:richText/>
                        </w:sdtPr>
                        <w:sdtContent>
                          <w:r>
                            <w:rPr>
                              <w:color w:val="000000"/>
                            </w:rPr>
                            <w:t>9.1</w:t>
                          </w:r>
                        </w:sdtContent>
                      </w:sdt>
                      <w:r>
                        <w:rPr>
                          <w:color w:val="000000"/>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c97a06ed0f4490ebdffe6cd8471a94c"/>
                    <w:lock w:val="sdtLocked"/>
                    <w:richText/>
                  </w:sdtPr>
                  <w:sdtContent>
                    <w:p>
                      <w:pPr>
                        <w:ind w:firstLine="709"/>
                        <w:jc w:val="both"/>
                        <w:rPr>
                          <w:color w:val="000000"/>
                        </w:rPr>
                      </w:pPr>
                      <w:sdt>
                        <w:sdtPr>
                          <w:alias w:val="Numeris"/>
                          <w:tag w:val="nr_0c97a06ed0f4490ebdffe6cd8471a94c"/>
                          <w:lock w:val="sdtLocked"/>
                          <w:richText/>
                        </w:sdtPr>
                        <w:sdtContent>
                          <w:r>
                            <w:t>9.2</w:t>
                          </w:r>
                        </w:sdtContent>
                      </w:sdt>
                      <w:r>
                        <w:t>. į</w:t>
                      </w:r>
                      <w:r>
                        <w:rPr>
                          <w:color w:val="000000"/>
                        </w:rPr>
                        <w:t>vairų kurą deginančių jėgainių, kuriose naudojami atsinaujinantys ir neatsinaujinantys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ca7d7ca07369473294dc07132239988e"/>
                    <w:lock w:val="sdtLocked"/>
                    <w:richText/>
                  </w:sdtPr>
                  <w:sdtContent>
                    <w:p>
                      <w:pPr>
                        <w:ind w:firstLine="709"/>
                        <w:jc w:val="both"/>
                        <w:rPr>
                          <w:color w:val="000000"/>
                        </w:rPr>
                      </w:pPr>
                      <w:sdt>
                        <w:sdtPr>
                          <w:alias w:val="Numeris"/>
                          <w:tag w:val="nr_ca7d7ca07369473294dc07132239988e"/>
                          <w:lock w:val="sdtLocked"/>
                          <w:richText/>
                        </w:sdtPr>
                        <w:sdtContent>
                          <w:r>
                            <w:rPr>
                              <w:color w:val="000000"/>
                            </w:rPr>
                            <w:t>9.3</w:t>
                          </w:r>
                        </w:sdtContent>
                      </w:sdt>
                      <w:r>
                        <w:rPr>
                          <w:color w:val="000000"/>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rPr>
                      </w:pPr>
                    </w:p>
                    <w:p>
                      <w:pPr>
                        <w:ind w:firstLine="567"/>
                      </w:pPr>
                      <w:r>
                        <w:rPr>
                          <w:lang w:eastAsia="lt-LT"/>
                        </w:rPr>
                        <w:drawing>
                          <wp:inline distT="0" distB="0" distL="0" distR="0">
                            <wp:extent cx="1771650" cy="161925"/>
                            <wp:effectExtent l="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37">
                                      <a:extLst>
                                        <a:ext uri="{28A0092B-C50C-407E-A947-70E740481C1C}">
                                          <a14:useLocalDpi xmlns:a14="http://schemas.microsoft.com/office/drawing/2010/main" val="0"/>
                                        </a:ext>
                                      </a:extLst>
                                    </a:blip>
                                    <a:stretch>
                                      <a:fillRect/>
                                    </a:stretch>
                                  </pic:blipFill>
                                  <pic:spPr>
                                    <a:xfrm>
                                      <a:off x="0" y="0"/>
                                      <a:ext cx="1771650" cy="161925"/>
                                    </a:xfrm>
                                    <a:prstGeom prst="rect">
                                      <a:avLst/>
                                    </a:prstGeom>
                                  </pic:spPr>
                                </pic:pic>
                              </a:graphicData>
                            </a:graphic>
                          </wp:inline>
                        </w:drawing>
                      </w:r>
                      <w:r>
                        <w:t>, kur:</w:t>
                      </w:r>
                    </w:p>
                    <w:p>
                      <w:pPr>
                        <w:ind w:firstLine="567"/>
                        <w:rPr>
                          <w:color w:val="000000"/>
                        </w:rPr>
                      </w:pPr>
                    </w:p>
                    <w:p>
                      <w:pPr>
                        <w:ind w:firstLine="567"/>
                        <w:jc w:val="both"/>
                        <w:rPr>
                          <w:color w:val="000000"/>
                        </w:rPr>
                      </w:pPr>
                      <w:r>
                        <w:rPr>
                          <w:i/>
                          <w:iCs/>
                          <w:color w:val="000000"/>
                        </w:rPr>
                        <w:t>E</w:t>
                      </w:r>
                      <w:r>
                        <w:rPr>
                          <w:i/>
                          <w:iCs/>
                          <w:color w:val="000000"/>
                          <w:vertAlign w:val="subscript"/>
                        </w:rPr>
                        <w:t>RES</w:t>
                      </w:r>
                      <w:r>
                        <w:rPr>
                          <w:color w:val="000000"/>
                        </w:rPr>
                        <w:t xml:space="preserve"> – aeroterminės, geoterminės ar hidroterminės energijos, kurią sunaudoja šilumos siurbliai, kiekis;</w:t>
                      </w:r>
                    </w:p>
                    <w:p>
                      <w:pPr>
                        <w:ind w:firstLine="567"/>
                        <w:jc w:val="both"/>
                        <w:rPr>
                          <w:color w:val="000000"/>
                        </w:rPr>
                      </w:pPr>
                      <w:r>
                        <w:rPr>
                          <w:color w:val="000000"/>
                        </w:rPr>
                        <w:t>Q</w:t>
                      </w:r>
                      <w:r>
                        <w:rPr>
                          <w:i/>
                          <w:iCs/>
                          <w:color w:val="000000"/>
                          <w:vertAlign w:val="subscript"/>
                        </w:rPr>
                        <w:t>usable</w:t>
                      </w:r>
                      <w:r>
                        <w:rPr>
                          <w:color w:val="000000"/>
                          <w:vertAlign w:val="subscript"/>
                        </w:rPr>
                        <w:t xml:space="preserve"> </w:t>
                      </w:r>
                      <w:r>
                        <w:rPr>
                          <w:color w:val="000000"/>
                        </w:rPr>
                        <w:t>– įvertinta visa panaudojama šiluma, kurią tiekia šilumos siurbliai; atsižvelgiama tik į šilumos siurblius, kurių vidutinis sezoninis naudingumo koeficientas</w:t>
                      </w:r>
                      <w:r>
                        <w:rPr>
                          <w:i/>
                          <w:iCs/>
                          <w:color w:val="000000"/>
                        </w:rPr>
                        <w:t xml:space="preserve"> – SPF &gt; 1,15 * 1/</w:t>
                      </w:r>
                      <w:r>
                        <w:rPr>
                          <w:i/>
                          <w:iCs/>
                          <w:sz w:val="22"/>
                          <w:szCs w:val="22"/>
                          <w:lang w:eastAsia="lt-LT"/>
                        </w:rPr>
                        <w:t xml:space="preserve"> η</w:t>
                      </w:r>
                      <w:r>
                        <w:rPr>
                          <w:sz w:val="22"/>
                          <w:szCs w:val="22"/>
                          <w:lang w:eastAsia="lt-LT"/>
                        </w:rPr>
                        <w:t xml:space="preserve"> </w:t>
                      </w:r>
                      <w:r>
                        <w:rPr>
                          <w:i/>
                          <w:iCs/>
                          <w:color w:val="000000"/>
                        </w:rPr>
                        <w:t>eta</w:t>
                      </w:r>
                      <w:r>
                        <w:rPr>
                          <w:color w:val="000000"/>
                        </w:rPr>
                        <w:t xml:space="preserve">; </w:t>
                      </w:r>
                    </w:p>
                    <w:p>
                      <w:pPr>
                        <w:ind w:firstLine="567"/>
                        <w:jc w:val="both"/>
                        <w:rPr>
                          <w:color w:val="000000"/>
                        </w:rPr>
                      </w:pPr>
                      <w:r>
                        <w:rPr>
                          <w:i/>
                          <w:iCs/>
                          <w:color w:val="000000"/>
                        </w:rPr>
                        <w:t xml:space="preserve">SPF </w:t>
                      </w:r>
                      <w:r>
                        <w:rPr>
                          <w:color w:val="000000"/>
                        </w:rPr>
                        <w:t xml:space="preserve">– įvertintas tų šilumos siurblių vidutinis sezoninis naudingumo koeficientas; </w:t>
                      </w:r>
                    </w:p>
                    <w:p>
                      <w:pPr>
                        <w:ind w:firstLine="567"/>
                        <w:jc w:val="both"/>
                      </w:pPr>
                      <w:r>
                        <w:rPr>
                          <w:i/>
                          <w:iCs/>
                          <w:sz w:val="22"/>
                          <w:szCs w:val="22"/>
                          <w:lang w:eastAsia="lt-LT"/>
                        </w:rPr>
                        <w:t>η</w:t>
                      </w:r>
                      <w:r>
                        <w:rPr>
                          <w:sz w:val="22"/>
                          <w:szCs w:val="22"/>
                          <w:lang w:eastAsia="lt-LT"/>
                        </w:rPr>
                        <w:t xml:space="preserve"> </w:t>
                      </w:r>
                      <w:r>
                        <w:rPr>
                          <w:i/>
                          <w:iCs/>
                        </w:rPr>
                        <w:t xml:space="preserve">eta </w:t>
                      </w:r>
                      <w:r>
                        <w:t>– visas pagamintos elektros energijos ir pirminės elektros energijos, sunaudotos elektros energijos gamybai, kiekių santykis, apskaičiuojamas kaip Europos Sąjungos vidurkis, pagrįstas Europos Sąjungos statistikos tarnybos (Eurostato) duomenimis;</w:t>
                      </w:r>
                    </w:p>
                  </w:sdtContent>
                </w:sdt>
                <w:sdt>
                  <w:sdtPr>
                    <w:alias w:val="9.4 pp."/>
                    <w:tag w:val="part_a8d29b74c48542c38378f61ddc44fb12"/>
                    <w:lock w:val="sdtLocked"/>
                    <w:richText/>
                  </w:sdtPr>
                  <w:sdtContent>
                    <w:p>
                      <w:pPr>
                        <w:ind w:firstLine="709"/>
                        <w:jc w:val="both"/>
                      </w:pPr>
                      <w:sdt>
                        <w:sdtPr>
                          <w:alias w:val="Numeris"/>
                          <w:tag w:val="nr_a8d29b74c48542c38378f61ddc44fb12"/>
                          <w:lock w:val="sdtLocked"/>
                          <w:richText/>
                        </w:sdtPr>
                        <w:sdtContent>
                          <w:r>
                            <w:t>9.4</w:t>
                          </w:r>
                        </w:sdtContent>
                      </w:sdt>
                      <w:r>
                        <w:t xml:space="preserve">. į </w:t>
                      </w:r>
                      <w:r>
                        <w:rPr>
                          <w:color w:val="000000"/>
                        </w:rPr>
                        <w:t>bendrąjį galutinį atsinaujinančių energijos išteklių suvartojimą šildymui ir vėsinimui</w:t>
                      </w:r>
                      <w: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ae0ec7c076b3489585eb818f18c95d1a"/>
                    <w:lock w:val="sdtLocked"/>
                    <w:richText/>
                  </w:sdtPr>
                  <w:sdtContent>
                    <w:p>
                      <w:pPr>
                        <w:ind w:firstLine="709"/>
                        <w:jc w:val="both"/>
                        <w:rPr>
                          <w:i/>
                          <w:iCs/>
                        </w:rPr>
                      </w:pPr>
                      <w:sdt>
                        <w:sdtPr>
                          <w:alias w:val="Numeris"/>
                          <w:tag w:val="nr_ae0ec7c076b3489585eb818f18c95d1a"/>
                          <w:lock w:val="sdtLocked"/>
                          <w:richText/>
                        </w:sdtPr>
                        <w:sdtContent>
                          <w:r>
                            <w:t>9.5</w:t>
                          </w:r>
                        </w:sdtContent>
                      </w:sdt>
                      <w:r>
                        <w:t xml:space="preserve">. į </w:t>
                      </w:r>
                      <w:r>
                        <w:rPr>
                          <w:color w:val="000000"/>
                        </w:rPr>
                        <w:t>bendrąjį galutinį atsinaujinančių energijos išteklių suvartojimą šildymui ir vėsinimui</w:t>
                      </w:r>
                      <w:r>
                        <w:rPr>
                          <w:sz w:val="20"/>
                          <w:lang w:eastAsia="lt-LT"/>
                        </w:rPr>
                        <w:t xml:space="preserve"> </w:t>
                      </w:r>
                      <w:r>
                        <w:rPr>
                          <w:lang w:eastAsia="lt-LT"/>
                        </w:rPr>
                        <w:t xml:space="preserve">gali būti </w:t>
                      </w:r>
                      <w:r>
                        <w:rPr>
                          <w:color w:val="000000"/>
                        </w:rPr>
                        <w:t xml:space="preserve">įskaičiuojama atliekinė šiluma ir vėsuma, neviršijant 20 % nacionalinės orientacinės procentinės dalies, nustatytos šilumos ir vėsumos sektoriui. </w:t>
                      </w:r>
                      <w:r>
                        <w:t xml:space="preserve">Jei nusprendžiama pasinaudoti šia galimybe, nacionalinė orientacinė procentinė dalis papildomai padidinama puse atliekinės šilumos ir vėsumos procento, įskaityto į tą dalį. </w:t>
                      </w:r>
                    </w:p>
                  </w:sdtContent>
                </w:sdt>
                <w:sdt>
                  <w:sdtPr>
                    <w:alias w:val="9.6 pp."/>
                    <w:tag w:val="part_48f3bedab365460eb632b8f32c9728c0"/>
                    <w:lock w:val="sdtLocked"/>
                    <w:richText/>
                  </w:sdtPr>
                  <w:sdtContent>
                    <w:p>
                      <w:pPr>
                        <w:ind w:firstLine="709"/>
                        <w:jc w:val="both"/>
                      </w:pPr>
                      <w:sdt>
                        <w:sdtPr>
                          <w:alias w:val="Numeris"/>
                          <w:tag w:val="nr_48f3bedab365460eb632b8f32c9728c0"/>
                          <w:lock w:val="sdtLocked"/>
                          <w:richText/>
                        </w:sdtPr>
                        <w:sdtContent>
                          <w:r>
                            <w:t>9.6</w:t>
                          </w:r>
                        </w:sdtContent>
                      </w:sdt>
                      <w:r>
                        <w:t>. siekiant padidinti atsinaujinančių energijos išteklių, sunaudojamų galutinės energijos ir ne energetikos tikslais pramonės sektoriuje, procentinę dalį ne mažiau kaip 1,6 procentinio punkto, skaičiuojant metinį vidurkį laikotarpiams nuo 2021 iki 2025 m. ir nuo 2026 iki 2030 m., įskaičiuojama atliekinė šiluma ir vėsuma, neviršijant 0,4 procentinio punkto ribos, jeigu ši šiluma ir vėsuma tiekiama iš efektyvaus centralizuoto šilumos ir vėsumos tiekimo tinklų, išskyrus tinklus, kuriais šiluma tiekiama tik vienam pastatui, ar atvejus, kai visa šiluminė energija suvartojama vietoje ir nėra tiekiama vartotojams. Įskaičiuojant atliekinę šilumą ir vėsumą vidutinio metinio padidėjimo norma papildomai padidinama puse įskaitytų atliekinės šilumos ir vėsumos procentinių punktų.</w:t>
                      </w:r>
                    </w:p>
                  </w:sdtContent>
                </w:sdt>
                <w:sdt>
                  <w:sdtPr>
                    <w:alias w:val="9.7 pp."/>
                    <w:tag w:val="part_5e9e968908b745168e412db2e8bb56e9"/>
                    <w:lock w:val="sdtLocked"/>
                    <w:richText/>
                  </w:sdtPr>
                  <w:sdtContent>
                    <w:p>
                      <w:pPr>
                        <w:ind w:firstLine="709"/>
                        <w:jc w:val="both"/>
                        <w:rPr>
                          <w:color w:val="000000"/>
                        </w:rPr>
                      </w:pPr>
                      <w:sdt>
                        <w:sdtPr>
                          <w:alias w:val="Numeris"/>
                          <w:tag w:val="nr_5e9e968908b745168e412db2e8bb56e9"/>
                          <w:lock w:val="sdtLocked"/>
                          <w:richText/>
                        </w:sdtPr>
                        <w:sdtContent>
                          <w:r>
                            <w:rPr>
                              <w:color w:val="000000"/>
                            </w:rPr>
                            <w:t>9.7</w:t>
                          </w:r>
                        </w:sdtContent>
                      </w:sdt>
                      <w:r>
                        <w:rPr>
                          <w:color w:val="000000"/>
                        </w:rPr>
                        <w:t>. apskaičiuojant šilumos ir vėsumos tiekimui sunaudotos atsinaujinančių išteklių energijos procentinę dalį, naudojama nustatyta vidutinė per praėjusius dvejus kalendorinius metus iki nagrinėjamų kalendorinių metų Lietuvoje patiektos elektros energijos iš atsinaujinančių energijos išteklių procentinė dalis.</w:t>
                      </w:r>
                    </w:p>
                  </w:sdtContent>
                </w:sdt>
              </w:sdtContent>
            </w:sdt>
            <w:sdt>
              <w:sdtPr>
                <w:alias w:val="10 p."/>
                <w:tag w:val="part_41ffdf0c5fe84f1299702356aef6e4a6"/>
                <w:lock w:val="sdtLocked"/>
                <w:richText/>
              </w:sdtPr>
              <w:sdtContent>
                <w:p>
                  <w:pPr>
                    <w:ind w:firstLine="709"/>
                    <w:jc w:val="both"/>
                  </w:pPr>
                  <w:sdt>
                    <w:sdtPr>
                      <w:alias w:val="Numeris"/>
                      <w:tag w:val="nr_41ffdf0c5fe84f1299702356aef6e4a6"/>
                      <w:lock w:val="sdtLocked"/>
                      <w:richText/>
                    </w:sdtPr>
                    <w:sdtContent>
                      <w:r>
                        <w:rPr>
                          <w:color w:val="000000"/>
                        </w:rPr>
                        <w:t>10</w:t>
                      </w:r>
                    </w:sdtContent>
                  </w:sdt>
                  <w:r>
                    <w:rPr>
                      <w:color w:val="000000"/>
                    </w:rPr>
                    <w:t xml:space="preserve">. Bendrasis galutinis atsinaujinančių energijos išteklių suvartojimas </w:t>
                  </w:r>
                  <w:r>
                    <w:t xml:space="preserve">transporto sektoriuje, įskaitant jūrų transportui tiekiamą kurą iš atsinaujinančių energijos išteklių, apskaičiuojamas atsižvelgiant į biodegalų, biomasės kuro, kuro iš perdirbtų neatsinaujinančių išteklių atliekų, atitinkančio Alternatyviųjų degalų įstatymo 16 straipsnio 14 dalyje nurodytus reikalavimus, ir </w:t>
                  </w:r>
                  <w:r>
                    <w:rPr>
                      <w:color w:val="000000"/>
                    </w:rPr>
                    <w:t>iš atsinaujinančių energijos išteklių pagaminto nebiologinės kilmės kuro</w:t>
                  </w:r>
                  <w:r>
                    <w:t>, suvartotų transporto sektoriuje, sumą.</w:t>
                  </w:r>
                </w:p>
              </w:sdtContent>
            </w:sdt>
            <w:sdt>
              <w:sdtPr>
                <w:alias w:val="11 p."/>
                <w:tag w:val="part_d638a0e8ad194a4b8d569661e91738fc"/>
                <w:lock w:val="sdtLocked"/>
                <w:richText/>
              </w:sdtPr>
              <w:sdtContent>
                <w:p>
                  <w:pPr>
                    <w:ind w:firstLine="709"/>
                    <w:jc w:val="both"/>
                  </w:pPr>
                  <w:sdt>
                    <w:sdtPr>
                      <w:alias w:val="Numeris"/>
                      <w:tag w:val="nr_d638a0e8ad194a4b8d569661e91738fc"/>
                      <w:lock w:val="sdtLocked"/>
                      <w:richText/>
                    </w:sdtPr>
                    <w:sdtContent>
                      <w:r>
                        <w:t>11</w:t>
                      </w:r>
                    </w:sdtContent>
                  </w:sdt>
                  <w:r>
                    <w:t>. Apskaičiuojant Pažangą siekiant transporto tikslo taikomos šios nuostatos:</w:t>
                  </w:r>
                </w:p>
                <w:sdt>
                  <w:sdtPr>
                    <w:alias w:val="11.1 pp."/>
                    <w:tag w:val="part_c83291b89db34d96b24e44e98a0a2613"/>
                    <w:lock w:val="sdtLocked"/>
                    <w:richText/>
                  </w:sdtPr>
                  <w:sdtContent>
                    <w:p>
                      <w:pPr>
                        <w:ind w:firstLine="709"/>
                        <w:jc w:val="both"/>
                        <w:rPr>
                          <w:color w:val="000000"/>
                        </w:rPr>
                      </w:pPr>
                      <w:sdt>
                        <w:sdtPr>
                          <w:alias w:val="Numeris"/>
                          <w:tag w:val="nr_c83291b89db34d96b24e44e98a0a2613"/>
                          <w:lock w:val="sdtLocked"/>
                          <w:richText/>
                        </w:sdtPr>
                        <w:sdtContent>
                          <w:r>
                            <w:rPr>
                              <w:color w:val="000000"/>
                            </w:rPr>
                            <w:t>11.1</w:t>
                          </w:r>
                        </w:sdtContent>
                      </w:sdt>
                      <w:r>
                        <w:rPr>
                          <w:color w:val="000000"/>
                        </w:rPr>
                        <w:t xml:space="preserve">. apskaičiuojant vardiklį, t. y. bendrąjį galutinį energijos suvartojimą transporto sektoriuje, įskaičiuojamas benzinas, dyzelinas, gamtinės dujos, biodegalai, biodujos, elektros energija, kuras iš perdirbtų neatsinaujinančių išteklių atliekų ir iš atsinaujinančių energijos išteklių pagamintas nebiologinės kilmės kuras, sunaudoti transporto sektoriuje. Apskaičiuojant vardiklį iki 2030 m. gruodžio 31 d., jūrų transporto sektoriui patiekiamos energijos kiekis laikomas ne didesniu kaip 13%, palyginti su bendruoju galutiniu energijos suvartojimu transporto sektoriuje; </w:t>
                      </w:r>
                    </w:p>
                  </w:sdtContent>
                </w:sdt>
                <w:sdt>
                  <w:sdtPr>
                    <w:alias w:val="11.2 pp."/>
                    <w:tag w:val="part_9c2e75e51a8a4d318bbbf0f3fbbd3d06"/>
                    <w:lock w:val="sdtLocked"/>
                    <w:richText/>
                  </w:sdtPr>
                  <w:sdtContent>
                    <w:p>
                      <w:pPr>
                        <w:ind w:firstLine="709"/>
                        <w:jc w:val="both"/>
                        <w:rPr>
                          <w:color w:val="000000"/>
                        </w:rPr>
                      </w:pPr>
                      <w:sdt>
                        <w:sdtPr>
                          <w:alias w:val="Numeris"/>
                          <w:tag w:val="nr_9c2e75e51a8a4d318bbbf0f3fbbd3d06"/>
                          <w:lock w:val="sdtLocked"/>
                          <w:richText/>
                        </w:sdtPr>
                        <w:sdtContent>
                          <w:r>
                            <w:rPr>
                              <w:color w:val="000000"/>
                            </w:rPr>
                            <w:t>11.2</w:t>
                          </w:r>
                        </w:sdtContent>
                      </w:sdt>
                      <w:r>
                        <w:rPr>
                          <w:color w:val="000000"/>
                        </w:rPr>
                        <w:t xml:space="preserve">. apskaičiuojant skaitiklį, t. y. galutinį atsinaujinančių energijos išteklių suvartojimą transporto sektoriuje, įskaičiuojama visų rūšių atsinaujinančių išteklių energija, sunaudojama visų rūšių transporto, </w:t>
                      </w:r>
                      <w:r>
                        <w:t>į</w:t>
                      </w:r>
                      <w:r>
                        <w:rPr>
                          <w:color w:val="000000"/>
                        </w:rPr>
                        <w:t>skaitant tarptautinį jūrinį bunkeriavimą, kuras iš perdirbtų neatsinaujinančių išteklių atliekų, atitinkantis Alternatyviųjų degalų įstatymo 16 straipsnio 14 dalyje nurodytus reikalavimus, ir iš atsinaujinančių išteklių pagaminta elektros energija, patiekta transporto sektoriui;</w:t>
                      </w:r>
                    </w:p>
                  </w:sdtContent>
                </w:sdt>
                <w:sdt>
                  <w:sdtPr>
                    <w:alias w:val="11.3 pp."/>
                    <w:tag w:val="part_580b6323e78642bcab1cf149608bba4c"/>
                    <w:lock w:val="sdtLocked"/>
                    <w:richText/>
                  </w:sdtPr>
                  <w:sdtContent>
                    <w:p>
                      <w:pPr>
                        <w:ind w:firstLine="709"/>
                        <w:jc w:val="both"/>
                        <w:rPr>
                          <w:color w:val="000000"/>
                        </w:rPr>
                      </w:pPr>
                      <w:sdt>
                        <w:sdtPr>
                          <w:alias w:val="Numeris"/>
                          <w:tag w:val="nr_580b6323e78642bcab1cf149608bba4c"/>
                          <w:lock w:val="sdtLocked"/>
                          <w:richText/>
                        </w:sdtPr>
                        <w:sdtContent>
                          <w:r>
                            <w:rPr>
                              <w:color w:val="000000"/>
                            </w:rPr>
                            <w:t>11.3</w:t>
                          </w:r>
                        </w:sdtContent>
                      </w:sdt>
                      <w:r>
                        <w:rPr>
                          <w:color w:val="000000"/>
                        </w:rPr>
                        <w:t>. apskaičiuojant skaitiklį, biodegalų ir biodujų, pagamintų iš Metodikos 18 punkte nurodytų pradinių žaliavų, procentinė dalis turi būti ne didesnė nei 1,7 % transporto kuro energinės vertės;</w:t>
                      </w:r>
                    </w:p>
                  </w:sdtContent>
                </w:sdt>
                <w:sdt>
                  <w:sdtPr>
                    <w:alias w:val="11.4 pp."/>
                    <w:tag w:val="part_81017f1bafc2420b953f5a74ade3a640"/>
                    <w:lock w:val="sdtLocked"/>
                    <w:richText/>
                  </w:sdtPr>
                  <w:sdtContent>
                    <w:p>
                      <w:pPr>
                        <w:spacing w:line="259" w:lineRule="auto"/>
                        <w:ind w:firstLine="709"/>
                        <w:jc w:val="both"/>
                        <w:rPr>
                          <w:color w:val="000000"/>
                        </w:rPr>
                      </w:pPr>
                      <w:sdt>
                        <w:sdtPr>
                          <w:alias w:val="Numeris"/>
                          <w:tag w:val="nr_81017f1bafc2420b953f5a74ade3a640"/>
                          <w:lock w:val="sdtLocked"/>
                          <w:richText/>
                        </w:sdtPr>
                        <w:sdtContent>
                          <w:r>
                            <w:rPr>
                              <w:color w:val="000000"/>
                            </w:rPr>
                            <w:t>11.4</w:t>
                          </w:r>
                        </w:sdtContent>
                      </w:sdt>
                      <w:r>
                        <w:rPr>
                          <w:color w:val="000000"/>
                        </w:rPr>
                        <w:t xml:space="preserve">. apskaičiuojant elektros energijos, kuri gaminama iš atsinaujinančių išteklių ir naudojama kelių, geležinkelių ir jūrų transporto priemonių, procentinę dalį, naudojama  nustatyta vidutinė per praėjusius dvejus kalendorinius metus iki nagrinėjamų kalendorinių metų Lietuvoje patiektos elektros energijos iš atsinaujinančių energijos išteklių procentinė dalis. Jeigu elektros energija gaunama tiesiogiai prisijungus prie įrenginio, gaminančio elektros energiją iš atsinaujinančių energijos išteklių, ir tiekiama kelių transporto priemonėms, visa ta elektros energija laikoma energija iš atsinaujinančių energijos išteklių. S</w:t>
                      </w:r>
                      <w:r>
                        <w:t xml:space="preserve">aulės energija varomos elektrinės transporto priemonės pagaminta elektros energija, naudojama pačiai transporto priemonei, </w:t>
                      </w:r>
                      <w:r>
                        <w:rPr>
                          <w:color w:val="000000"/>
                        </w:rPr>
                        <w:t>yra</w:t>
                      </w:r>
                      <w:r>
                        <w:t xml:space="preserve"> apskaičiuojama kaip </w:t>
                      </w:r>
                      <w:r>
                        <w:rPr>
                          <w:color w:val="000000"/>
                        </w:rPr>
                        <w:t>elektros energija iš atsinaujinančių energijos išteklių;</w:t>
                      </w:r>
                    </w:p>
                  </w:sdtContent>
                </w:sdt>
                <w:sdt>
                  <w:sdtPr>
                    <w:alias w:val="11.5 pp."/>
                    <w:tag w:val="part_620727d67709435e84c23d631914de43"/>
                    <w:lock w:val="sdtLocked"/>
                    <w:richText/>
                  </w:sdtPr>
                  <w:sdtContent>
                    <w:p>
                      <w:pPr>
                        <w:ind w:firstLine="709"/>
                        <w:jc w:val="both"/>
                        <w:rPr>
                          <w:color w:val="000000"/>
                        </w:rPr>
                      </w:pPr>
                      <w:sdt>
                        <w:sdtPr>
                          <w:alias w:val="Numeris"/>
                          <w:tag w:val="nr_620727d67709435e84c23d631914de43"/>
                          <w:lock w:val="sdtLocked"/>
                          <w:richText/>
                        </w:sdtPr>
                        <w:sdtContent>
                          <w:r>
                            <w:rPr>
                              <w:color w:val="000000"/>
                            </w:rPr>
                            <w:t>11.5</w:t>
                          </w:r>
                        </w:sdtContent>
                      </w:sdt>
                      <w:r>
                        <w:rPr>
                          <w:color w:val="000000"/>
                        </w:rPr>
                        <w:t>. kai elektros energija naudojama iš atsinaujinančių energijos išteklių pagamintam nebiologinės kilmės kurui gaminti (tiesiogiai arba tarpinių produktų gamybai), atsinaujinančių energijos išteklių procentinė dalis elektros energijoje apskaičiuojama naudojant nustatytą vidutinę per praėjusius dvejus kalendorinius metus iki nagrinėjamų kalendorinių metų Lietuvoje patiektos elektros energijos iš atsinaujinančių energijos išteklių procentinę dalį. Jeigu elektros energija naudojama iš atsinaujinančių energijos išteklių pagamintam nebiologinės kilmės kurui gaminti yra gaunama tiesiogiai iš gamybos įrenginio, gaminančio elektros energiją iš atsinaujinančių išteklių, ta elektros energija laikoma elektros energija iš atsinaujinančių energijos išteklių, jeigu tas įrenginys:</w:t>
                      </w:r>
                    </w:p>
                    <w:sdt>
                      <w:sdtPr>
                        <w:alias w:val="11.5.1 pp."/>
                        <w:tag w:val="part_2083f28c945e4c60bd11614f452f80c4"/>
                        <w:lock w:val="sdtLocked"/>
                        <w:richText/>
                      </w:sdtPr>
                      <w:sdtContent>
                        <w:p>
                          <w:pPr>
                            <w:ind w:firstLine="709"/>
                            <w:jc w:val="both"/>
                            <w:rPr>
                              <w:color w:val="000000"/>
                            </w:rPr>
                          </w:pPr>
                          <w:sdt>
                            <w:sdtPr>
                              <w:alias w:val="Numeris"/>
                              <w:tag w:val="nr_2083f28c945e4c60bd11614f452f80c4"/>
                              <w:lock w:val="sdtLocked"/>
                              <w:richText/>
                            </w:sdtPr>
                            <w:sdtContent>
                              <w:r>
                                <w:rPr>
                                  <w:color w:val="000000"/>
                                </w:rPr>
                                <w:t>11.5.1</w:t>
                              </w:r>
                            </w:sdtContent>
                          </w:sdt>
                          <w:r>
                            <w:rPr>
                              <w:color w:val="000000"/>
                            </w:rPr>
                            <w:t>. pradėjo veikti vėliau arba tuo pačiu metu kaip įrenginys, gaminantis iš atsinaujinančių energijos išteklių pagamintą nebiologinės kilmės kurą;</w:t>
                          </w:r>
                        </w:p>
                      </w:sdtContent>
                    </w:sdt>
                    <w:sdt>
                      <w:sdtPr>
                        <w:alias w:val="11.5.2 pp."/>
                        <w:tag w:val="part_2c6f7180d5334114bc46b9348cee3b2e"/>
                        <w:lock w:val="sdtLocked"/>
                        <w:richText/>
                      </w:sdtPr>
                      <w:sdtContent>
                        <w:p>
                          <w:pPr>
                            <w:ind w:firstLine="709"/>
                            <w:jc w:val="both"/>
                            <w:rPr>
                              <w:color w:val="000000"/>
                            </w:rPr>
                          </w:pPr>
                          <w:sdt>
                            <w:sdtPr>
                              <w:alias w:val="Numeris"/>
                              <w:tag w:val="nr_2c6f7180d5334114bc46b9348cee3b2e"/>
                              <w:lock w:val="sdtLocked"/>
                              <w:richText/>
                            </w:sdtPr>
                            <w:sdtContent>
                              <w:r>
                                <w:rPr>
                                  <w:color w:val="000000"/>
                                </w:rPr>
                                <w:t>11.5.2</w:t>
                              </w:r>
                            </w:sdtContent>
                          </w:sdt>
                          <w:r>
                            <w:rPr>
                              <w:color w:val="000000"/>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2e7167e224b14f729c7447160551bb29"/>
                    <w:lock w:val="sdtLocked"/>
                    <w:richText/>
                  </w:sdtPr>
                  <w:sdtContent>
                    <w:p>
                      <w:pPr>
                        <w:ind w:firstLine="709"/>
                        <w:jc w:val="both"/>
                        <w:rPr>
                          <w:color w:val="000000"/>
                        </w:rPr>
                      </w:pPr>
                      <w:sdt>
                        <w:sdtPr>
                          <w:alias w:val="Numeris"/>
                          <w:tag w:val="nr_2e7167e224b14f729c7447160551bb29"/>
                          <w:lock w:val="sdtLocked"/>
                          <w:richText/>
                        </w:sdtPr>
                        <w:sdtContent>
                          <w:r>
                            <w:rPr>
                              <w:color w:val="000000"/>
                            </w:rPr>
                            <w:t>11.6</w:t>
                          </w:r>
                        </w:sdtContent>
                      </w:sdt>
                      <w:r>
                        <w:rPr>
                          <w:color w:val="000000"/>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0edb6d9f9cb84a3f9011ade393e7d4fb"/>
                    <w:lock w:val="sdtLocked"/>
                    <w:richText/>
                  </w:sdtPr>
                  <w:sdtContent>
                    <w:p>
                      <w:pPr>
                        <w:ind w:firstLine="709"/>
                        <w:jc w:val="both"/>
                        <w:rPr>
                          <w:color w:val="000000"/>
                        </w:rPr>
                      </w:pPr>
                      <w:sdt>
                        <w:sdtPr>
                          <w:alias w:val="Numeris"/>
                          <w:tag w:val="nr_0edb6d9f9cb84a3f9011ade393e7d4fb"/>
                          <w:lock w:val="sdtLocked"/>
                          <w:richText/>
                        </w:sdtPr>
                        <w:sdtContent>
                          <w:r>
                            <w:rPr>
                              <w:color w:val="000000"/>
                            </w:rPr>
                            <w:t>11.7</w:t>
                          </w:r>
                        </w:sdtContent>
                      </w:sdt>
                      <w:r>
                        <w:rPr>
                          <w:color w:val="000000"/>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f2e0e2ca48b642b5a202a8a2c289ac1d"/>
                    <w:lock w:val="sdtLocked"/>
                    <w:richText/>
                  </w:sdtPr>
                  <w:sdtContent>
                    <w:p>
                      <w:pPr>
                        <w:ind w:firstLine="709"/>
                        <w:jc w:val="both"/>
                        <w:rPr>
                          <w:color w:val="000000"/>
                        </w:rPr>
                      </w:pPr>
                      <w:sdt>
                        <w:sdtPr>
                          <w:alias w:val="Numeris"/>
                          <w:tag w:val="nr_f2e0e2ca48b642b5a202a8a2c289ac1d"/>
                          <w:lock w:val="sdtLocked"/>
                          <w:richText/>
                        </w:sdtPr>
                        <w:sdtContent>
                          <w:r>
                            <w:rPr>
                              <w:color w:val="000000"/>
                            </w:rPr>
                            <w:t>11.8</w:t>
                          </w:r>
                        </w:sdtContent>
                      </w:sdt>
                      <w:r>
                        <w:rPr>
                          <w:color w:val="000000"/>
                        </w:rPr>
                        <w:t>. apskaičiuojant aviacijos ir jūrų transporto sektoriuose sunaudotų biodegalų, išskyrus biodegalus, pagamintus iš maistinių ir pašarinių augalų, kiekį, laikoma, kad tas sunaudotas kiekis yra 1,2 karto didesnis už faktiškai sunaudotą biodegalų kiekį, o apskaičiuojant šiuose sektoriuose sunaudotą iš atsinaujinančių energijos išteklių pagaminto nebiologinės kilmės kuro kiekį – 1,5 karto didesnis už faktiškai sunaudotą iš atsinaujinančių energijos išteklių pagaminto nebiologinės kilmės kuro kiekį;</w:t>
                      </w:r>
                    </w:p>
                  </w:sdtContent>
                </w:sdt>
                <w:sdt>
                  <w:sdtPr>
                    <w:alias w:val="11.9 pp."/>
                    <w:tag w:val="part_3c0cd3568bf046cc9118fcb17da015ff"/>
                    <w:lock w:val="sdtLocked"/>
                    <w:richText/>
                  </w:sdtPr>
                  <w:sdtContent>
                    <w:p>
                      <w:pPr>
                        <w:ind w:firstLine="709"/>
                        <w:jc w:val="both"/>
                        <w:rPr>
                          <w:lang w:eastAsia="ar-SA"/>
                        </w:rPr>
                      </w:pPr>
                      <w:sdt>
                        <w:sdtPr>
                          <w:alias w:val="Numeris"/>
                          <w:tag w:val="nr_3c0cd3568bf046cc9118fcb17da015ff"/>
                          <w:lock w:val="sdtLocked"/>
                          <w:richText/>
                        </w:sdtPr>
                        <w:sdtContent>
                          <w:r>
                            <w:rPr>
                              <w:lang w:eastAsia="ar-SA"/>
                            </w:rPr>
                            <w:t>11.9</w:t>
                          </w:r>
                        </w:sdtContent>
                      </w:sdt>
                      <w:r>
                        <w:rPr>
                          <w:lang w:eastAsia="ar-SA"/>
                        </w:rPr>
                        <w:t>. biodegalų, pagamintų iš žaliavų, nurodytų Metodikos 17 ir 18 punktuose, dalis laikoma 2 kartus didesne už jų energinę vertę;</w:t>
                      </w:r>
                    </w:p>
                  </w:sdtContent>
                </w:sdt>
                <w:sdt>
                  <w:sdtPr>
                    <w:alias w:val="11.10 pp."/>
                    <w:tag w:val="part_8bb3597c91e149e3871929cd306d992e"/>
                    <w:lock w:val="sdtLocked"/>
                    <w:richText/>
                  </w:sdtPr>
                  <w:sdtContent>
                    <w:p>
                      <w:pPr>
                        <w:ind w:firstLine="709"/>
                        <w:jc w:val="both"/>
                        <w:rPr>
                          <w:lang w:eastAsia="ar-SA"/>
                        </w:rPr>
                      </w:pPr>
                      <w:sdt>
                        <w:sdtPr>
                          <w:alias w:val="Numeris"/>
                          <w:tag w:val="nr_8bb3597c91e149e3871929cd306d992e"/>
                          <w:lock w:val="sdtLocked"/>
                          <w:richText/>
                        </w:sdtPr>
                        <w:sdtContent>
                          <w:r>
                            <w:rPr>
                              <w:lang w:eastAsia="ar-SA"/>
                            </w:rPr>
                            <w:t>11.10</w:t>
                          </w:r>
                        </w:sdtContent>
                      </w:sdt>
                      <w:r>
                        <w:rPr>
                          <w:lang w:eastAsia="ar-SA"/>
                        </w:rPr>
                        <w:t>.</w:t>
                      </w:r>
                      <w:r>
                        <w:rPr>
                          <w:sz w:val="22"/>
                          <w:szCs w:val="22"/>
                        </w:rPr>
                        <w:t xml:space="preserve"> </w:t>
                      </w:r>
                      <w:r>
                        <w:t>a</w:t>
                      </w:r>
                      <w:r>
                        <w:rPr>
                          <w:lang w:eastAsia="ar-SA"/>
                        </w:rPr>
                        <w:t>pskaičiuojant biodegalų, pagamintų iš žaliavų, nurodytų Metodikos 17 ir 18 punktuose, ir kitų žaliavų, kurių dalis nėra laikoma 2 kartus didesne už jų energinę vertę, energijos dalį taikomas proporcingumo principas ir energijos dalis apskaičiuojama proporcingai sunaudotų žaliavų kiekiams.</w:t>
                      </w:r>
                    </w:p>
                  </w:sdtContent>
                </w:sdt>
              </w:sdtContent>
            </w:sdt>
            <w:sdt>
              <w:sdtPr>
                <w:alias w:val="12 p."/>
                <w:tag w:val="part_936d1bd0d16843c7bc50ad8e40e51fac"/>
                <w:lock w:val="sdtLocked"/>
                <w:richText/>
              </w:sdtPr>
              <w:sdtContent>
                <w:p>
                  <w:pPr>
                    <w:ind w:firstLine="709"/>
                    <w:jc w:val="both"/>
                    <w:rPr>
                      <w:color w:val="000000"/>
                    </w:rPr>
                  </w:pPr>
                  <w:sdt>
                    <w:sdtPr>
                      <w:alias w:val="Numeris"/>
                      <w:tag w:val="nr_936d1bd0d16843c7bc50ad8e40e51fac"/>
                      <w:lock w:val="sdtLocked"/>
                      <w:richText/>
                    </w:sdtPr>
                    <w:sdtContent>
                      <w:r>
                        <w:rPr>
                          <w:color w:val="000000"/>
                        </w:rPr>
                        <w:t>12</w:t>
                      </w:r>
                    </w:sdtContent>
                  </w:sdt>
                  <w:r>
                    <w:rPr>
                      <w:color w:val="000000"/>
                    </w:rPr>
                    <w:t>.</w:t>
                  </w:r>
                  <w:r>
                    <w:t xml:space="preserve"> Apskaičiuojant </w:t>
                  </w:r>
                  <w:r>
                    <w:rPr>
                      <w:color w:val="000000"/>
                    </w:rPr>
                    <w:t xml:space="preserve">bendrąjį galutinį atsinaujinančių energijos išteklių suvartojimą </w:t>
                  </w:r>
                  <w:r>
                    <w:t>transporto sektoriuje, kaip numatyta Metodikos 10 punkte, ir apskaičiuojant Pažangą siekiant transporto tikslo, kaip numatyta Metodikos 11 punkte</w:t>
                  </w:r>
                  <w:r>
                    <w:rPr>
                      <w:color w:val="000000"/>
                    </w:rPr>
                    <w:t>, turi būti užtikrinama, kad:</w:t>
                  </w:r>
                </w:p>
                <w:sdt>
                  <w:sdtPr>
                    <w:alias w:val="12.1 pp."/>
                    <w:tag w:val="part_d44e415996f14d169d91f3acb66506e0"/>
                    <w:lock w:val="sdtLocked"/>
                    <w:richText/>
                  </w:sdtPr>
                  <w:sdtContent>
                    <w:p>
                      <w:pPr>
                        <w:ind w:firstLine="709"/>
                        <w:jc w:val="both"/>
                        <w:rPr>
                          <w:color w:val="000000"/>
                        </w:rPr>
                      </w:pPr>
                      <w:sdt>
                        <w:sdtPr>
                          <w:alias w:val="Numeris"/>
                          <w:tag w:val="nr_d44e415996f14d169d91f3acb66506e0"/>
                          <w:lock w:val="sdtLocked"/>
                          <w:richText/>
                        </w:sdtPr>
                        <w:sdtContent>
                          <w:r>
                            <w:rPr>
                              <w:color w:val="000000"/>
                            </w:rPr>
                            <w:t>12.1</w:t>
                          </w:r>
                        </w:sdtContent>
                      </w:sdt>
                      <w:r>
                        <w:rPr>
                          <w:color w:val="000000"/>
                        </w:rPr>
                        <w:t>. biodegalų, pagamintų iš maistinių ir pašarinių augalų, energijos dalis daugiau kaip vienu procentiniu punktu neviršys Metodikos 1 priedo 3 punkte nurodytos biodegalų, pagamintų iš maistinių ir pašarinių augalų, suvartojimo Lietuvos Respublikos kelių ir geležinkelių transporto sektoriuose 2020 metais procentinės dalies;</w:t>
                      </w:r>
                    </w:p>
                  </w:sdtContent>
                </w:sdt>
                <w:sdt>
                  <w:sdtPr>
                    <w:alias w:val="12.2 pp."/>
                    <w:tag w:val="part_8a63439e9ac84ad9a197caa287f1610b"/>
                    <w:lock w:val="sdtLocked"/>
                    <w:richText/>
                  </w:sdtPr>
                  <w:sdtContent>
                    <w:p>
                      <w:pPr>
                        <w:spacing w:line="259" w:lineRule="auto"/>
                        <w:ind w:firstLine="771"/>
                        <w:jc w:val="both"/>
                        <w:rPr>
                          <w:color w:val="000000"/>
                        </w:rPr>
                      </w:pPr>
                      <w:sdt>
                        <w:sdtPr>
                          <w:alias w:val="Numeris"/>
                          <w:tag w:val="nr_8a63439e9ac84ad9a197caa287f1610b"/>
                          <w:lock w:val="sdtLocked"/>
                          <w:richText/>
                        </w:sdtPr>
                        <w:sdtContent>
                          <w:r>
                            <w:rPr>
                              <w:color w:val="000000"/>
                            </w:rPr>
                            <w:t>12.2</w:t>
                          </w:r>
                        </w:sdtContent>
                      </w:sdt>
                      <w:r>
                        <w:rPr>
                          <w:color w:val="000000"/>
                        </w:rPr>
                        <w:t>. nebus atsižvelgta į biodegalus, skystuosius bioproduktus ir biomasės kurą, pagamintus i</w:t>
                      </w:r>
                      <w:r>
                        <w:t xml:space="preserve">š didelę netiesioginę žemės paskirties keitimo riziką keliančių </w:t>
                      </w:r>
                      <w:r>
                        <w:rPr>
                          <w:color w:val="000000"/>
                        </w:rPr>
                        <w:t>pradinių žaliavų;</w:t>
                      </w:r>
                    </w:p>
                  </w:sdtContent>
                </w:sdt>
                <w:sdt>
                  <w:sdtPr>
                    <w:alias w:val="12.3 pp."/>
                    <w:tag w:val="part_5e4c52185dd64e27bcd8e9e12f3a7832"/>
                    <w:lock w:val="sdtLocked"/>
                    <w:richText/>
                  </w:sdtPr>
                  <w:sdtContent>
                    <w:p>
                      <w:pPr>
                        <w:spacing w:line="259" w:lineRule="auto"/>
                        <w:ind w:firstLine="709"/>
                        <w:jc w:val="both"/>
                        <w:rPr>
                          <w:color w:val="000000"/>
                        </w:rPr>
                      </w:pPr>
                      <w:sdt>
                        <w:sdtPr>
                          <w:alias w:val="Numeris"/>
                          <w:tag w:val="nr_5e4c52185dd64e27bcd8e9e12f3a7832"/>
                          <w:lock w:val="sdtLocked"/>
                          <w:richText/>
                        </w:sdtPr>
                        <w:sdtContent>
                          <w:r>
                            <w:rPr>
                              <w:color w:val="000000"/>
                            </w:rPr>
                            <w:t>12.3</w:t>
                          </w:r>
                        </w:sdtContent>
                      </w:sdt>
                      <w:r>
                        <w:rPr>
                          <w:color w:val="000000"/>
                        </w:rPr>
                        <w:t xml:space="preserve">. bus atsižvelgta į degalų gamybai sunaudoto iš neatsinaujinančių energijos išteklių pagaminto nebiologinės kilmės kuro kiekį. </w:t>
                      </w:r>
                    </w:p>
                  </w:sdtContent>
                </w:sdt>
              </w:sdtContent>
            </w:sdt>
            <w:sdt>
              <w:sdtPr>
                <w:alias w:val="13 p."/>
                <w:tag w:val="part_cba97e5c1901456aa0f4360f107af8eb"/>
                <w:lock w:val="sdtLocked"/>
                <w:richText/>
              </w:sdtPr>
              <w:sdtContent>
                <w:p>
                  <w:pPr>
                    <w:spacing w:line="259" w:lineRule="auto"/>
                    <w:ind w:firstLine="709"/>
                    <w:jc w:val="both"/>
                    <w:rPr>
                      <w:color w:val="000000"/>
                    </w:rPr>
                  </w:pPr>
                  <w:sdt>
                    <w:sdtPr>
                      <w:alias w:val="Numeris"/>
                      <w:tag w:val="nr_cba97e5c1901456aa0f4360f107af8eb"/>
                      <w:lock w:val="sdtLocked"/>
                      <w:richText/>
                    </w:sdtPr>
                    <w:sdtContent>
                      <w:r>
                        <w:rPr>
                          <w:color w:val="000000"/>
                        </w:rPr>
                        <w:t>13</w:t>
                      </w:r>
                    </w:sdtContent>
                  </w:sdt>
                  <w:r>
                    <w:rPr>
                      <w:color w:val="000000"/>
                    </w:rPr>
                    <w:t xml:space="preserve">. Biodegalai, pagaminti iš Metodikos 17 ir 18 punktuose išvardintų žaliavų, neįskaitomi į Metodikos 12.1 papunktyje nustatytą ribą. </w:t>
                  </w:r>
                </w:p>
              </w:sdtContent>
            </w:sdt>
            <w:sdt>
              <w:sdtPr>
                <w:alias w:val="14 p."/>
                <w:tag w:val="part_cee3ef2e59864e498beabab8b282d86b"/>
                <w:lock w:val="sdtLocked"/>
                <w:richText/>
              </w:sdtPr>
              <w:sdtContent>
                <w:p>
                  <w:pPr>
                    <w:ind w:firstLine="709"/>
                    <w:jc w:val="both"/>
                    <w:rPr>
                      <w:color w:val="000000"/>
                    </w:rPr>
                  </w:pPr>
                  <w:sdt>
                    <w:sdtPr>
                      <w:alias w:val="Numeris"/>
                      <w:tag w:val="nr_cee3ef2e59864e498beabab8b282d86b"/>
                      <w:lock w:val="sdtLocked"/>
                      <w:richText/>
                    </w:sdtPr>
                    <w:sdtContent>
                      <w:r>
                        <w:t>14</w:t>
                      </w:r>
                    </w:sdtContent>
                  </w:sdt>
                  <w:r>
                    <w:t xml:space="preserve">. Biodegalai, pagaminti iš palmių aliejaus apdorojimo metu susidarančio šalutinio produkto, palmių riebalų rūgščių distiliato, laikomi biodegalais pagamintais iš maistinių ir (ar) pašarinių augalų ir įskaitomi į Metodikos 12 punkte nustatytą ribą. </w:t>
                  </w:r>
                </w:p>
              </w:sdtContent>
            </w:sdt>
            <w:sdt>
              <w:sdtPr>
                <w:alias w:val="15 p."/>
                <w:tag w:val="part_a343a3f98995423abd35cd4884704112"/>
                <w:lock w:val="sdtLocked"/>
                <w:richText/>
              </w:sdtPr>
              <w:sdtContent>
                <w:p>
                  <w:pPr>
                    <w:ind w:firstLine="709"/>
                    <w:jc w:val="both"/>
                    <w:rPr>
                      <w:color w:val="000000"/>
                    </w:rPr>
                  </w:pPr>
                  <w:sdt>
                    <w:sdtPr>
                      <w:alias w:val="Numeris"/>
                      <w:tag w:val="nr_a343a3f98995423abd35cd4884704112"/>
                      <w:lock w:val="sdtLocked"/>
                      <w:richText/>
                    </w:sdtPr>
                    <w:sdtContent>
                      <w:r>
                        <w:rPr>
                          <w:lang w:eastAsia="ar-SA"/>
                        </w:rPr>
                        <w:t>15</w:t>
                      </w:r>
                    </w:sdtContent>
                  </w:sdt>
                  <w:r>
                    <w:rPr>
                      <w:lang w:eastAsia="ar-SA"/>
                    </w:rPr>
                    <w:t>. Apskaičiuojant</w:t>
                  </w:r>
                  <w:r>
                    <w:rPr>
                      <w:color w:val="000000"/>
                    </w:rPr>
                    <w:t xml:space="preserve"> Metodikos 6 punkte nurodytą bendrąjį galutinį atsinaujinančių energijos išteklių suvartojimą, neatsižvelgiama į </w:t>
                  </w:r>
                  <w:r>
                    <w:rPr>
                      <w:lang w:eastAsia="ar-SA"/>
                    </w:rPr>
                    <w:t xml:space="preserve">kuro iš perdirbtų neatsinaujinančių išteklių atliekų suvartojimą. </w:t>
                  </w:r>
                </w:p>
              </w:sdtContent>
            </w:sdt>
            <w:sdt>
              <w:sdtPr>
                <w:alias w:val="16 p."/>
                <w:tag w:val="part_2d76e2c5c92e4dc3a8c6f66d277c80be"/>
                <w:lock w:val="sdtLocked"/>
                <w:richText/>
              </w:sdtPr>
              <w:sdtContent>
                <w:p>
                  <w:pPr>
                    <w:ind w:firstLine="709"/>
                    <w:jc w:val="both"/>
                  </w:pPr>
                  <w:sdt>
                    <w:sdtPr>
                      <w:alias w:val="Numeris"/>
                      <w:tag w:val="nr_2d76e2c5c92e4dc3a8c6f66d277c80be"/>
                      <w:lock w:val="sdtLocked"/>
                      <w:richText/>
                    </w:sdtPr>
                    <w:sdtContent>
                      <w:r>
                        <w:t>16</w:t>
                      </w:r>
                    </w:sdtContent>
                  </w:sdt>
                  <w:r>
                    <w:t>. Atliekant Metodikos 10 ir 11 punktuose nurodytus skaičiavimus, kiekvieno energijos ištekliaus indėlis apskaičiuojamas pagal jo energinę vertę, nurodytą Metodikos 3 priede. Transporto degalų energinė vertė, kuri nėra nurodyta Metodikos 3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w:t>
                  </w:r>
                </w:p>
              </w:sdtContent>
            </w:sdt>
            <w:sdt>
              <w:sdtPr>
                <w:alias w:val="17 p."/>
                <w:tag w:val="part_ad17cc53ca534ca7a2a502f05e361b68"/>
                <w:lock w:val="sdtLocked"/>
                <w:richText/>
              </w:sdtPr>
              <w:sdtContent>
                <w:p>
                  <w:pPr>
                    <w:spacing w:line="259" w:lineRule="auto"/>
                    <w:ind w:firstLine="709"/>
                    <w:jc w:val="both"/>
                    <w:rPr>
                      <w:sz w:val="10"/>
                      <w:szCs w:val="10"/>
                    </w:rPr>
                  </w:pPr>
                  <w:sdt>
                    <w:sdtPr>
                      <w:alias w:val="Numeris"/>
                      <w:tag w:val="nr_ad17cc53ca534ca7a2a502f05e361b68"/>
                      <w:lock w:val="sdtLocked"/>
                      <w:richText/>
                    </w:sdtPr>
                    <w:sdtContent>
                      <w:r>
                        <w:rPr>
                          <w:lang w:eastAsia="lt-LT"/>
                        </w:rPr>
                        <w:t>17</w:t>
                      </w:r>
                    </w:sdtContent>
                  </w:sdt>
                  <w:r>
                    <w:rPr>
                      <w:lang w:eastAsia="lt-LT"/>
                    </w:rPr>
                    <w:t>. Pažangiųjų biodegalų ir biodujų gamybai tinkamų naudoti žaliavų sąrašas, į kurį įtraukiamos žaliavos, iš kurių pagamintų pažangiųjų biodegalų arba biodujų dalis, siekiant Alternatyviųjų degalų įstatymo 16 straipsnio 1 ir 3 dalyse nustatytų įpareigojimų, laikoma 2 kartus didesne už jų pradinę energinę vertę:</w:t>
                  </w:r>
                </w:p>
                <w:sdt>
                  <w:sdtPr>
                    <w:alias w:val="17.1 pp."/>
                    <w:tag w:val="part_8f969be8ebb640268bd90d280bf73be5"/>
                    <w:lock w:val="sdtLocked"/>
                    <w:richText/>
                  </w:sdtPr>
                  <w:sdtContent>
                    <w:p>
                      <w:pPr>
                        <w:spacing w:line="259" w:lineRule="auto"/>
                        <w:ind w:firstLine="709"/>
                        <w:jc w:val="both"/>
                        <w:rPr>
                          <w:sz w:val="10"/>
                          <w:szCs w:val="10"/>
                        </w:rPr>
                      </w:pPr>
                      <w:sdt>
                        <w:sdtPr>
                          <w:alias w:val="Numeris"/>
                          <w:tag w:val="nr_8f969be8ebb640268bd90d280bf73be5"/>
                          <w:lock w:val="sdtLocked"/>
                          <w:richText/>
                        </w:sdtPr>
                        <w:sdtContent>
                          <w:r>
                            <w:rPr>
                              <w:lang w:eastAsia="lt-LT"/>
                            </w:rPr>
                            <w:t>17.1</w:t>
                          </w:r>
                        </w:sdtContent>
                      </w:sdt>
                      <w:r>
                        <w:rPr>
                          <w:lang w:eastAsia="lt-LT"/>
                        </w:rPr>
                        <w:t>. dumbliai, jeigu jie auginami sausumoje esančiuose vandens telkiniuose ar fotobioreaktoriuose;</w:t>
                      </w:r>
                    </w:p>
                  </w:sdtContent>
                </w:sdt>
                <w:sdt>
                  <w:sdtPr>
                    <w:alias w:val="17.2 pp."/>
                    <w:tag w:val="part_d91891522a124edd945cef925d732f64"/>
                    <w:lock w:val="sdtLocked"/>
                    <w:richText/>
                  </w:sdtPr>
                  <w:sdtContent>
                    <w:p>
                      <w:pPr>
                        <w:spacing w:line="259" w:lineRule="auto"/>
                        <w:ind w:firstLine="709"/>
                        <w:jc w:val="both"/>
                        <w:rPr>
                          <w:sz w:val="10"/>
                          <w:szCs w:val="10"/>
                        </w:rPr>
                      </w:pPr>
                      <w:sdt>
                        <w:sdtPr>
                          <w:alias w:val="Numeris"/>
                          <w:tag w:val="nr_d91891522a124edd945cef925d732f64"/>
                          <w:lock w:val="sdtLocked"/>
                          <w:richText/>
                        </w:sdtPr>
                        <w:sdtContent>
                          <w:r>
                            <w:rPr>
                              <w:lang w:eastAsia="lt-LT"/>
                            </w:rPr>
                            <w:t>17.2</w:t>
                          </w:r>
                        </w:sdtContent>
                      </w:sdt>
                      <w:r>
                        <w:rPr>
                          <w:lang w:eastAsia="lt-LT"/>
                        </w:rPr>
                        <w:t>. nerūšiuotų komunalinių atliekų (išskyrus komunalines atliekas) biomasės dalis;</w:t>
                      </w:r>
                    </w:p>
                  </w:sdtContent>
                </w:sdt>
                <w:sdt>
                  <w:sdtPr>
                    <w:alias w:val="17.3 pp."/>
                    <w:tag w:val="part_9a3abe2db07e43e19670d3df05468561"/>
                    <w:lock w:val="sdtLocked"/>
                    <w:richText/>
                  </w:sdtPr>
                  <w:sdtContent>
                    <w:p>
                      <w:pPr>
                        <w:spacing w:line="259" w:lineRule="auto"/>
                        <w:ind w:firstLine="709"/>
                        <w:jc w:val="both"/>
                        <w:rPr>
                          <w:sz w:val="10"/>
                          <w:szCs w:val="10"/>
                        </w:rPr>
                      </w:pPr>
                      <w:sdt>
                        <w:sdtPr>
                          <w:alias w:val="Numeris"/>
                          <w:tag w:val="nr_9a3abe2db07e43e19670d3df05468561"/>
                          <w:lock w:val="sdtLocked"/>
                          <w:richText/>
                        </w:sdtPr>
                        <w:sdtContent>
                          <w:r>
                            <w:rPr>
                              <w:lang w:eastAsia="lt-LT"/>
                            </w:rPr>
                            <w:t>17.3</w:t>
                          </w:r>
                        </w:sdtContent>
                      </w:sdt>
                      <w:r>
                        <w:rPr>
                          <w:lang w:eastAsia="lt-LT"/>
                        </w:rPr>
                        <w:t xml:space="preserve">. biologinės atliekos iš privačių namų ūkių, kurioms turi būti taikomas atskiras surinkimas, kaip apibrėžta Atliekų tvarkymo įstatyme; </w:t>
                      </w:r>
                    </w:p>
                  </w:sdtContent>
                </w:sdt>
                <w:sdt>
                  <w:sdtPr>
                    <w:alias w:val="17.4 pp."/>
                    <w:tag w:val="part_ea6e64bd522d47f6acd12f922518a438"/>
                    <w:lock w:val="sdtLocked"/>
                    <w:richText/>
                  </w:sdtPr>
                  <w:sdtContent>
                    <w:p>
                      <w:pPr>
                        <w:spacing w:line="259" w:lineRule="auto"/>
                        <w:ind w:firstLine="709"/>
                        <w:jc w:val="both"/>
                        <w:rPr>
                          <w:sz w:val="10"/>
                          <w:szCs w:val="10"/>
                        </w:rPr>
                      </w:pPr>
                      <w:sdt>
                        <w:sdtPr>
                          <w:alias w:val="Numeris"/>
                          <w:tag w:val="nr_ea6e64bd522d47f6acd12f922518a438"/>
                          <w:lock w:val="sdtLocked"/>
                          <w:richText/>
                        </w:sdtPr>
                        <w:sdtContent>
                          <w:r>
                            <w:rPr>
                              <w:lang w:eastAsia="lt-LT"/>
                            </w:rPr>
                            <w:t>17.4</w:t>
                          </w:r>
                        </w:sdtContent>
                      </w:sdt>
                      <w:r>
                        <w:rPr>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629cfdfb8d5c49d8b2b17c990dbb1c30"/>
                    <w:lock w:val="sdtLocked"/>
                    <w:richText/>
                  </w:sdtPr>
                  <w:sdtContent>
                    <w:p>
                      <w:pPr>
                        <w:spacing w:line="259" w:lineRule="auto"/>
                        <w:ind w:firstLine="709"/>
                        <w:jc w:val="both"/>
                        <w:rPr>
                          <w:sz w:val="10"/>
                          <w:szCs w:val="10"/>
                        </w:rPr>
                      </w:pPr>
                      <w:sdt>
                        <w:sdtPr>
                          <w:alias w:val="Numeris"/>
                          <w:tag w:val="nr_629cfdfb8d5c49d8b2b17c990dbb1c30"/>
                          <w:lock w:val="sdtLocked"/>
                          <w:richText/>
                        </w:sdtPr>
                        <w:sdtContent>
                          <w:r>
                            <w:rPr>
                              <w:lang w:eastAsia="lt-LT"/>
                            </w:rPr>
                            <w:t>17.5</w:t>
                          </w:r>
                        </w:sdtContent>
                      </w:sdt>
                      <w:r>
                        <w:rPr>
                          <w:lang w:eastAsia="lt-LT"/>
                        </w:rPr>
                        <w:t>. šiaudai;</w:t>
                      </w:r>
                    </w:p>
                  </w:sdtContent>
                </w:sdt>
                <w:sdt>
                  <w:sdtPr>
                    <w:alias w:val="17.6 pp."/>
                    <w:tag w:val="part_d792b68b1e714d03843110ae3ce30852"/>
                    <w:lock w:val="sdtLocked"/>
                    <w:richText/>
                  </w:sdtPr>
                  <w:sdtContent>
                    <w:p>
                      <w:pPr>
                        <w:spacing w:line="259" w:lineRule="auto"/>
                        <w:ind w:firstLine="709"/>
                        <w:jc w:val="both"/>
                        <w:rPr>
                          <w:sz w:val="10"/>
                          <w:szCs w:val="10"/>
                        </w:rPr>
                      </w:pPr>
                      <w:sdt>
                        <w:sdtPr>
                          <w:alias w:val="Numeris"/>
                          <w:tag w:val="nr_d792b68b1e714d03843110ae3ce30852"/>
                          <w:lock w:val="sdtLocked"/>
                          <w:richText/>
                        </w:sdtPr>
                        <w:sdtContent>
                          <w:r>
                            <w:rPr>
                              <w:lang w:eastAsia="lt-LT"/>
                            </w:rPr>
                            <w:t>17.6</w:t>
                          </w:r>
                        </w:sdtContent>
                      </w:sdt>
                      <w:r>
                        <w:rPr>
                          <w:lang w:eastAsia="lt-LT"/>
                        </w:rPr>
                        <w:t>. gyvulių mėšlas ir nuotekų šlamas (dumblas);</w:t>
                      </w:r>
                    </w:p>
                  </w:sdtContent>
                </w:sdt>
                <w:sdt>
                  <w:sdtPr>
                    <w:alias w:val="17.7 pp."/>
                    <w:tag w:val="part_edf81f22049d46eab678bc28a2f46b7a"/>
                    <w:lock w:val="sdtLocked"/>
                    <w:richText/>
                  </w:sdtPr>
                  <w:sdtContent>
                    <w:p>
                      <w:pPr>
                        <w:spacing w:line="259" w:lineRule="auto"/>
                        <w:ind w:firstLine="709"/>
                        <w:jc w:val="both"/>
                        <w:rPr>
                          <w:sz w:val="10"/>
                          <w:szCs w:val="10"/>
                        </w:rPr>
                      </w:pPr>
                      <w:sdt>
                        <w:sdtPr>
                          <w:alias w:val="Numeris"/>
                          <w:tag w:val="nr_edf81f22049d46eab678bc28a2f46b7a"/>
                          <w:lock w:val="sdtLocked"/>
                          <w:richText/>
                        </w:sdtPr>
                        <w:sdtContent>
                          <w:r>
                            <w:rPr>
                              <w:lang w:eastAsia="lt-LT"/>
                            </w:rPr>
                            <w:t>17.7</w:t>
                          </w:r>
                        </w:sdtContent>
                      </w:sdt>
                      <w:r>
                        <w:rPr>
                          <w:lang w:eastAsia="lt-LT"/>
                        </w:rPr>
                        <w:t>.</w:t>
                      </w:r>
                      <w:r>
                        <w:t xml:space="preserve"> </w:t>
                      </w:r>
                      <w:r>
                        <w:rPr>
                          <w:lang w:eastAsia="lt-LT"/>
                        </w:rPr>
                        <w:t>alyvpalmių aliejaus gamyklų nuotekos ir tuščios alyvpalmių vaisių kekės;</w:t>
                      </w:r>
                    </w:p>
                  </w:sdtContent>
                </w:sdt>
                <w:sdt>
                  <w:sdtPr>
                    <w:alias w:val="17.8 pp."/>
                    <w:tag w:val="part_d8e320599e7344ff87186736e2dd29ff"/>
                    <w:lock w:val="sdtLocked"/>
                    <w:richText/>
                  </w:sdtPr>
                  <w:sdtContent>
                    <w:p>
                      <w:pPr>
                        <w:spacing w:line="259" w:lineRule="auto"/>
                        <w:ind w:firstLine="709"/>
                        <w:jc w:val="both"/>
                        <w:rPr>
                          <w:sz w:val="10"/>
                          <w:szCs w:val="10"/>
                        </w:rPr>
                      </w:pPr>
                      <w:sdt>
                        <w:sdtPr>
                          <w:alias w:val="Numeris"/>
                          <w:tag w:val="nr_d8e320599e7344ff87186736e2dd29ff"/>
                          <w:lock w:val="sdtLocked"/>
                          <w:richText/>
                        </w:sdtPr>
                        <w:sdtContent>
                          <w:r>
                            <w:rPr>
                              <w:lang w:eastAsia="lt-LT"/>
                            </w:rPr>
                            <w:t>17.8</w:t>
                          </w:r>
                        </w:sdtContent>
                      </w:sdt>
                      <w:r>
                        <w:rPr>
                          <w:lang w:eastAsia="lt-LT"/>
                        </w:rPr>
                        <w:t>. talo alyvos derva;</w:t>
                      </w:r>
                    </w:p>
                  </w:sdtContent>
                </w:sdt>
                <w:sdt>
                  <w:sdtPr>
                    <w:alias w:val="17.9 pp."/>
                    <w:tag w:val="part_581a5503c223443d9dd2295256d490ac"/>
                    <w:lock w:val="sdtLocked"/>
                    <w:richText/>
                  </w:sdtPr>
                  <w:sdtContent>
                    <w:p>
                      <w:pPr>
                        <w:spacing w:line="259" w:lineRule="auto"/>
                        <w:ind w:firstLine="709"/>
                        <w:jc w:val="both"/>
                        <w:rPr>
                          <w:sz w:val="10"/>
                          <w:szCs w:val="10"/>
                        </w:rPr>
                      </w:pPr>
                      <w:sdt>
                        <w:sdtPr>
                          <w:alias w:val="Numeris"/>
                          <w:tag w:val="nr_581a5503c223443d9dd2295256d490ac"/>
                          <w:lock w:val="sdtLocked"/>
                          <w:richText/>
                        </w:sdtPr>
                        <w:sdtContent>
                          <w:r>
                            <w:rPr>
                              <w:lang w:eastAsia="lt-LT"/>
                            </w:rPr>
                            <w:t>17.9</w:t>
                          </w:r>
                        </w:sdtContent>
                      </w:sdt>
                      <w:r>
                        <w:rPr>
                          <w:lang w:eastAsia="lt-LT"/>
                        </w:rPr>
                        <w:t>. neapdorotas glicerinas;</w:t>
                      </w:r>
                    </w:p>
                  </w:sdtContent>
                </w:sdt>
                <w:sdt>
                  <w:sdtPr>
                    <w:alias w:val="17.10 pp."/>
                    <w:tag w:val="part_9d65f4dbf9e34d1e8be18f3114eb56ed"/>
                    <w:lock w:val="sdtLocked"/>
                    <w:richText/>
                  </w:sdtPr>
                  <w:sdtContent>
                    <w:p>
                      <w:pPr>
                        <w:spacing w:line="259" w:lineRule="auto"/>
                        <w:ind w:firstLine="709"/>
                        <w:jc w:val="both"/>
                        <w:rPr>
                          <w:sz w:val="10"/>
                          <w:szCs w:val="10"/>
                        </w:rPr>
                      </w:pPr>
                      <w:sdt>
                        <w:sdtPr>
                          <w:alias w:val="Numeris"/>
                          <w:tag w:val="nr_9d65f4dbf9e34d1e8be18f3114eb56ed"/>
                          <w:lock w:val="sdtLocked"/>
                          <w:richText/>
                        </w:sdtPr>
                        <w:sdtContent>
                          <w:r>
                            <w:rPr>
                              <w:lang w:eastAsia="lt-LT"/>
                            </w:rPr>
                            <w:t>17.10</w:t>
                          </w:r>
                        </w:sdtContent>
                      </w:sdt>
                      <w:r>
                        <w:rPr>
                          <w:lang w:eastAsia="lt-LT"/>
                        </w:rPr>
                        <w:t>. cukranendrių išspaudos;</w:t>
                      </w:r>
                    </w:p>
                  </w:sdtContent>
                </w:sdt>
                <w:sdt>
                  <w:sdtPr>
                    <w:alias w:val="17.11 pp."/>
                    <w:tag w:val="part_28851e6dbf6b4f198d23190118e22f6a"/>
                    <w:lock w:val="sdtLocked"/>
                    <w:richText/>
                  </w:sdtPr>
                  <w:sdtContent>
                    <w:p>
                      <w:pPr>
                        <w:spacing w:line="259" w:lineRule="auto"/>
                        <w:ind w:firstLine="709"/>
                        <w:jc w:val="both"/>
                        <w:rPr>
                          <w:sz w:val="10"/>
                          <w:szCs w:val="10"/>
                        </w:rPr>
                      </w:pPr>
                      <w:sdt>
                        <w:sdtPr>
                          <w:alias w:val="Numeris"/>
                          <w:tag w:val="nr_28851e6dbf6b4f198d23190118e22f6a"/>
                          <w:lock w:val="sdtLocked"/>
                          <w:richText/>
                        </w:sdtPr>
                        <w:sdtContent>
                          <w:r>
                            <w:rPr>
                              <w:lang w:eastAsia="lt-LT"/>
                            </w:rPr>
                            <w:t>17.11</w:t>
                          </w:r>
                        </w:sdtContent>
                      </w:sdt>
                      <w:r>
                        <w:rPr>
                          <w:lang w:eastAsia="lt-LT"/>
                        </w:rPr>
                        <w:t>. vynuogių išspaudos ir vyno nuosėdos;</w:t>
                      </w:r>
                    </w:p>
                  </w:sdtContent>
                </w:sdt>
                <w:sdt>
                  <w:sdtPr>
                    <w:alias w:val="17.12 pp."/>
                    <w:tag w:val="part_484ad92e5a634ad3af0a4efb63434ee8"/>
                    <w:lock w:val="sdtLocked"/>
                    <w:richText/>
                  </w:sdtPr>
                  <w:sdtContent>
                    <w:p>
                      <w:pPr>
                        <w:spacing w:line="259" w:lineRule="auto"/>
                        <w:ind w:firstLine="709"/>
                        <w:jc w:val="both"/>
                        <w:rPr>
                          <w:sz w:val="10"/>
                          <w:szCs w:val="10"/>
                        </w:rPr>
                      </w:pPr>
                      <w:sdt>
                        <w:sdtPr>
                          <w:alias w:val="Numeris"/>
                          <w:tag w:val="nr_484ad92e5a634ad3af0a4efb63434ee8"/>
                          <w:lock w:val="sdtLocked"/>
                          <w:richText/>
                        </w:sdtPr>
                        <w:sdtContent>
                          <w:r>
                            <w:rPr>
                              <w:lang w:eastAsia="lt-LT"/>
                            </w:rPr>
                            <w:t>17.12</w:t>
                          </w:r>
                        </w:sdtContent>
                      </w:sdt>
                      <w:r>
                        <w:rPr>
                          <w:lang w:eastAsia="lt-LT"/>
                        </w:rPr>
                        <w:t>. riešutų kevalai;</w:t>
                      </w:r>
                    </w:p>
                  </w:sdtContent>
                </w:sdt>
                <w:sdt>
                  <w:sdtPr>
                    <w:alias w:val="17.13 pp."/>
                    <w:tag w:val="part_b734d85cccdc4a3e86748621114b8dbd"/>
                    <w:lock w:val="sdtLocked"/>
                    <w:richText/>
                  </w:sdtPr>
                  <w:sdtContent>
                    <w:p>
                      <w:pPr>
                        <w:spacing w:line="259" w:lineRule="auto"/>
                        <w:ind w:firstLine="709"/>
                        <w:jc w:val="both"/>
                        <w:rPr>
                          <w:sz w:val="10"/>
                          <w:szCs w:val="10"/>
                        </w:rPr>
                      </w:pPr>
                      <w:sdt>
                        <w:sdtPr>
                          <w:alias w:val="Numeris"/>
                          <w:tag w:val="nr_b734d85cccdc4a3e86748621114b8dbd"/>
                          <w:lock w:val="sdtLocked"/>
                          <w:richText/>
                        </w:sdtPr>
                        <w:sdtContent>
                          <w:r>
                            <w:rPr>
                              <w:lang w:eastAsia="lt-LT"/>
                            </w:rPr>
                            <w:t>17.13</w:t>
                          </w:r>
                        </w:sdtContent>
                      </w:sdt>
                      <w:r>
                        <w:rPr>
                          <w:lang w:eastAsia="lt-LT"/>
                        </w:rPr>
                        <w:t>. išaižos;</w:t>
                      </w:r>
                    </w:p>
                  </w:sdtContent>
                </w:sdt>
                <w:sdt>
                  <w:sdtPr>
                    <w:alias w:val="17.14 pp."/>
                    <w:tag w:val="part_2f05005d254345e8b250efa49c38b7dd"/>
                    <w:lock w:val="sdtLocked"/>
                    <w:richText/>
                  </w:sdtPr>
                  <w:sdtContent>
                    <w:p>
                      <w:pPr>
                        <w:spacing w:line="259" w:lineRule="auto"/>
                        <w:ind w:firstLine="709"/>
                        <w:jc w:val="both"/>
                        <w:rPr>
                          <w:sz w:val="10"/>
                          <w:szCs w:val="10"/>
                        </w:rPr>
                      </w:pPr>
                      <w:sdt>
                        <w:sdtPr>
                          <w:alias w:val="Numeris"/>
                          <w:tag w:val="nr_2f05005d254345e8b250efa49c38b7dd"/>
                          <w:lock w:val="sdtLocked"/>
                          <w:richText/>
                        </w:sdtPr>
                        <w:sdtContent>
                          <w:r>
                            <w:rPr>
                              <w:lang w:eastAsia="lt-LT"/>
                            </w:rPr>
                            <w:t>17.14</w:t>
                          </w:r>
                        </w:sdtContent>
                      </w:sdt>
                      <w:r>
                        <w:rPr>
                          <w:lang w:eastAsia="lt-LT"/>
                        </w:rPr>
                        <w:t>.</w:t>
                      </w:r>
                      <w:r>
                        <w:t xml:space="preserve"> </w:t>
                      </w:r>
                      <w:r>
                        <w:rPr>
                          <w:lang w:eastAsia="lt-LT"/>
                        </w:rPr>
                        <w:t>burbuolių kotai, nuo kurių pašalintos kukurūzų sėklos;</w:t>
                      </w:r>
                    </w:p>
                  </w:sdtContent>
                </w:sdt>
                <w:sdt>
                  <w:sdtPr>
                    <w:alias w:val="17.15 pp."/>
                    <w:tag w:val="part_cf1b4233af32468194ff95e8118da303"/>
                    <w:lock w:val="sdtLocked"/>
                    <w:richText/>
                  </w:sdtPr>
                  <w:sdtContent>
                    <w:p>
                      <w:pPr>
                        <w:tabs>
                          <w:tab w:val="left" w:pos="1276"/>
                        </w:tabs>
                        <w:spacing w:line="259" w:lineRule="auto"/>
                        <w:ind w:firstLine="709"/>
                        <w:jc w:val="both"/>
                        <w:rPr>
                          <w:sz w:val="10"/>
                          <w:szCs w:val="10"/>
                        </w:rPr>
                      </w:pPr>
                      <w:sdt>
                        <w:sdtPr>
                          <w:alias w:val="Numeris"/>
                          <w:tag w:val="nr_cf1b4233af32468194ff95e8118da303"/>
                          <w:lock w:val="sdtLocked"/>
                          <w:richText/>
                        </w:sdtPr>
                        <w:sdtContent>
                          <w:r>
                            <w:rPr>
                              <w:lang w:eastAsia="lt-LT"/>
                            </w:rPr>
                            <w:t>17.15</w:t>
                          </w:r>
                        </w:sdtContent>
                      </w:sdt>
                      <w:r>
                        <w:rPr>
                          <w:lang w:eastAsia="lt-LT"/>
                        </w:rPr>
                        <w:t>.</w:t>
                      </w:r>
                      <w:r>
                        <w:t xml:space="preserve"> </w:t>
                      </w:r>
                      <w:r>
                        <w:rPr>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c112742d5c074654a23097e997ee8664"/>
                    <w:lock w:val="sdtLocked"/>
                    <w:richText/>
                  </w:sdtPr>
                  <w:sdtContent>
                    <w:p>
                      <w:pPr>
                        <w:ind w:firstLine="709"/>
                        <w:jc w:val="both"/>
                        <w:rPr>
                          <w:sz w:val="10"/>
                          <w:szCs w:val="10"/>
                        </w:rPr>
                      </w:pPr>
                      <w:sdt>
                        <w:sdtPr>
                          <w:alias w:val="Numeris"/>
                          <w:tag w:val="nr_c112742d5c074654a23097e997ee8664"/>
                          <w:lock w:val="sdtLocked"/>
                          <w:richText/>
                        </w:sdtPr>
                        <w:sdtContent>
                          <w:r>
                            <w:rPr>
                              <w:color w:val="000000"/>
                              <w:lang w:eastAsia="lt-LT"/>
                            </w:rPr>
                            <w:t>17.16</w:t>
                          </w:r>
                        </w:sdtContent>
                      </w:sdt>
                      <w:r>
                        <w:rPr>
                          <w:color w:val="000000"/>
                          <w:lang w:eastAsia="lt-LT"/>
                        </w:rPr>
                        <w:t>. kita nemaistinė celiuliozė, kaip apibrėžta Metodikos 2.6 papunktyje;</w:t>
                      </w:r>
                      <w:r>
                        <w:t xml:space="preserve"> </w:t>
                      </w:r>
                    </w:p>
                  </w:sdtContent>
                </w:sdt>
                <w:sdt>
                  <w:sdtPr>
                    <w:alias w:val="17.17 pp."/>
                    <w:tag w:val="part_c595fdf7e2aa4a9e9c2674446d000f48"/>
                    <w:lock w:val="sdtLocked"/>
                    <w:richText/>
                  </w:sdtPr>
                  <w:sdtContent>
                    <w:p>
                      <w:pPr>
                        <w:ind w:firstLine="709"/>
                        <w:jc w:val="both"/>
                        <w:rPr>
                          <w:sz w:val="10"/>
                          <w:szCs w:val="10"/>
                        </w:rPr>
                      </w:pPr>
                      <w:sdt>
                        <w:sdtPr>
                          <w:alias w:val="Numeris"/>
                          <w:tag w:val="nr_c595fdf7e2aa4a9e9c2674446d000f48"/>
                          <w:lock w:val="sdtLocked"/>
                          <w:richText/>
                        </w:sdtPr>
                        <w:sdtContent>
                          <w:r>
                            <w:rPr>
                              <w:color w:val="000000"/>
                              <w:lang w:eastAsia="lt-LT"/>
                            </w:rPr>
                            <w:t>17.17</w:t>
                          </w:r>
                        </w:sdtContent>
                      </w:sdt>
                      <w:r>
                        <w:rPr>
                          <w:color w:val="000000"/>
                          <w:lang w:eastAsia="lt-LT"/>
                        </w:rPr>
                        <w:t>. kita lignoceliuliozė, kaip apibrėžta Metodikos 2.4 papunktyje, išskyrus pjaustytinus rąstus ir fanermedį;</w:t>
                      </w:r>
                      <w:r>
                        <w:t xml:space="preserve"> </w:t>
                      </w:r>
                    </w:p>
                  </w:sdtContent>
                </w:sdt>
                <w:sdt>
                  <w:sdtPr>
                    <w:alias w:val="17.18 pp."/>
                    <w:tag w:val="part_1480be65002142da898a989118d4286c"/>
                    <w:lock w:val="sdtLocked"/>
                    <w:richText/>
                  </w:sdtPr>
                  <w:sdtContent>
                    <w:p>
                      <w:pPr>
                        <w:spacing w:line="259" w:lineRule="auto"/>
                        <w:ind w:firstLine="709"/>
                        <w:jc w:val="both"/>
                        <w:rPr>
                          <w:strike/>
                        </w:rPr>
                      </w:pPr>
                      <w:sdt>
                        <w:sdtPr>
                          <w:alias w:val="Numeris"/>
                          <w:tag w:val="nr_1480be65002142da898a989118d4286c"/>
                          <w:lock w:val="sdtLocked"/>
                          <w:richText/>
                        </w:sdtPr>
                        <w:sdtContent>
                          <w:r>
                            <w:rPr>
                              <w:lang w:eastAsia="lt-LT"/>
                            </w:rPr>
                            <w:t>17.18</w:t>
                          </w:r>
                        </w:sdtContent>
                      </w:sdt>
                      <w:r>
                        <w:rPr>
                          <w:lang w:eastAsia="lt-LT"/>
                        </w:rPr>
                        <w:t>.</w:t>
                      </w:r>
                      <w:r>
                        <w:t xml:space="preserve"> fuzelis, gaunamas distiliuojant alkoholį;</w:t>
                      </w:r>
                    </w:p>
                  </w:sdtContent>
                </w:sdt>
                <w:sdt>
                  <w:sdtPr>
                    <w:alias w:val="17.19 pp."/>
                    <w:tag w:val="part_7bbfb747601741b79814dc4fb0c691e3"/>
                    <w:lock w:val="sdtLocked"/>
                    <w:richText/>
                  </w:sdtPr>
                  <w:sdtContent>
                    <w:p>
                      <w:pPr>
                        <w:spacing w:line="259" w:lineRule="auto"/>
                        <w:ind w:firstLine="709"/>
                        <w:jc w:val="both"/>
                      </w:pPr>
                      <w:sdt>
                        <w:sdtPr>
                          <w:alias w:val="Numeris"/>
                          <w:tag w:val="nr_7bbfb747601741b79814dc4fb0c691e3"/>
                          <w:lock w:val="sdtLocked"/>
                          <w:richText/>
                        </w:sdtPr>
                        <w:sdtContent>
                          <w:r>
                            <w:t>17.19</w:t>
                          </w:r>
                        </w:sdtContent>
                      </w:sdt>
                      <w:r>
                        <w:t>. neapdorotas metanolis, gaunamas kraftinio plaušinimo būdu, vykdant medienos plaušienos gamybą;</w:t>
                      </w:r>
                    </w:p>
                  </w:sdtContent>
                </w:sdt>
                <w:sdt>
                  <w:sdtPr>
                    <w:alias w:val="17.20 pp."/>
                    <w:tag w:val="part_27df953664184d2295e09c03ea99981b"/>
                    <w:lock w:val="sdtLocked"/>
                    <w:richText/>
                  </w:sdtPr>
                  <w:sdtContent>
                    <w:p>
                      <w:pPr>
                        <w:spacing w:line="259" w:lineRule="auto"/>
                        <w:ind w:firstLine="709"/>
                        <w:jc w:val="both"/>
                      </w:pPr>
                      <w:sdt>
                        <w:sdtPr>
                          <w:alias w:val="Numeris"/>
                          <w:tag w:val="nr_27df953664184d2295e09c03ea99981b"/>
                          <w:lock w:val="sdtLocked"/>
                          <w:richText/>
                        </w:sdtPr>
                        <w:sdtContent>
                          <w:r>
                            <w:t>17.20</w:t>
                          </w:r>
                        </w:sdtContent>
                      </w:sdt>
                      <w:r>
                        <w:t>. aviacijos sektoriaus biodegalams gaminti naudojami tarpiniai pasėliai, kaip antai,posėliai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w:t>
                      </w:r>
                    </w:p>
                  </w:sdtContent>
                </w:sdt>
                <w:sdt>
                  <w:sdtPr>
                    <w:alias w:val="17.21 pp."/>
                    <w:tag w:val="part_fa0daeeff4a14c029f2dff1ed3729202"/>
                    <w:lock w:val="sdtLocked"/>
                    <w:richText/>
                  </w:sdtPr>
                  <w:sdtContent>
                    <w:p>
                      <w:pPr>
                        <w:spacing w:line="259" w:lineRule="auto"/>
                        <w:ind w:firstLine="709"/>
                        <w:jc w:val="both"/>
                      </w:pPr>
                      <w:sdt>
                        <w:sdtPr>
                          <w:alias w:val="Numeris"/>
                          <w:tag w:val="nr_fa0daeeff4a14c029f2dff1ed3729202"/>
                          <w:lock w:val="sdtLocked"/>
                          <w:richText/>
                        </w:sdtPr>
                        <w:sdtContent>
                          <w:r>
                            <w:t>17.21</w:t>
                          </w:r>
                        </w:sdtContent>
                      </w:sdt>
                      <w:r>
                        <w:t>. labai nualintoje žemėje auginami ir aviacijos sektoriaus biodegalams gaminti naudojami pasėliai, išskyrus maistinius ir pašarinius augalus;</w:t>
                      </w:r>
                    </w:p>
                  </w:sdtContent>
                </w:sdt>
                <w:sdt>
                  <w:sdtPr>
                    <w:alias w:val="17.22 pp."/>
                    <w:tag w:val="part_61e0db407f654addb1bc24c587190adc"/>
                    <w:lock w:val="sdtLocked"/>
                    <w:richText/>
                  </w:sdtPr>
                  <w:sdtContent>
                    <w:p>
                      <w:pPr>
                        <w:spacing w:line="259" w:lineRule="auto"/>
                        <w:ind w:firstLine="709"/>
                        <w:jc w:val="both"/>
                        <w:rPr>
                          <w:strike/>
                        </w:rPr>
                      </w:pPr>
                      <w:sdt>
                        <w:sdtPr>
                          <w:alias w:val="Numeris"/>
                          <w:tag w:val="nr_61e0db407f654addb1bc24c587190adc"/>
                          <w:lock w:val="sdtLocked"/>
                          <w:richText/>
                        </w:sdtPr>
                        <w:sdtContent>
                          <w:r>
                            <w:t>17.22</w:t>
                          </w:r>
                        </w:sdtContent>
                      </w:sdt>
                      <w:r>
                        <w:t>. melsvabakterės.</w:t>
                      </w:r>
                    </w:p>
                  </w:sdtContent>
                </w:sdt>
              </w:sdtContent>
            </w:sdt>
            <w:sdt>
              <w:sdtPr>
                <w:alias w:val="18 p."/>
                <w:tag w:val="part_8b6dd7c2dc1c42e79c22b810793b2a95"/>
                <w:lock w:val="sdtLocked"/>
                <w:richText/>
              </w:sdtPr>
              <w:sdtContent>
                <w:p>
                  <w:pPr>
                    <w:spacing w:line="259" w:lineRule="auto"/>
                    <w:ind w:firstLine="709"/>
                    <w:jc w:val="both"/>
                    <w:rPr>
                      <w:sz w:val="10"/>
                      <w:szCs w:val="10"/>
                    </w:rPr>
                  </w:pPr>
                  <w:sdt>
                    <w:sdtPr>
                      <w:alias w:val="Numeris"/>
                      <w:tag w:val="nr_8b6dd7c2dc1c42e79c22b810793b2a95"/>
                      <w:lock w:val="sdtLocked"/>
                      <w:richText/>
                    </w:sdtPr>
                    <w:sdtContent>
                      <w:r>
                        <w:rPr>
                          <w:lang w:eastAsia="lt-LT"/>
                        </w:rPr>
                        <w:t>18</w:t>
                      </w:r>
                    </w:sdtContent>
                  </w:sdt>
                  <w:r>
                    <w:rPr>
                      <w:lang w:eastAsia="lt-LT"/>
                    </w:rPr>
                    <w:t>.</w:t>
                  </w:r>
                  <w:r>
                    <w:t xml:space="preserve"> Biodegalų ir biodujų gamybai tinkamos naudoti </w:t>
                  </w:r>
                  <w:r>
                    <w:rPr>
                      <w:lang w:eastAsia="lt-LT"/>
                    </w:rPr>
                    <w:t xml:space="preserve">žaliavos, kurių dalis siekiant Alternatyviųjų degalų įstatymo 16 straipsnio 1 ir 3 dalyse nustatytų įpareigojimų, tačiau neįskaičiuojant į Alternatyviųjų degalų įstatymo 16 straipsnio 1 dalyje nustatytą pažangiųjų biodegalų ir (ar) iš atsinaujinančių energijos išteklių </w:t>
                  </w:r>
                  <w:r>
                    <w:rPr>
                      <w:color w:val="000000"/>
                    </w:rPr>
                    <w:t>pagaminto nebiologinės kilmės kuro</w:t>
                  </w:r>
                  <w:r>
                    <w:rPr>
                      <w:lang w:eastAsia="lt-LT"/>
                    </w:rPr>
                    <w:t xml:space="preserve"> įpareigojimą, ir kurių įnašas siekiant Alternatyviųjų degalų įstatymo 16 straipsnio 1 ir 3 dalyse nustatytų įpareigojimų yra ribojamas vadovaujantis Alternatyviųjų degalų įstatymo 20 straipsnio 2 dalimi, laikoma 2 kartus didesne už jų pradinę energinę vertę:</w:t>
                  </w:r>
                </w:p>
                <w:sdt>
                  <w:sdtPr>
                    <w:alias w:val="18.1 pp."/>
                    <w:tag w:val="part_b6db6c6e9c3e4b79af2acb072d90f2ee"/>
                    <w:lock w:val="sdtLocked"/>
                    <w:richText/>
                  </w:sdtPr>
                  <w:sdtContent>
                    <w:p>
                      <w:pPr>
                        <w:spacing w:line="259" w:lineRule="auto"/>
                        <w:ind w:firstLine="709"/>
                        <w:jc w:val="both"/>
                        <w:rPr>
                          <w:sz w:val="10"/>
                          <w:szCs w:val="10"/>
                        </w:rPr>
                      </w:pPr>
                      <w:sdt>
                        <w:sdtPr>
                          <w:alias w:val="Numeris"/>
                          <w:tag w:val="nr_b6db6c6e9c3e4b79af2acb072d90f2ee"/>
                          <w:lock w:val="sdtLocked"/>
                          <w:richText/>
                        </w:sdtPr>
                        <w:sdtContent>
                          <w:r>
                            <w:rPr>
                              <w:lang w:eastAsia="lt-LT"/>
                            </w:rPr>
                            <w:t>18.1</w:t>
                          </w:r>
                        </w:sdtContent>
                      </w:sdt>
                      <w:r>
                        <w:rPr>
                          <w:lang w:eastAsia="lt-LT"/>
                        </w:rPr>
                        <w:t>.</w:t>
                      </w:r>
                      <w:r>
                        <w:t xml:space="preserve"> </w:t>
                      </w:r>
                      <w:r>
                        <w:rPr>
                          <w:lang w:eastAsia="lt-LT"/>
                        </w:rPr>
                        <w:t>naudotas kepimo aliejus;</w:t>
                      </w:r>
                    </w:p>
                  </w:sdtContent>
                </w:sdt>
                <w:sdt>
                  <w:sdtPr>
                    <w:alias w:val="18.2 pp."/>
                    <w:tag w:val="part_b8bc586cc4d146bb8fd2c257372f0531"/>
                    <w:lock w:val="sdtLocked"/>
                    <w:richText/>
                  </w:sdtPr>
                  <w:sdtContent>
                    <w:p>
                      <w:pPr>
                        <w:spacing w:line="259" w:lineRule="auto"/>
                        <w:ind w:firstLine="709"/>
                        <w:jc w:val="both"/>
                        <w:rPr>
                          <w:color w:val="000000"/>
                        </w:rPr>
                      </w:pPr>
                      <w:sdt>
                        <w:sdtPr>
                          <w:alias w:val="Numeris"/>
                          <w:tag w:val="nr_b8bc586cc4d146bb8fd2c257372f0531"/>
                          <w:lock w:val="sdtLocked"/>
                          <w:richText/>
                        </w:sdtPr>
                        <w:sdtContent>
                          <w:r>
                            <w:rPr>
                              <w:lang w:eastAsia="lt-LT"/>
                            </w:rPr>
                            <w:t>18.2</w:t>
                          </w:r>
                        </w:sdtContent>
                      </w:sdt>
                      <w:r>
                        <w:rPr>
                          <w:lang w:eastAsia="lt-LT"/>
                        </w:rPr>
                        <w:t>.</w:t>
                      </w:r>
                      <w:r>
                        <w:rPr>
                          <w:color w:val="000000"/>
                        </w:rPr>
                        <w:t xml:space="preserve"> 1 ir 2 kategorijų gyvūniniai riebalai pagal 2009 m. spalio 21 d. Europos Parlamento ir Tarybos reglamentą </w:t>
                      </w:r>
                      <w:hyperlink r:id="rId38" w:tgtFrame="_blank" w:history="1">
                        <w:r>
                          <w:rPr>
                            <w:color w:val="0563C1" w:themeColor="hyperlink"/>
                            <w:u w:val="single"/>
                          </w:rPr>
                          <w:t>(EB) Nr. 1069/2009</w:t>
                        </w:r>
                      </w:hyperlink>
                      <w:r>
                        <w:rPr>
                          <w:color w:val="000000"/>
                        </w:rPr>
                        <w:t xml:space="preserve">, kuriuo nustatomos žmonėms vartoti neskirtų šalutinių gyvūninių produktų ir jų gaminių sveikumo taisyklės ir panaikinamas Reglamentas </w:t>
                      </w:r>
                      <w:hyperlink r:id="rId39" w:tgtFrame="_blank" w:history="1">
                        <w:r>
                          <w:rPr>
                            <w:color w:val="0563C1" w:themeColor="hyperlink"/>
                            <w:u w:val="single"/>
                          </w:rPr>
                          <w:t>(EB) Nr. 1774/2002</w:t>
                        </w:r>
                      </w:hyperlink>
                      <w:r>
                        <w:rPr>
                          <w:color w:val="000000"/>
                        </w:rPr>
                        <w:t xml:space="preserve"> (Šalutinių gyvūninių produktų reglamentas), su visais pakeitimais;</w:t>
                      </w:r>
                    </w:p>
                  </w:sdtContent>
                </w:sdt>
                <w:sdt>
                  <w:sdtPr>
                    <w:alias w:val="18.3 pp."/>
                    <w:tag w:val="part_2896f8cb3af24c50aea62736f39afff7"/>
                    <w:lock w:val="sdtLocked"/>
                    <w:richText/>
                  </w:sdtPr>
                  <w:sdtContent>
                    <w:p>
                      <w:pPr>
                        <w:spacing w:line="259" w:lineRule="auto"/>
                        <w:ind w:firstLine="709"/>
                        <w:jc w:val="both"/>
                        <w:rPr>
                          <w:color w:val="000000"/>
                        </w:rPr>
                      </w:pPr>
                      <w:sdt>
                        <w:sdtPr>
                          <w:alias w:val="Numeris"/>
                          <w:tag w:val="nr_2896f8cb3af24c50aea62736f39afff7"/>
                          <w:lock w:val="sdtLocked"/>
                          <w:richText/>
                        </w:sdtPr>
                        <w:sdtContent>
                          <w:r>
                            <w:rPr>
                              <w:color w:val="000000"/>
                            </w:rPr>
                            <w:t>18.3</w:t>
                          </w:r>
                        </w:sdtContent>
                      </w:sdt>
                      <w:r>
                        <w:rPr>
                          <w:color w:val="000000"/>
                        </w:rPr>
                        <w:t>. pažeisti pasėliai, netinkami naudoti maisto ar pašarų grandinėje, išskyrus medžiagas, kurios buvo sąmoningai modifikuotos arba užterštos, kad atitiktų šią apibrėžtį;</w:t>
                      </w:r>
                    </w:p>
                  </w:sdtContent>
                </w:sdt>
                <w:sdt>
                  <w:sdtPr>
                    <w:alias w:val="18.4 pp."/>
                    <w:tag w:val="part_4304c2518b884bd8a644190e1652ab91"/>
                    <w:lock w:val="sdtLocked"/>
                    <w:richText/>
                  </w:sdtPr>
                  <w:sdtContent>
                    <w:p>
                      <w:pPr>
                        <w:spacing w:line="259" w:lineRule="auto"/>
                        <w:ind w:firstLine="709"/>
                        <w:jc w:val="both"/>
                        <w:rPr>
                          <w:color w:val="000000"/>
                        </w:rPr>
                      </w:pPr>
                      <w:sdt>
                        <w:sdtPr>
                          <w:alias w:val="Numeris"/>
                          <w:tag w:val="nr_4304c2518b884bd8a644190e1652ab91"/>
                          <w:lock w:val="sdtLocked"/>
                          <w:richText/>
                        </w:sdtPr>
                        <w:sdtContent>
                          <w:r>
                            <w:rPr>
                              <w:color w:val="000000"/>
                            </w:rPr>
                            <w:t>18.4</w:t>
                          </w:r>
                        </w:sdtContent>
                      </w:sdt>
                      <w:r>
                        <w:rPr>
                          <w:color w:val="000000"/>
                        </w:rPr>
                        <w:t>. komunalinės nuotekos ir jų dariniai, išskyrus nuotekų dumblą;</w:t>
                      </w:r>
                    </w:p>
                  </w:sdtContent>
                </w:sdt>
                <w:sdt>
                  <w:sdtPr>
                    <w:alias w:val="18.5 pp."/>
                    <w:tag w:val="part_ca3e3bde4cff43038f41c353e76c447f"/>
                    <w:lock w:val="sdtLocked"/>
                    <w:richText/>
                  </w:sdtPr>
                  <w:sdtContent>
                    <w:p>
                      <w:pPr>
                        <w:spacing w:line="259" w:lineRule="auto"/>
                        <w:ind w:firstLine="709"/>
                        <w:jc w:val="both"/>
                        <w:rPr>
                          <w:color w:val="000000"/>
                        </w:rPr>
                      </w:pPr>
                      <w:sdt>
                        <w:sdtPr>
                          <w:alias w:val="Numeris"/>
                          <w:tag w:val="nr_ca3e3bde4cff43038f41c353e76c447f"/>
                          <w:lock w:val="sdtLocked"/>
                          <w:richText/>
                        </w:sdtPr>
                        <w:sdtContent>
                          <w:r>
                            <w:rPr>
                              <w:color w:val="000000"/>
                            </w:rPr>
                            <w:t>18.5</w:t>
                          </w:r>
                        </w:sdtContent>
                      </w:sdt>
                      <w:r>
                        <w:rPr>
                          <w:color w:val="000000"/>
                        </w:rPr>
                        <w:t>. labai nualintoje žemėje auginami ir aviacijos sektoriaus biodegalams gaminti nenaudojami pasėliai, išskyrus maistinius ir pašarinius augalus;</w:t>
                      </w:r>
                    </w:p>
                  </w:sdtContent>
                </w:sdt>
                <w:sdt>
                  <w:sdtPr>
                    <w:alias w:val="18.6 pp."/>
                    <w:tag w:val="part_67acbeb92dc147f69087481eef4004ac"/>
                    <w:lock w:val="sdtLocked"/>
                    <w:richText/>
                  </w:sdtPr>
                  <w:sdtContent>
                    <w:p>
                      <w:pPr>
                        <w:spacing w:line="259" w:lineRule="auto"/>
                        <w:ind w:firstLine="709"/>
                        <w:jc w:val="both"/>
                        <w:rPr>
                          <w:color w:val="000000"/>
                        </w:rPr>
                      </w:pPr>
                      <w:sdt>
                        <w:sdtPr>
                          <w:alias w:val="Numeris"/>
                          <w:tag w:val="nr_67acbeb92dc147f69087481eef4004ac"/>
                          <w:lock w:val="sdtLocked"/>
                          <w:richText/>
                        </w:sdtPr>
                        <w:sdtContent>
                          <w:r>
                            <w:rPr>
                              <w:color w:val="000000"/>
                            </w:rPr>
                            <w:t>18.6</w:t>
                          </w:r>
                        </w:sdtContent>
                      </w:sdt>
                      <w:r>
                        <w:rPr>
                          <w:color w:val="000000"/>
                        </w:rPr>
                        <w:t xml:space="preserve">. aviacijos sektoriaus biodegalams gaminti nenaudojami tarpiniai pasėliai, kaip antai, posėliai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 </w:t>
                      </w:r>
                    </w:p>
                  </w:sdtContent>
                </w:sdt>
              </w:sdtContent>
            </w:sdt>
            <w:sdt>
              <w:sdtPr>
                <w:alias w:val="19 p."/>
                <w:tag w:val="part_da0f5ba6be7340beb0c6d0357d9324dc"/>
                <w:lock w:val="sdtLocked"/>
                <w:richText/>
              </w:sdtPr>
              <w:sdtContent>
                <w:p>
                  <w:pPr>
                    <w:widowControl w:val="0"/>
                    <w:tabs>
                      <w:tab w:val="left" w:pos="993"/>
                    </w:tabs>
                    <w:ind w:firstLine="709"/>
                    <w:jc w:val="both"/>
                  </w:pPr>
                  <w:sdt>
                    <w:sdtPr>
                      <w:alias w:val="Numeris"/>
                      <w:tag w:val="nr_da0f5ba6be7340beb0c6d0357d9324dc"/>
                      <w:lock w:val="sdtLocked"/>
                      <w:richText/>
                    </w:sdtPr>
                    <w:sdtContent>
                      <w:r>
                        <w:t>19</w:t>
                      </w:r>
                    </w:sdtContent>
                  </w:sdt>
                  <w:r>
                    <w:t>. Visi biodegalai, įskaitant biodegalus, pagamintus iš Metodikos 17 ir 18 punktuose nurodytų žaliavų, iš atsinaujinančių energijos išteklių pagamintas nebiologinės kilmės kuras ir kuras iš perdirbtų neatsinaujinančių išteklių atliekų turi atitikti Atsinaujinančių išteklių energetikos įstatymo 38 straipsnyje nustatytus atsinaujinančių išteklių kuro ir kuro iš perdirbtų neatsinaujinančių išteklių atliekų tvarumo ir išmetamųjų šiltnamio efektą sukeliančių dujų kiekio sumažėjimo kriterijus.</w:t>
                  </w:r>
                </w:p>
              </w:sdtContent>
            </w:sdt>
            <w:sdt>
              <w:sdtPr>
                <w:alias w:val="20 p."/>
                <w:tag w:val="part_9de07e7c874040c6836e87c8c9b6a2db"/>
                <w:lock w:val="sdtLocked"/>
                <w:richText/>
              </w:sdtPr>
              <w:sdtContent>
                <w:p>
                  <w:pPr>
                    <w:ind w:firstLine="709"/>
                    <w:jc w:val="both"/>
                  </w:pPr>
                  <w:sdt>
                    <w:sdtPr>
                      <w:alias w:val="Numeris"/>
                      <w:tag w:val="nr_9de07e7c874040c6836e87c8c9b6a2db"/>
                      <w:lock w:val="sdtLocked"/>
                      <w:richText/>
                    </w:sdtPr>
                    <w:sdtContent>
                      <w:r>
                        <w:t>20</w:t>
                      </w:r>
                    </w:sdtContent>
                  </w:sdt>
                  <w:r>
                    <w:t>. Bendrasis galutinis atsinaujinančių energijos išteklių suvartojimas pramonės sektoriuje apskaičiuojamas vadovaujantis Metodikos 2 priede nurodyta formule ir laikantis šių nuostatų:</w:t>
                  </w:r>
                </w:p>
                <w:sdt>
                  <w:sdtPr>
                    <w:alias w:val="20.1 pp."/>
                    <w:tag w:val="part_67b04904c36148be854a60f0f9e3e3ce"/>
                    <w:lock w:val="sdtLocked"/>
                    <w:richText/>
                  </w:sdtPr>
                  <w:sdtContent>
                    <w:p>
                      <w:pPr>
                        <w:ind w:firstLine="709"/>
                        <w:jc w:val="both"/>
                      </w:pPr>
                      <w:sdt>
                        <w:sdtPr>
                          <w:alias w:val="Numeris"/>
                          <w:tag w:val="nr_67b04904c36148be854a60f0f9e3e3ce"/>
                          <w:lock w:val="sdtLocked"/>
                          <w:richText/>
                        </w:sdtPr>
                        <w:sdtContent>
                          <w:r>
                            <w:t>20.1</w:t>
                          </w:r>
                        </w:sdtContent>
                      </w:sdt>
                      <w:r>
                        <w:t>. skaitiklis ir vardiklis apskaičiuojami naudojant Metodikos 3 priede nustatytas kuro energines vertes;</w:t>
                      </w:r>
                    </w:p>
                  </w:sdtContent>
                </w:sdt>
                <w:sdt>
                  <w:sdtPr>
                    <w:alias w:val="20.2 pp."/>
                    <w:tag w:val="part_de74658733484a66b505401591c2f7b7"/>
                    <w:lock w:val="sdtLocked"/>
                    <w:richText/>
                  </w:sdtPr>
                  <w:sdtContent>
                    <w:p>
                      <w:pPr>
                        <w:ind w:firstLine="709"/>
                        <w:jc w:val="both"/>
                      </w:pPr>
                      <w:sdt>
                        <w:sdtPr>
                          <w:alias w:val="Numeris"/>
                          <w:tag w:val="nr_de74658733484a66b505401591c2f7b7"/>
                          <w:lock w:val="sdtLocked"/>
                          <w:richText/>
                        </w:sdtPr>
                        <w:sdtContent>
                          <w:r>
                            <w:t>20.2</w:t>
                          </w:r>
                        </w:sdtContent>
                      </w:sdt>
                      <w:r>
                        <w:t xml:space="preserve">. apskaičiuojant skaitiklį, atsižvelgiama į iš atsinaujinančių energijos išteklių pagaminto nebiologinės kilmės kuro, sunaudoto pramonės sektoriuje galutinės energijos ir ne energetikos tikslais, energinę vertę, išskyrus iš atsinaujinančių energijos išteklių pagamintą nebiologinės kilmės kurą, kuris naudojamas kaip tarpinis produktas įprastiniams transporto degalams ir biodegalams gaminti; </w:t>
                      </w:r>
                    </w:p>
                  </w:sdtContent>
                </w:sdt>
                <w:sdt>
                  <w:sdtPr>
                    <w:alias w:val="20.3 pp."/>
                    <w:tag w:val="part_fbd30e59070a413382fadad65c19304e"/>
                    <w:lock w:val="sdtLocked"/>
                    <w:richText/>
                  </w:sdtPr>
                  <w:sdtContent>
                    <w:p>
                      <w:pPr>
                        <w:spacing w:line="259" w:lineRule="auto"/>
                        <w:ind w:firstLine="709"/>
                        <w:jc w:val="both"/>
                      </w:pPr>
                      <w:sdt>
                        <w:sdtPr>
                          <w:alias w:val="Numeris"/>
                          <w:tag w:val="nr_fbd30e59070a413382fadad65c19304e"/>
                          <w:lock w:val="sdtLocked"/>
                          <w:richText/>
                        </w:sdtPr>
                        <w:sdtContent>
                          <w:r>
                            <w:t>20.3</w:t>
                          </w:r>
                        </w:sdtContent>
                      </w:sdt>
                      <w:r>
                        <w:t>. į skaitiklį įskaičiuojamas iš atsinaujinančių energijos išteklių pagamintas nebiologinės kilmės kuras, naftos perdirbimo gamyklose naudojamas gaminant pramoninius produktus, įskaitant eksploatacinius skysčius bei ne keliais judančių transporto priemonių kurą;</w:t>
                      </w:r>
                    </w:p>
                  </w:sdtContent>
                </w:sdt>
                <w:sdt>
                  <w:sdtPr>
                    <w:alias w:val="20.4 pp."/>
                    <w:tag w:val="part_87d71188a5634988817b83977813d609"/>
                    <w:lock w:val="sdtLocked"/>
                    <w:richText/>
                  </w:sdtPr>
                  <w:sdtContent>
                    <w:p>
                      <w:pPr>
                        <w:ind w:firstLine="709"/>
                        <w:jc w:val="both"/>
                      </w:pPr>
                      <w:sdt>
                        <w:sdtPr>
                          <w:alias w:val="Numeris"/>
                          <w:tag w:val="nr_87d71188a5634988817b83977813d609"/>
                          <w:lock w:val="sdtLocked"/>
                          <w:richText/>
                        </w:sdtPr>
                        <w:sdtContent>
                          <w:r>
                            <w:t>20.4</w:t>
                          </w:r>
                        </w:sdtContent>
                      </w:sdt>
                      <w:r>
                        <w:t xml:space="preserve">. laikantis 2023 m. vasario 10 d. Komisijos deleguotojo reglamento </w:t>
                      </w:r>
                      <w:hyperlink r:id="rId40" w:tgtFrame="_blank" w:history="1">
                        <w:r>
                          <w:rPr>
                            <w:color w:val="0563C1" w:themeColor="hyperlink"/>
                            <w:u w:val="single"/>
                          </w:rPr>
                          <w:t>(ES) 2023/1184</w:t>
                        </w:r>
                      </w:hyperlink>
                      <w:r>
                        <w:t xml:space="preserve">, kuriuo 2018 m. gruodžio 11 d. Europos Parlamento ir Tarybos direktyva </w:t>
                      </w:r>
                      <w:hyperlink r:id="rId41" w:tgtFrame="_blank" w:history="1">
                        <w:r>
                          <w:rPr>
                            <w:color w:val="0563C1" w:themeColor="hyperlink"/>
                            <w:u w:val="single"/>
                          </w:rPr>
                          <w:t>(ES) 2018/2001</w:t>
                        </w:r>
                      </w:hyperlink>
                      <w:r>
                        <w:t xml:space="preserve"> papildoma Sąjungos metodika, kurioje išdėstytos išsamios nebiologinės kilmės skystojo ir dujinio transporto kuro gamybos iš atsinaujinančių išteklių taisyklės ir 2023 m. vasario 10 d. Komisijos deleguotojo reglamento </w:t>
                      </w:r>
                      <w:hyperlink r:id="rId42" w:tgtFrame="_blank" w:history="1">
                        <w:r>
                          <w:rPr>
                            <w:color w:val="0563C1" w:themeColor="hyperlink"/>
                            <w:u w:val="single"/>
                          </w:rPr>
                          <w:t>(ES) 2023/1185</w:t>
                        </w:r>
                      </w:hyperlink>
                      <w:r>
                        <w:t xml:space="preserve">, kuriuo nustatant minimalią išmetamo šiltnamio efektą sukeliančių dujų kiekio sumažėjimo dėl perdirbtos anglies kuro naudojimo ribą ir pateikiant išmetamo šiltnamio efektą sukeliančių dujų kiekio sumažėjimo dėl iš atsinaujinančių išteklių pagaminto nebiologinės kilmės skystojo ir dujinio transporto kuro ir perdirbtos anglies kuro naudojimo vertinimo metodika papildoma Europos Parlamento ir Tarybos direktyva </w:t>
                      </w:r>
                      <w:hyperlink r:id="rId43" w:tgtFrame="_blank" w:history="1">
                        <w:r>
                          <w:rPr>
                            <w:color w:val="0563C1" w:themeColor="hyperlink"/>
                            <w:u w:val="single"/>
                          </w:rPr>
                          <w:t>(ES) 2018/2001</w:t>
                        </w:r>
                      </w:hyperlink>
                      <w:r>
                        <w:t xml:space="preserve">, tik iš atsinaujinančių energijos išteklių pagamintas vandenilis ir išvestiniai vandenilio produktai, naudojami pramonės sektoriuje energijos ir ne energetikos tikslais, įskaičiuojami į skaitiklį. Išvestiniais vandenilio produktais laikomi produktai, gauti tiesiogiai iš vandenilio, t. y. esant cheminei sąveikai tarp vandenilio ir kitų molekulių. Produktai, kurių sudėtyje yra vandenilio, tačiau kurie negali būti laikomi išvestiniais vandenilio produktais (pvz., trąšos) arba produktai, kurie pagaminti vandenilį naudojant kaip reduktorių (pvz., tiesiogiai redukuojant geležies rūdą), nelaikomi iš atsinaujinančių energijos išteklių pagamintu nebiologinės kilmės kuru; </w:t>
                      </w:r>
                    </w:p>
                  </w:sdtContent>
                </w:sdt>
                <w:sdt>
                  <w:sdtPr>
                    <w:alias w:val="20.5 pp."/>
                    <w:tag w:val="part_8139835b05524d2b9b3b115354258191"/>
                    <w:lock w:val="sdtLocked"/>
                    <w:richText/>
                  </w:sdtPr>
                  <w:sdtContent>
                    <w:p>
                      <w:pPr>
                        <w:ind w:firstLine="709"/>
                        <w:jc w:val="both"/>
                      </w:pPr>
                      <w:sdt>
                        <w:sdtPr>
                          <w:alias w:val="Numeris"/>
                          <w:tag w:val="nr_8139835b05524d2b9b3b115354258191"/>
                          <w:lock w:val="sdtLocked"/>
                          <w:richText/>
                        </w:sdtPr>
                        <w:sdtContent>
                          <w:r>
                            <w:t>20.5</w:t>
                          </w:r>
                        </w:sdtContent>
                      </w:sdt>
                      <w:r>
                        <w:t xml:space="preserve">. iš atsinaujinančių energijos išteklių pagamintas nebiologinės kilmės kuras įskaičiuojamas į tos šalies, kurioje yra suvartojamas pramonės sektoriuje energijos ir ne energetikos tikslais, skaitiklį, nebent sudaromas atskiras tarpvalstybinis susitarimas dėl apskaitymo; </w:t>
                      </w:r>
                    </w:p>
                  </w:sdtContent>
                </w:sdt>
                <w:sdt>
                  <w:sdtPr>
                    <w:alias w:val="20.6 pp."/>
                    <w:tag w:val="part_fc136dcefdda4590b967f8a8baf1839f"/>
                    <w:lock w:val="sdtLocked"/>
                    <w:richText/>
                  </w:sdtPr>
                  <w:sdtContent>
                    <w:p>
                      <w:pPr>
                        <w:ind w:firstLine="709"/>
                        <w:jc w:val="both"/>
                      </w:pPr>
                      <w:sdt>
                        <w:sdtPr>
                          <w:alias w:val="Numeris"/>
                          <w:tag w:val="nr_fc136dcefdda4590b967f8a8baf1839f"/>
                          <w:lock w:val="sdtLocked"/>
                          <w:richText/>
                        </w:sdtPr>
                        <w:sdtContent>
                          <w:r>
                            <w:t>20.6</w:t>
                          </w:r>
                        </w:sdtContent>
                      </w:sdt>
                      <w:r>
                        <w:t>. apskaičiuojant vardiklį, atsižvelgiama į iš atsinaujinančių energijos išteklių pagaminto nebiologinės kilmės kuro, sunaudoto galutinės energijos ir ne energetikos tikslais Lietuvos pramonės sektoriuje, kaip tai apibrėžta Atsinaujinančių išteklių energetikos įstatyme, energinę vertę, išskyrus:</w:t>
                      </w:r>
                    </w:p>
                    <w:sdt>
                      <w:sdtPr>
                        <w:alias w:val="20.6.1 pp."/>
                        <w:tag w:val="part_39bffdf3b6bf4f8691df7233dba6e5dd"/>
                        <w:lock w:val="sdtLocked"/>
                        <w:richText/>
                      </w:sdtPr>
                      <w:sdtContent>
                        <w:p>
                          <w:pPr>
                            <w:spacing w:line="259" w:lineRule="auto"/>
                            <w:ind w:firstLine="709"/>
                            <w:jc w:val="both"/>
                          </w:pPr>
                          <w:sdt>
                            <w:sdtPr>
                              <w:alias w:val="Numeris"/>
                              <w:tag w:val="nr_39bffdf3b6bf4f8691df7233dba6e5dd"/>
                              <w:lock w:val="sdtLocked"/>
                              <w:richText/>
                            </w:sdtPr>
                            <w:sdtContent>
                              <w:r>
                                <w:t>20.6.1</w:t>
                              </w:r>
                            </w:sdtContent>
                          </w:sdt>
                          <w:r>
                            <w:t>. iš atsinaujinančių energijos išteklių pagamintą nebiologinės kilmės kurą, kuris naudojamas kaip tarpinis produktas įprastiniams transporto degalams ir biodegalams gaminti. Tai apima bet kokį vandenilį, sunaudojamą transporto degalams ir biodegalams desulfuruoti arba hidrinti. Naftos perdirbimo įmonės, gaminančios ir transporto degalus, ir pramoninius produktus, apskaičiuodamos vardiklį įtraukia tik vandenilį, kuris nebuvo sunaudotas įprastiniams transporto degalams ir biodegalams gaminti;</w:t>
                          </w:r>
                        </w:p>
                      </w:sdtContent>
                    </w:sdt>
                    <w:sdt>
                      <w:sdtPr>
                        <w:alias w:val="20.6.2 pp."/>
                        <w:tag w:val="part_2bd66c0c605f480c94901eaffa6e7e10"/>
                        <w:lock w:val="sdtLocked"/>
                        <w:richText/>
                      </w:sdtPr>
                      <w:sdtContent>
                        <w:p>
                          <w:pPr>
                            <w:ind w:firstLine="709"/>
                            <w:jc w:val="both"/>
                          </w:pPr>
                          <w:sdt>
                            <w:sdtPr>
                              <w:alias w:val="Numeris"/>
                              <w:tag w:val="nr_2bd66c0c605f480c94901eaffa6e7e10"/>
                              <w:lock w:val="sdtLocked"/>
                              <w:richText/>
                            </w:sdtPr>
                            <w:sdtContent>
                              <w:r>
                                <w:t>20.6.2</w:t>
                              </w:r>
                            </w:sdtContent>
                          </w:sdt>
                          <w:r>
                            <w:t xml:space="preserve">. iš atsinaujinančių energijos išteklių pagamintą nebiologinės kilmės kurą, gaunamą dekarbonizuojant pramonės liekamąsias dujas ir naudojamą konkrečioms dujoms, iš kurių jis pagamintas, pakeisti. Tai apima bet kokį iš liekamųjų dujų gaminamą vandenilį, kuris vėliau grąžinamas į pramoninį procesą ir pakeičia liekamąsias dujas, iš kurių jis pagamintas; </w:t>
                          </w:r>
                        </w:p>
                      </w:sdtContent>
                    </w:sdt>
                    <w:sdt>
                      <w:sdtPr>
                        <w:alias w:val="20.6.3 pp."/>
                        <w:tag w:val="part_38b060e74b374411be1263d279be432b"/>
                        <w:lock w:val="sdtLocked"/>
                        <w:richText/>
                      </w:sdtPr>
                      <w:sdtContent>
                        <w:p>
                          <w:pPr>
                            <w:spacing w:line="259" w:lineRule="auto"/>
                            <w:ind w:firstLine="709"/>
                            <w:jc w:val="both"/>
                          </w:pPr>
                          <w:sdt>
                            <w:sdtPr>
                              <w:alias w:val="Numeris"/>
                              <w:tag w:val="nr_38b060e74b374411be1263d279be432b"/>
                              <w:lock w:val="sdtLocked"/>
                              <w:richText/>
                            </w:sdtPr>
                            <w:sdtContent>
                              <w:r>
                                <w:t>20.6.3</w:t>
                              </w:r>
                            </w:sdtContent>
                          </w:sdt>
                          <w:r>
                            <w:t>. iš atsinaujinančių energijos išteklių pagamintą nebiologinės kilmės kurą, kuris pagamintas kaip šalutinis produktas arba gautas iš šalutinių produktų pramonės įrenginiuose. Ši išimtis taikoma vandeniliui, kuris gaminamas kaip neišvengiamas šalutinis produktas, arba vandeniliui, kuris gaminamas iš liekamųjų dujų, kurios yra neišvengiamas šalutinis produktas. Šiai kategorijai priskiriamas vandenilis, susidarantis chloro šarmų arba natrio chlorido gamybos procesuose, vandenilis, gaunamas kaip iškastinio kuro krekingo šalutinis produktas, gaminant alkanus ar alkenus, vandenilis, gaunamas per dehidrinimo procesą stireno ar etileno gamyboje, arba vandenilis, gaunamas gaminant koksavimo dujas ar susidarantis aukštakrosnėje gaminant geležį ar plieną;</w:t>
                          </w:r>
                        </w:p>
                      </w:sdtContent>
                    </w:sdt>
                  </w:sdtContent>
                </w:sdt>
                <w:sdt>
                  <w:sdtPr>
                    <w:alias w:val="20.7 pp."/>
                    <w:tag w:val="part_f60bb3c860bc4159a1e19d904c65fa62"/>
                    <w:lock w:val="sdtLocked"/>
                    <w:richText/>
                  </w:sdtPr>
                  <w:sdtContent>
                    <w:p>
                      <w:pPr>
                        <w:spacing w:line="259" w:lineRule="auto"/>
                        <w:ind w:firstLine="709"/>
                        <w:jc w:val="both"/>
                      </w:pPr>
                      <w:sdt>
                        <w:sdtPr>
                          <w:alias w:val="Numeris"/>
                          <w:tag w:val="nr_f60bb3c860bc4159a1e19d904c65fa62"/>
                          <w:lock w:val="sdtLocked"/>
                          <w:richText/>
                        </w:sdtPr>
                        <w:sdtContent>
                          <w:r>
                            <w:t>20.7</w:t>
                          </w:r>
                        </w:sdtContent>
                      </w:sdt>
                      <w:r>
                        <w:t>. apskaičiuojant vardiklį, įtraukiamas vandenilis, pagamintas visais galimais būdais, nepriklausomai nuo energijos šaltinio. Jis taip pat apima vandenilį, kuris tikslingai suvartojamas kaip mišinio dalis, pavyzdžiui, vandenilio dalis sinerginėse dujose (įprastas vandenilio ir anglies monoksido mišinys, naudojamas chemijos pramonėje) arba vandenilio dalis mišinyje su azotu amoniakui gaminti;</w:t>
                      </w:r>
                    </w:p>
                  </w:sdtContent>
                </w:sdt>
                <w:sdt>
                  <w:sdtPr>
                    <w:alias w:val="20.8 pp."/>
                    <w:tag w:val="part_9d9b403188894907b383aaf4f6b66cff"/>
                    <w:lock w:val="sdtLocked"/>
                    <w:richText/>
                  </w:sdtPr>
                  <w:sdtContent>
                    <w:p>
                      <w:pPr>
                        <w:spacing w:line="259" w:lineRule="auto"/>
                        <w:ind w:firstLine="709"/>
                        <w:jc w:val="both"/>
                      </w:pPr>
                      <w:sdt>
                        <w:sdtPr>
                          <w:alias w:val="Numeris"/>
                          <w:tag w:val="nr_9d9b403188894907b383aaf4f6b66cff"/>
                          <w:lock w:val="sdtLocked"/>
                          <w:richText/>
                        </w:sdtPr>
                        <w:sdtContent>
                          <w:r>
                            <w:t>20.8</w:t>
                          </w:r>
                        </w:sdtContent>
                      </w:sdt>
                      <w:r>
                        <w:t xml:space="preserve">. apskaičiuojant vardiklį, įtraukiamas vandenilis, naudojamas išvestiniams vandenilio produktams gaminti; </w:t>
                      </w:r>
                    </w:p>
                  </w:sdtContent>
                </w:sdt>
                <w:sdt>
                  <w:sdtPr>
                    <w:alias w:val="20.9 pp."/>
                    <w:tag w:val="part_2a33359200a141999ca368bd1245fbb1"/>
                    <w:lock w:val="sdtLocked"/>
                    <w:richText/>
                  </w:sdtPr>
                  <w:sdtContent>
                    <w:p>
                      <w:pPr>
                        <w:spacing w:line="259" w:lineRule="auto"/>
                        <w:ind w:firstLine="709"/>
                        <w:jc w:val="both"/>
                      </w:pPr>
                      <w:sdt>
                        <w:sdtPr>
                          <w:alias w:val="Numeris"/>
                          <w:tag w:val="nr_2a33359200a141999ca368bd1245fbb1"/>
                          <w:lock w:val="sdtLocked"/>
                          <w:richText/>
                        </w:sdtPr>
                        <w:sdtContent>
                          <w:r>
                            <w:t>20.9</w:t>
                          </w:r>
                        </w:sdtContent>
                      </w:sdt>
                      <w:r>
                        <w:t>. vandenilio ir išvestinių vandenilio produktų, pagamintų iš iškastinio kuro ir suvartotų pramonės sektoriuje, daliai apskaičiuoti į vardiklį įtraukiami visi vandenilio gamybos procesai, kuriuose naudojami iškastinio kuro šaltiniai, įskaitant tuos, kurių metu sugaunamas ir naudojamas arba saugomas CO</w:t>
                      </w:r>
                      <w:r>
                        <w:rPr>
                          <w:vertAlign w:val="subscript"/>
                        </w:rPr>
                        <w:t>2</w:t>
                      </w:r>
                      <w:r>
                        <w:t>. Vardiklis apskaičiuojamas remiantis viso vandenilio ir išvestinių vandenilio produktų suvartojimu pramonės sektoriuje, t. y. įskaitant iš atsinaujinančių energijos išteklių pagamintą nebiologinės kilmės kurą, vandenilį iš iškastinio kuro ir mažos anglies dioksido taršos vandenilį ir išvestinius produktus. Vardiklyje išvestiniais vandenilio produktais laikomi tik tie produktai, kurie gaminami naudojant vandenilį kaip žaliavą ir yra gauti kaip tiesioginiai vandenilio dariniai, t. y. gauti sujungus vandenilį su kitomis molekulėmis. Produktai, kuriuose natūraliu pavidalu yra vandenilio, ar produktai, pagaminti iš produktų, kuriuose gamtoje aptinkamu pavidalu yra vandenilio, nėra įtraukiami į skaičiavimą. Produktai, kurių sudėtyje yra vandenilio, tačiau kurie nėra tiesioginiai vandenilio dariniai (pvz., trąšos), arba produktai, pagaminti naudojant vandenilį kaip reduktorių (pvz., tiesiogiai redukuota geležis), neįtraukiami į vardiklį.</w:t>
                      </w:r>
                    </w:p>
                  </w:sdtContent>
                </w:sdt>
              </w:sdtContent>
            </w:sdt>
            <w:sdt>
              <w:sdtPr>
                <w:alias w:val="21 p."/>
                <w:tag w:val="part_54397755f4c1486aba736af283cb4097"/>
                <w:lock w:val="sdtLocked"/>
                <w:richText/>
              </w:sdtPr>
              <w:sdtContent>
                <w:p>
                  <w:pPr>
                    <w:spacing w:line="259" w:lineRule="auto"/>
                    <w:ind w:firstLine="709"/>
                    <w:jc w:val="both"/>
                  </w:pPr>
                  <w:sdt>
                    <w:sdtPr>
                      <w:alias w:val="Numeris"/>
                      <w:tag w:val="nr_54397755f4c1486aba736af283cb4097"/>
                      <w:lock w:val="sdtLocked"/>
                      <w:richText/>
                    </w:sdtPr>
                    <w:sdtContent>
                      <w:r>
                        <w:t>21</w:t>
                      </w:r>
                    </w:sdtContent>
                  </w:sdt>
                  <w:r>
                    <w:t>. Galutinės energijos, pagamintos iš atsinaujinančių energijos išteklių, suvartotos energijos ir ne energetikos tikslais pramonės sektoriuje dalies padidėjimas, vertinamas kaip metinis vidurkis laikotarpiams nuo 2021 m. iki 2025 m. ir nuo 2026 m. iki 2030 m. pagal formulę, kuria nustatoma, kad bendras padidėjimas iki 2030 m. turi siekti vidutiniškai ne mažiau kaip 1,6 procentinio punkto per metus.</w:t>
                  </w:r>
                </w:p>
                <w:p>
                  <w:pPr>
                    <w:spacing w:line="259" w:lineRule="auto"/>
                    <w:ind w:firstLine="709"/>
                    <w:jc w:val="both"/>
                  </w:pPr>
                </w:p>
                <w:p>
                  <w:pPr>
                    <w:spacing w:line="259" w:lineRule="auto"/>
                    <w:ind w:firstLine="709"/>
                    <w:jc w:val="both"/>
                  </w:pPr>
                  <w:r>
                    <w:rPr>
                      <w:lang w:eastAsia="lt-LT"/>
                    </w:rPr>
                    <w:drawing>
                      <wp:inline distT="0" distB="0" distL="0" distR="0">
                        <wp:extent cx="562053" cy="552527"/>
                        <wp:effectExtent l="0" t="0" r="0" b="0"/>
                        <wp:docPr id="105932809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328091" name=""/>
                                <pic:cNvPicPr/>
                              </pic:nvPicPr>
                              <pic:blipFill>
                                <a:blip r:embed="rId44">
                                  <a:extLst>
                                    <a:ext uri="{28A0092B-C50C-407E-A947-70E740481C1C}">
                                      <a14:useLocalDpi xmlns:a14="http://schemas.microsoft.com/office/drawing/2010/main" val="0"/>
                                    </a:ext>
                                  </a:extLst>
                                </a:blip>
                                <a:stretch>
                                  <a:fillRect/>
                                </a:stretch>
                              </pic:blipFill>
                              <pic:spPr>
                                <a:xfrm>
                                  <a:off x="0" y="0"/>
                                  <a:ext cx="562053" cy="552527"/>
                                </a:xfrm>
                                <a:prstGeom prst="rect">
                                  <a:avLst/>
                                </a:prstGeom>
                              </pic:spPr>
                            </pic:pic>
                          </a:graphicData>
                        </a:graphic>
                      </wp:inline>
                    </w:drawing>
                  </w:r>
                  <w:r>
                    <w:t xml:space="preserve">,  kur:</w:t>
                  </w:r>
                </w:p>
                <w:p>
                  <w:pPr>
                    <w:spacing w:line="259" w:lineRule="auto"/>
                    <w:ind w:firstLine="709"/>
                    <w:jc w:val="both"/>
                  </w:pPr>
                </w:p>
                <w:p>
                  <w:pPr>
                    <w:spacing w:line="259" w:lineRule="auto"/>
                    <w:ind w:firstLine="709"/>
                    <w:jc w:val="both"/>
                    <w:rPr>
                      <w:color w:val="000000"/>
                    </w:rPr>
                  </w:pPr>
                  <w:r>
                    <w:t xml:space="preserve">A </w:t>
                  </w:r>
                  <w:r>
                    <w:rPr>
                      <w:color w:val="000000"/>
                    </w:rPr>
                    <w:t>– Metinis galutinės energijos, pagamintos iš atsinaujinančių energijos išteklių, suvartotos energijos ir ne energetikos tikslais pramonės sektoriuje dalies pokyčio vidurkis (proc. punktais);</w:t>
                  </w:r>
                </w:p>
                <w:p>
                  <w:pPr>
                    <w:widowControl w:val="0"/>
                    <w:spacing w:line="259" w:lineRule="auto"/>
                    <w:ind w:firstLine="709"/>
                    <w:jc w:val="both"/>
                    <w:rPr>
                      <w:color w:val="000000"/>
                    </w:rPr>
                  </w:pPr>
                  <w:r>
                    <w:rPr>
                      <w:color w:val="000000"/>
                    </w:rPr>
                    <w:t>B – Galutinės energijos, pagamintos iš atsinaujinančių energijos išteklių, suvartotos energijos ir ne energetikos tikslais pramonės sektoriuje pokytis procentiniais punktais laikotarpiams nuo 2021 m. iki 2025 m. ir nuo 2026 m. iki 2030 m.</w:t>
                  </w:r>
                </w:p>
                <w:p>
                  <w:pPr>
                    <w:spacing w:line="259" w:lineRule="auto"/>
                    <w:ind w:firstLine="709"/>
                    <w:jc w:val="both"/>
                    <w:rPr>
                      <w:color w:val="000000"/>
                    </w:rPr>
                  </w:pPr>
                </w:p>
              </w:sdtContent>
            </w:sdt>
          </w:sdtContent>
        </w:sdt>
        <w:sdt>
          <w:sdtPr>
            <w:alias w:val="skyrius"/>
            <w:tag w:val="part_4835979701f541c4b8006ec11d12c907"/>
            <w:lock w:val="sdtLocked"/>
            <w:richText/>
          </w:sdtPr>
          <w:sdtContent>
            <w:p>
              <w:pPr>
                <w:jc w:val="center"/>
                <w:rPr>
                  <w:b/>
                  <w:bCs/>
                </w:rPr>
              </w:pPr>
              <w:sdt>
                <w:sdtPr>
                  <w:alias w:val="Numeris"/>
                  <w:tag w:val="nr_4835979701f541c4b8006ec11d12c907"/>
                  <w:lock w:val="sdtLocked"/>
                  <w:richText/>
                </w:sdtPr>
                <w:sdtContent>
                  <w:r>
                    <w:rPr>
                      <w:b/>
                      <w:bCs/>
                    </w:rPr>
                    <w:t>III</w:t>
                  </w:r>
                </w:sdtContent>
              </w:sdt>
              <w:r>
                <w:rPr>
                  <w:b/>
                  <w:bCs/>
                </w:rPr>
                <w:t xml:space="preserve"> SKYRIUS</w:t>
              </w:r>
            </w:p>
            <w:p>
              <w:pPr>
                <w:jc w:val="center"/>
                <w:rPr>
                  <w:b/>
                  <w:bCs/>
                </w:rPr>
              </w:pPr>
              <w:sdt>
                <w:sdtPr>
                  <w:alias w:val="Pavadinimas"/>
                  <w:tag w:val="title_4835979701f541c4b8006ec11d12c907"/>
                  <w:lock w:val="sdtLocked"/>
                  <w:richText/>
                </w:sdtPr>
                <w:sdtContent>
                  <w:r>
                    <w:rPr>
                      <w:b/>
                      <w:bCs/>
                    </w:rPr>
                    <w:t>BAIGIAMOSIOS NUOSTATOS</w:t>
                  </w:r>
                </w:sdtContent>
              </w:sdt>
            </w:p>
            <w:p>
              <w:pPr>
                <w:rPr>
                  <w:b/>
                  <w:bCs/>
                </w:rPr>
              </w:pPr>
            </w:p>
            <w:sdt>
              <w:sdtPr>
                <w:alias w:val="22 p."/>
                <w:tag w:val="part_1f53b3d99f684757bec5643bd120954f"/>
                <w:lock w:val="sdtLocked"/>
                <w:richText/>
              </w:sdtPr>
              <w:sdtContent>
                <w:p>
                  <w:pPr>
                    <w:ind w:firstLine="709"/>
                  </w:pPr>
                  <w:sdt>
                    <w:sdtPr>
                      <w:alias w:val="Numeris"/>
                      <w:tag w:val="nr_1f53b3d99f684757bec5643bd120954f"/>
                      <w:lock w:val="sdtLocked"/>
                      <w:richText/>
                    </w:sdtPr>
                    <w:sdtContent>
                      <w:r>
                        <w:t>22</w:t>
                      </w:r>
                    </w:sdtContent>
                  </w:sdt>
                  <w:r>
                    <w:t xml:space="preserve">. Pasikeitus teisės aktams, minimiems Metodikos 1 ir 2 punktuose, Metodika gali būti peržiūrima ir keičiama. </w:t>
                  </w:r>
                </w:p>
                <w:p>
                  <w:pPr/>
                </w:p>
              </w:sdtContent>
            </w:sdt>
          </w:sdtContent>
        </w:sdt>
        <w:sdt>
          <w:sdtPr>
            <w:alias w:val="pabaiga"/>
            <w:tag w:val="part_f2387253414344118062da453dd73821"/>
            <w:lock w:val="sdtLocked"/>
            <w:richText/>
          </w:sdtPr>
          <w:sdtContent>
            <w:p>
              <w:pPr>
                <w:jc w:val="center"/>
              </w:pPr>
              <w:r>
                <w:t>_________________</w:t>
              </w:r>
            </w:p>
          </w:sdtContent>
        </w:sdt>
      </w:sdtContent>
    </w:sdt>
    <w:sdt>
      <w:sdtPr>
        <w:alias w:val="1 pr."/>
        <w:tag w:val="part_753fc0e8364144e6b28b2cdbff1f4af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753fc0e8364144e6b28b2cdbff1f4af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753fc0e8364144e6b28b2cdbff1f4af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bacb28c62a7a4c73880ed22b326e48a0"/>
            <w:lock w:val="sdtLocked"/>
            <w:richText/>
          </w:sdtPr>
          <w:sdtContent>
            <w:p>
              <w:pPr>
                <w:tabs>
                  <w:tab w:val="left" w:pos="993"/>
                </w:tabs>
                <w:ind w:firstLine="709"/>
                <w:jc w:val="both"/>
                <w:rPr>
                  <w:color w:val="000000"/>
                  <w:szCs w:val="24"/>
                </w:rPr>
              </w:pPr>
              <w:sdt>
                <w:sdtPr>
                  <w:alias w:val="Numeris"/>
                  <w:tag w:val="nr_bacb28c62a7a4c73880ed22b326e48a0"/>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jc w:val="cente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 iš MPA</m:t>
                    </m:r>
                  </m:num>
                  <m:den>
                    <m:r>
                      <w:rPr>
                        <w:rFonts w:ascii="Cambria Math" w:hAnsi="Cambria Math"/>
                        <w:szCs w:val="22"/>
                      </w:rPr>
                      <m:t xml:space="preserve">Biodegalai+Biodujos+Benz+Dyz+GD+EE </m:t>
                    </m:r>
                  </m:den>
                </m:f>
                <m:r>
                  <w:rPr>
                    <w:rFonts w:ascii="Cambria Math" w:hAnsi="Cambria Math"/>
                    <w:szCs w:val="22"/>
                  </w:rPr>
                  <m:t xml:space="preserve"> ×</m:t>
                </m:r>
              </m:oMath>
              <w:r>
                <w:t>100, kur:</w:t>
              </w:r>
            </w:p>
            <w:p>
              <w:pPr>
                <w:tabs>
                  <w:tab w:val="left" w:pos="1134"/>
                </w:tabs>
                <w:jc w:val="both"/>
                <w:rPr>
                  <w:bCs/>
                  <w:szCs w:val="22"/>
                </w:rPr>
              </w:pP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1b4eaee13dd34bfebd0bde2d86ae936f"/>
            <w:lock w:val="sdtLocked"/>
            <w:richText/>
          </w:sdtPr>
          <w:sdtContent>
            <w:p>
              <w:pPr>
                <w:tabs>
                  <w:tab w:val="left" w:pos="709"/>
                </w:tabs>
                <w:ind w:firstLine="426"/>
                <w:jc w:val="both"/>
              </w:pPr>
              <w:sdt>
                <w:sdtPr>
                  <w:alias w:val="Numeris"/>
                  <w:tag w:val="nr_1b4eaee13dd34bfebd0bde2d86ae936f"/>
                  <w:lock w:val="sdtLocked"/>
                  <w:richText/>
                </w:sdtPr>
                <w:sdtContent>
                  <w:r>
                    <w:t>2</w:t>
                  </w:r>
                </w:sdtContent>
              </w:sdt>
              <w:r>
                <w:t>.</w:t>
                <w:tab/>
                <w:t>Skaičiavimui naudojami įvesties duomenys:</w:t>
              </w:r>
            </w:p>
            <w:sdt>
              <w:sdtPr>
                <w:alias w:val="1 pr. 2.1 pp."/>
                <w:tag w:val="part_a8f21bc94b0d48358f1b92a880434217"/>
                <w:lock w:val="sdtLocked"/>
                <w:richText/>
              </w:sdtPr>
              <w:sdtContent>
                <w:p>
                  <w:pPr>
                    <w:tabs>
                      <w:tab w:val="left" w:pos="851"/>
                    </w:tabs>
                    <w:ind w:firstLine="426"/>
                    <w:jc w:val="both"/>
                  </w:pPr>
                  <w:sdt>
                    <w:sdtPr>
                      <w:alias w:val="Numeris"/>
                      <w:tag w:val="nr_a8f21bc94b0d48358f1b92a880434217"/>
                      <w:lock w:val="sdtLocked"/>
                      <w:richText/>
                    </w:sdtPr>
                    <w:sdtContent>
                      <w:r>
                        <w:t>2.1</w:t>
                      </w:r>
                    </w:sdtContent>
                  </w:sdt>
                  <w:r>
                    <w:t>.</w:t>
                    <w:tab/>
                  </w:r>
                  <w:r>
                    <w:rPr>
                      <w:color w:val="000000"/>
                    </w:rPr>
                    <w:t xml:space="preserve">2020 m. kelių ir geležinkelių transporto sektoriuose suvartotas visų skystųjų </w:t>
                  </w:r>
                  <w:r>
                    <w:t xml:space="preserve">biodegalų </w:t>
                  </w:r>
                  <w:r>
                    <w:rPr>
                      <w:color w:val="000000"/>
                    </w:rPr>
                    <w:t>kiekis – 4309 teradžauliai (Šaltinis: Valstybės duomenų agentūra), iš kurių:</w:t>
                  </w:r>
                </w:p>
                <w:sdt>
                  <w:sdtPr>
                    <w:alias w:val="1 pr. 2.1.1 pp."/>
                    <w:tag w:val="part_a115a1337b3e4d5282a0aa737b1caa3c"/>
                    <w:lock w:val="sdtLocked"/>
                    <w:richText/>
                  </w:sdtPr>
                  <w:sdtContent>
                    <w:p>
                      <w:pPr>
                        <w:tabs>
                          <w:tab w:val="left" w:pos="1134"/>
                        </w:tabs>
                        <w:ind w:firstLine="426"/>
                        <w:jc w:val="both"/>
                      </w:pPr>
                      <w:sdt>
                        <w:sdtPr>
                          <w:alias w:val="Numeris"/>
                          <w:tag w:val="nr_a115a1337b3e4d5282a0aa737b1caa3c"/>
                          <w:lock w:val="sdtLocked"/>
                          <w:richText/>
                        </w:sdtPr>
                        <w:sdtContent>
                          <w:r>
                            <w:t>2.1.1</w:t>
                          </w:r>
                        </w:sdtContent>
                      </w:sdt>
                      <w:r>
                        <w:t>.</w:t>
                        <w:tab/>
                        <w:t xml:space="preserve">Biodegalų, </w:t>
                      </w:r>
                      <w:r>
                        <w:rPr>
                          <w:color w:val="000000"/>
                        </w:rPr>
                        <w:t>pagamintų iš maistinių ir pašarinių augalų, kiekis – 3 875,2 teradžauliai (šaltiniai: Valstybės duomenų agentūra ir Aplinkos apsaugos agentūra);</w:t>
                      </w:r>
                    </w:p>
                  </w:sdtContent>
                </w:sdt>
                <w:sdt>
                  <w:sdtPr>
                    <w:alias w:val="1 pr. 2.1.2 pp."/>
                    <w:tag w:val="part_bc54bf52fe034b1e8debb79ee36d9d8c"/>
                    <w:lock w:val="sdtLocked"/>
                    <w:richText/>
                  </w:sdtPr>
                  <w:sdtContent>
                    <w:p>
                      <w:pPr>
                        <w:tabs>
                          <w:tab w:val="left" w:pos="1134"/>
                        </w:tabs>
                        <w:ind w:firstLine="426"/>
                        <w:jc w:val="both"/>
                      </w:pPr>
                      <w:sdt>
                        <w:sdtPr>
                          <w:alias w:val="Numeris"/>
                          <w:tag w:val="nr_bc54bf52fe034b1e8debb79ee36d9d8c"/>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4db1f768374e4960bfa3e4748f75bf5f"/>
                    <w:lock w:val="sdtLocked"/>
                    <w:richText/>
                  </w:sdtPr>
                  <w:sdtContent>
                    <w:p>
                      <w:pPr>
                        <w:tabs>
                          <w:tab w:val="left" w:pos="1134"/>
                        </w:tabs>
                        <w:ind w:firstLine="426"/>
                        <w:jc w:val="both"/>
                      </w:pPr>
                      <w:sdt>
                        <w:sdtPr>
                          <w:alias w:val="Numeris"/>
                          <w:tag w:val="nr_4db1f768374e4960bfa3e4748f75bf5f"/>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d12bdc99b01a451d8d3c26bc61b83a5a"/>
                <w:lock w:val="sdtLocked"/>
                <w:richText/>
              </w:sdtPr>
              <w:sdtContent>
                <w:p>
                  <w:pPr>
                    <w:tabs>
                      <w:tab w:val="left" w:pos="851"/>
                    </w:tabs>
                    <w:ind w:firstLine="426"/>
                    <w:jc w:val="both"/>
                  </w:pPr>
                  <w:sdt>
                    <w:sdtPr>
                      <w:alias w:val="Numeris"/>
                      <w:tag w:val="nr_d12bdc99b01a451d8d3c26bc61b83a5a"/>
                      <w:lock w:val="sdtLocked"/>
                      <w:richText/>
                    </w:sdtPr>
                    <w:sdtContent>
                      <w:r>
                        <w:t>2.2</w:t>
                      </w:r>
                    </w:sdtContent>
                  </w:sdt>
                  <w:r>
                    <w:t>.</w:t>
                    <w:tab/>
                  </w:r>
                  <w:r>
                    <w:rPr>
                      <w:color w:val="000000"/>
                    </w:rPr>
                    <w:t>2020 m. kelių ir geležinkelių transporto sektoriuose suvartotas biodujų kiekis – 0 teradžaulių (šaltinis: Valstybės duomenų agentūra);</w:t>
                  </w:r>
                </w:p>
              </w:sdtContent>
            </w:sdt>
            <w:sdt>
              <w:sdtPr>
                <w:alias w:val="1 pr. 2.3 pp."/>
                <w:tag w:val="part_3494bbd7e80f40a39a5306e40b768494"/>
                <w:lock w:val="sdtLocked"/>
                <w:richText/>
              </w:sdtPr>
              <w:sdtContent>
                <w:p>
                  <w:pPr>
                    <w:tabs>
                      <w:tab w:val="left" w:pos="851"/>
                    </w:tabs>
                    <w:ind w:firstLine="426"/>
                    <w:jc w:val="both"/>
                  </w:pPr>
                  <w:sdt>
                    <w:sdtPr>
                      <w:alias w:val="Numeris"/>
                      <w:tag w:val="nr_3494bbd7e80f40a39a5306e40b768494"/>
                      <w:lock w:val="sdtLocked"/>
                      <w:richText/>
                    </w:sdtPr>
                    <w:sdtContent>
                      <w:r>
                        <w:t>2.3</w:t>
                      </w:r>
                    </w:sdtContent>
                  </w:sdt>
                  <w:r>
                    <w:t>.</w:t>
                    <w:tab/>
                  </w:r>
                  <w:r>
                    <w:rPr>
                      <w:color w:val="000000"/>
                    </w:rPr>
                    <w:t>2020 m. kelių ir geležinkelių transporto sektoriuose suvartotas benzino kiekis – 9 922 teradžauliai (šaltinis: Valstybės duomenų agentūra);</w:t>
                  </w:r>
                </w:p>
              </w:sdtContent>
            </w:sdt>
            <w:sdt>
              <w:sdtPr>
                <w:alias w:val="1 pr. 2.4 pp."/>
                <w:tag w:val="part_d4082c9be18a4138b5b4b3b40a92bdb0"/>
                <w:lock w:val="sdtLocked"/>
                <w:richText/>
              </w:sdtPr>
              <w:sdtContent>
                <w:p>
                  <w:pPr>
                    <w:tabs>
                      <w:tab w:val="left" w:pos="851"/>
                    </w:tabs>
                    <w:ind w:firstLine="426"/>
                    <w:jc w:val="both"/>
                  </w:pPr>
                  <w:sdt>
                    <w:sdtPr>
                      <w:alias w:val="Numeris"/>
                      <w:tag w:val="nr_d4082c9be18a4138b5b4b3b40a92bdb0"/>
                      <w:lock w:val="sdtLocked"/>
                      <w:richText/>
                    </w:sdtPr>
                    <w:sdtContent>
                      <w:r>
                        <w:t>2.4</w:t>
                      </w:r>
                    </w:sdtContent>
                  </w:sdt>
                  <w:r>
                    <w:t>.</w:t>
                    <w:tab/>
                  </w:r>
                  <w:r>
                    <w:rPr>
                      <w:color w:val="000000"/>
                    </w:rPr>
                    <w:t>2020 m. kelių ir geležinkelių transporto sektoriuose suvartotas dyzelino kiekis – 69 261 teradžaulis (šaltinis: Valstybės duomenų agentūra);</w:t>
                  </w:r>
                </w:p>
              </w:sdtContent>
            </w:sdt>
            <w:sdt>
              <w:sdtPr>
                <w:alias w:val="1 pr. 2.5 pp."/>
                <w:tag w:val="part_340cb73aae7b48ca97f51236b7151e54"/>
                <w:lock w:val="sdtLocked"/>
                <w:richText/>
              </w:sdtPr>
              <w:sdtContent>
                <w:p>
                  <w:pPr>
                    <w:tabs>
                      <w:tab w:val="left" w:pos="851"/>
                    </w:tabs>
                    <w:ind w:firstLine="426"/>
                    <w:jc w:val="both"/>
                  </w:pPr>
                  <w:sdt>
                    <w:sdtPr>
                      <w:alias w:val="Numeris"/>
                      <w:tag w:val="nr_340cb73aae7b48ca97f51236b7151e54"/>
                      <w:lock w:val="sdtLocked"/>
                      <w:richText/>
                    </w:sdtPr>
                    <w:sdtContent>
                      <w:r>
                        <w:t>2.5</w:t>
                      </w:r>
                    </w:sdtContent>
                  </w:sdt>
                  <w:r>
                    <w:t>.</w:t>
                    <w:tab/>
                  </w:r>
                  <w:r>
                    <w:rPr>
                      <w:color w:val="000000"/>
                    </w:rPr>
                    <w:t>2020 m. kelių ir geležinkelių transporto sektoriuose suvartotas gamtinių dujų kiekis – 350 teradžaulių (Šaltinis: Valstybės duomenų agentūra);</w:t>
                  </w:r>
                </w:p>
              </w:sdtContent>
            </w:sdt>
            <w:sdt>
              <w:sdtPr>
                <w:alias w:val="1 pr. 2.6 pp."/>
                <w:tag w:val="part_2e4af63f12854bd6a6235fd75fdcffb9"/>
                <w:lock w:val="sdtLocked"/>
                <w:richText/>
              </w:sdtPr>
              <w:sdtContent>
                <w:p>
                  <w:pPr>
                    <w:tabs>
                      <w:tab w:val="left" w:pos="851"/>
                    </w:tabs>
                    <w:ind w:firstLine="426"/>
                    <w:jc w:val="both"/>
                  </w:pPr>
                  <w:sdt>
                    <w:sdtPr>
                      <w:alias w:val="Numeris"/>
                      <w:tag w:val="nr_2e4af63f12854bd6a6235fd75fdcffb9"/>
                      <w:lock w:val="sdtLocked"/>
                      <w:richText/>
                    </w:sdtPr>
                    <w:sdtContent>
                      <w:r>
                        <w:t>2.6</w:t>
                      </w:r>
                    </w:sdtContent>
                  </w:sdt>
                  <w:r>
                    <w:t>.</w:t>
                    <w:tab/>
                  </w:r>
                  <w:r>
                    <w:rPr>
                      <w:color w:val="000000"/>
                    </w:rPr>
                    <w:t xml:space="preserve">2020 m. kelių ir geležinkelių transporto sektoriuose suvartotas elektros energijos kiekis –194 teradžauliai (Šaltinis: Valstybės duomenų agentūra). </w:t>
                  </w:r>
                </w:p>
              </w:sdtContent>
            </w:sdt>
          </w:sdtContent>
        </w:sdt>
        <w:sdt>
          <w:sdtPr>
            <w:alias w:val="1 pr. 3 p."/>
            <w:tag w:val="part_e91002daf99b4a04adcef9927b1a3f65"/>
            <w:lock w:val="sdtLocked"/>
            <w:richText/>
          </w:sdtPr>
          <w:sdtContent>
            <w:p>
              <w:pPr>
                <w:tabs>
                  <w:tab w:val="left" w:pos="851"/>
                </w:tabs>
                <w:ind w:firstLine="426"/>
                <w:jc w:val="both"/>
              </w:pPr>
              <w:sdt>
                <w:sdtPr>
                  <w:alias w:val="Numeris"/>
                  <w:tag w:val="nr_e91002daf99b4a04adcef9927b1a3f65"/>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p>
              <w:pPr>
                <w:ind w:firstLine="900"/>
                <w:jc w:val="both"/>
              </w:pPr>
              <w:r>
                <w:rPr>
                  <w:b/>
                  <w:bCs/>
                </w:rPr>
                <w:t>Pastaba.</w:t>
              </w:r>
              <w:r>
                <w:t xml:space="preserve"> Nustatant biodegalų, 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
          <w:sdtPr>
            <w:alias w:val="pabaiga"/>
            <w:tag w:val="part_2dac6c72fcea421b9272a5e89ad70794"/>
            <w:lock w:val="sdtLocked"/>
            <w:richText/>
          </w:sdtPr>
          <w:sdtContent>
            <w:p>
              <w:pPr>
                <w:jc w:val="center"/>
              </w:pPr>
              <w:r>
                <w:t>_________________</w:t>
              </w:r>
            </w:p>
          </w:sdtContent>
        </w:sdt>
      </w:sdtContent>
    </w:sdt>
    <w:sdt>
      <w:sdtPr>
        <w:alias w:val="2 pr."/>
        <w:tag w:val="part_b56e83ea83f44878b5113b9de37b9117"/>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b56e83ea83f44878b5113b9de37b9117"/>
              <w:lock w:val="sdtLocked"/>
              <w:richText/>
            </w:sdtPr>
            <w:sdtContent>
              <w:r>
                <w:t>2</w:t>
              </w:r>
            </w:sdtContent>
          </w:sdt>
          <w:r>
            <w:t xml:space="preserve"> priedas</w:t>
          </w:r>
        </w:p>
        <w:p>
          <w:pPr>
            <w:tabs>
              <w:tab w:val="left" w:pos="5495"/>
            </w:tabs>
            <w:ind w:left="5954"/>
          </w:pPr>
        </w:p>
        <w:p>
          <w:pPr>
            <w:tabs>
              <w:tab w:val="left" w:pos="5495"/>
            </w:tabs>
            <w:ind w:left="5954"/>
          </w:pPr>
        </w:p>
        <w:p>
          <w:pPr>
            <w:tabs>
              <w:tab w:val="left" w:pos="6371"/>
            </w:tabs>
            <w:jc w:val="center"/>
            <w:rPr>
              <w:b/>
              <w:bCs/>
            </w:rPr>
          </w:pPr>
          <w:sdt>
            <w:sdtPr>
              <w:alias w:val="Pavadinimas"/>
              <w:tag w:val="title_b56e83ea83f44878b5113b9de37b9117"/>
              <w:lock w:val="sdtLocked"/>
              <w:richText/>
            </w:sdtPr>
            <w:sdtContent>
              <w:r>
                <w:rPr>
                  <w:b/>
                  <w:bCs/>
                </w:rPr>
                <w:t>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w:t>
              </w:r>
            </w:sdtContent>
          </w:sdt>
        </w:p>
        <w:p>
          <w:pPr>
            <w:tabs>
              <w:tab w:val="left" w:pos="5495"/>
            </w:tabs>
          </w:pPr>
        </w:p>
        <w:p>
          <w:pPr>
            <w:tabs>
              <w:tab w:val="left" w:pos="993"/>
            </w:tabs>
            <w:ind w:firstLine="709"/>
            <w:jc w:val="both"/>
            <w:rPr>
              <w:color w:val="000000"/>
            </w:rPr>
          </w:pPr>
          <w:r>
            <w:t>Iš atsinaujinančių energijos išteklių pagaminto nebiologinės kilmės kuro, naudojamo energijos ir ne energetikos tikslais, dalis pramonės sektoriuje, palyginti su vandeniliu, suvartojamu galutinės energijos ir ne energetikos tikslais pramonės sektoriuje,</w:t>
          </w:r>
          <w:r>
            <w:rPr>
              <w:color w:val="000000"/>
            </w:rPr>
            <w:t xml:space="preserve"> apskaičiuojama pagal formulę:</w:t>
          </w:r>
        </w:p>
        <w:p>
          <w:pPr>
            <w:tabs>
              <w:tab w:val="left" w:pos="993"/>
            </w:tabs>
            <w:ind w:firstLine="709"/>
            <w:jc w:val="both"/>
            <w:rPr>
              <w:b/>
              <w:bCs/>
              <w:color w:val="000000"/>
            </w:rPr>
          </w:pPr>
        </w:p>
        <w:p>
          <w:pPr>
            <w:tabs>
              <w:tab w:val="left" w:pos="993"/>
            </w:tabs>
            <w:ind w:firstLine="709"/>
            <w:jc w:val="both"/>
            <w:rPr>
              <w:b/>
              <w:bCs/>
            </w:rPr>
          </w:pPr>
        </w:p>
        <w:p>
          <w:pPr>
            <w:tabs>
              <w:tab w:val="left" w:pos="993"/>
            </w:tabs>
            <w:ind w:firstLine="1116"/>
            <w:jc w:val="both"/>
          </w:pPr>
          <m:oMath>
            <m:r>
              <w:rPr>
                <w:rFonts w:ascii="Cambria Math" w:hAnsi="Cambria Math"/>
              </w:rPr>
              <m:t>AINKK%=</m:t>
            </m:r>
            <m:f>
              <m:fPr>
                <m:ctrlPr>
                  <w:rPr>
                    <w:rFonts w:ascii="Cambria Math" w:hAnsi="Cambria Math"/>
                  </w:rPr>
                </m:ctrlPr>
              </m:fPr>
              <m:num>
                <m:d>
                  <m:dPr>
                    <m:ctrlPr>
                      <w:rPr>
                        <w:rFonts w:ascii="Cambria Math" w:hAnsi="Cambria Math"/>
                      </w:rPr>
                    </m:ctrlPr>
                  </m:dPr>
                  <m:e>
                    <m:r>
                      <w:rPr>
                        <w:rFonts w:ascii="Cambria Math" w:hAnsi="Cambria Math"/>
                      </w:rPr>
                      <m:t>AINKK</m:t>
                    </m:r>
                  </m:e>
                </m:d>
              </m:num>
              <m:den>
                <m:d>
                  <m:dPr>
                    <m:ctrlPr>
                      <w:rPr>
                        <w:rFonts w:ascii="Cambria Math" w:hAnsi="Cambria Math"/>
                      </w:rPr>
                    </m:ctrlPr>
                  </m:dPr>
                  <m:e>
                    <m:r>
                      <w:rPr>
                        <w:rFonts w:ascii="Cambria Math" w:hAnsi="Cambria Math"/>
                      </w:rPr>
                      <m:t>PH</m:t>
                    </m:r>
                    <m:r>
                      <m:rPr>
                        <m:sty m:val="b"/>
                      </m:rPr>
                      <w:rPr>
                        <w:rFonts w:ascii="Cambria Math" w:hAnsi="Cambria Math"/>
                        <w:vertAlign w:val="subscript"/>
                      </w:rPr>
                      <m:t>2</m:t>
                    </m:r>
                    <m:r>
                      <w:rPr>
                        <w:rFonts w:ascii="Cambria Math" w:hAnsi="Cambria Math"/>
                      </w:rPr>
                      <m:t>+MH2+AINKK</m:t>
                    </m:r>
                  </m:e>
                </m:d>
              </m:den>
            </m:f>
            <m:r>
              <w:rPr>
                <w:rFonts w:ascii="Cambria Math" w:hAnsi="Cambria Math"/>
              </w:rPr>
              <m:t>×100</m:t>
            </m:r>
          </m:oMath>
          <w:r>
            <w:t>, kur</w:t>
          </w:r>
        </w:p>
        <w:p>
          <w:pPr>
            <w:tabs>
              <w:tab w:val="left" w:pos="993"/>
            </w:tabs>
            <w:jc w:val="both"/>
          </w:pPr>
        </w:p>
        <w:p>
          <w:pPr>
            <w:tabs>
              <w:tab w:val="left" w:pos="5495"/>
            </w:tabs>
            <w:jc w:val="both"/>
          </w:pPr>
          <w:r>
            <w:t>AINKK% – metinė iš atsinaujinančių energijos išteklių pagaminto nebiologinės kilmės kuro, naudojamo energijos ir ne energetikos tikslais, dalis pramonės sektoriuje, palyginti su vandeniliu, suvartojamu galutinės energijos ir ne energetikos tikslais pramonės sektoriuje, procentais; </w:t>
          </w:r>
        </w:p>
        <w:p>
          <w:pPr>
            <w:tabs>
              <w:tab w:val="left" w:pos="5495"/>
            </w:tabs>
            <w:jc w:val="both"/>
          </w:pPr>
          <w:r>
            <w:t>AINKK – metinis pramonės sektoriuje galutinės energijos ne energetikos tikslais suvartotas iš atsinaujinančių energijos išteklių pagaminto nebiologinės kilmės kuro kiekis, teradžauliais; </w:t>
          </w:r>
        </w:p>
        <w:p>
          <w:pPr>
            <w:tabs>
              <w:tab w:val="left" w:pos="5495"/>
            </w:tabs>
            <w:jc w:val="both"/>
          </w:pPr>
          <w:r>
            <w:t>PH2 – metinis pramonės sektoriuje galutinės energijos ne energetikos tikslais suvartotas vandenilio ir vandenilio produktų, kurie gaunami įvairiais gamybos metodais iš iškastinio kuro (naftos, gamtinių dujų, akmens anglių ir kt.) ir kurį gaminant išmetamas anglies dioksidas nėra surenkamas ir patenka į atmosferą, kiekis, teradžauliais;  </w:t>
          </w:r>
        </w:p>
        <w:p>
          <w:pPr>
            <w:tabs>
              <w:tab w:val="left" w:pos="5495"/>
            </w:tabs>
            <w:jc w:val="both"/>
          </w:pPr>
          <w:r>
            <w:t>MH2 – metinis pramonės sektoriuje galutinės energijos ne energetikos tikslais suvartotas mažos anglies dioksido taršos vandenilio ir vandenilio produktų, kurie gaunami iš neatsinaujinančių energijos išteklių ir kuris atitinka išmetamų šiltnamio efektą sukeliančių dujų 70 procentų sumažinimo, palyginti su iškastiniu kuru, kriterijų, kiekis, teradžauliais. </w:t>
          </w:r>
        </w:p>
        <w:p>
          <w:pPr>
            <w:tabs>
              <w:tab w:val="left" w:pos="5495"/>
            </w:tabs>
            <w:ind w:firstLine="62"/>
          </w:pPr>
        </w:p>
        <w:p>
          <w:pPr>
            <w:tabs>
              <w:tab w:val="left" w:pos="5495"/>
            </w:tabs>
            <w:ind w:firstLine="62"/>
            <w:rPr>
              <w:b/>
              <w:bCs/>
            </w:rPr>
          </w:pPr>
        </w:p>
        <w:sdt>
          <w:sdtPr>
            <w:alias w:val="pabaiga"/>
            <w:tag w:val="part_10fd35a50c96495e812949cda10b34c5"/>
            <w:lock w:val="sdtLocked"/>
            <w:richText/>
          </w:sdtPr>
          <w:sdtContent>
            <w:p>
              <w:pPr>
                <w:jc w:val="center"/>
              </w:pPr>
              <w:r>
                <w:t>_________________</w:t>
              </w:r>
            </w:p>
          </w:sdtContent>
        </w:sdt>
      </w:sdtContent>
    </w:sdt>
    <w:sdt>
      <w:sdtPr>
        <w:alias w:val="3 pr."/>
        <w:tag w:val="part_676a16e9231a47c7b85fb43849f1c695"/>
        <w:lock w:val="sdtLocked"/>
        <w:richText/>
      </w:sdtPr>
      <w:sdtContent>
        <w:p>
          <w:pPr>
            <w:tabs>
              <w:tab w:val="left" w:pos="5495"/>
            </w:tabs>
            <w:ind w:left="5954"/>
            <w:sectPr>
              <w:headerReference w:type="even" r:id="rId45"/>
              <w:headerReference w:type="default" r:id="rId46"/>
              <w:footerReference w:type="even" r:id="rId47"/>
              <w:footerReference w:type="default" r:id="rId48"/>
              <w:headerReference w:type="first" r:id="rId49"/>
              <w:footerReference w:type="first" r:id="rId50"/>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676a16e9231a47c7b85fb43849f1c695"/>
              <w:lock w:val="sdtLocked"/>
              <w:richText/>
            </w:sdtPr>
            <w:sdtContent>
              <w:r>
                <w:t>3</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676a16e9231a47c7b85fb43849f1c695"/>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30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300"/>
            </w:trPr>
            <w:tc>
              <w:tcPr>
                <w:tcW w:w="9962" w:type="dxa"/>
                <w:gridSpan w:val="4"/>
              </w:tcPr>
              <w:p>
                <w:pPr>
                  <w:jc w:val="center"/>
                  <w:rPr>
                    <w:b/>
                    <w:bCs/>
                    <w:strike/>
                    <w:color w:val="000000"/>
                  </w:rPr>
                </w:pPr>
                <w:r>
                  <w:rPr>
                    <w:b/>
                    <w:bCs/>
                    <w:color w:val="000000"/>
                  </w:rPr>
                  <w:t>IŠ BIOMASĖS IR (ARBA) JĄ PERDIRBANT PAGAMINTAS KURAS</w:t>
                </w:r>
              </w:p>
            </w:tc>
          </w:tr>
          <w:tr>
            <w:trPr>
              <w:trHeight w:val="30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2.</w:t>
                </w:r>
              </w:p>
            </w:tc>
            <w:tc>
              <w:tcPr>
                <w:tcW w:w="4893" w:type="dxa"/>
              </w:tcPr>
              <w:p>
                <w:pPr>
                  <w:rPr>
                    <w:color w:val="000000"/>
                  </w:rPr>
                </w:pPr>
                <w:r>
                  <w:rPr>
                    <w:color w:val="000000"/>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30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30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30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30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300"/>
            </w:trPr>
            <w:tc>
              <w:tcPr>
                <w:tcW w:w="9962" w:type="dxa"/>
                <w:gridSpan w:val="4"/>
              </w:tcPr>
              <w:p>
                <w:pPr>
                  <w:jc w:val="center"/>
                  <w:rPr>
                    <w:b/>
                    <w:bCs/>
                    <w:color w:val="000000"/>
                  </w:rPr>
                </w:pPr>
                <w:r>
                  <w:rPr>
                    <w:b/>
                    <w:bCs/>
                    <w:color w:val="000000"/>
                  </w:rPr>
                  <w:t>IŠ ĮVAIRIŲ ATSINAUJINANČIŲ ENERGIJOS IŠTEKLIŲ PAGAMINTAS KURAS, ĮSKAITANT BIOMASĘ</w:t>
                </w:r>
              </w:p>
            </w:tc>
          </w:tr>
          <w:tr>
            <w:trPr>
              <w:trHeight w:val="300"/>
            </w:trPr>
            <w:tc>
              <w:tcPr>
                <w:tcW w:w="704" w:type="dxa"/>
              </w:tcPr>
              <w:p>
                <w:pPr>
                  <w:rPr>
                    <w:color w:val="000000"/>
                    <w:szCs w:val="24"/>
                  </w:rPr>
                </w:pPr>
                <w:r>
                  <w:rPr>
                    <w:color w:val="000000"/>
                    <w:szCs w:val="24"/>
                  </w:rPr>
                  <w:t>14.</w:t>
                </w:r>
              </w:p>
            </w:tc>
            <w:tc>
              <w:tcPr>
                <w:tcW w:w="4893" w:type="dxa"/>
              </w:tcPr>
              <w:p>
                <w:pPr>
                  <w:rPr>
                    <w:color w:val="000000"/>
                  </w:rPr>
                </w:pPr>
                <w:r>
                  <w:rPr>
                    <w:color w:val="000000"/>
                  </w:rPr>
                  <w:t>Iš atsinaujinančių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300"/>
            </w:trPr>
            <w:tc>
              <w:tcPr>
                <w:tcW w:w="704" w:type="dxa"/>
              </w:tcPr>
              <w:p>
                <w:pPr>
                  <w:rPr>
                    <w:color w:val="000000"/>
                    <w:szCs w:val="24"/>
                  </w:rPr>
                </w:pPr>
                <w:r>
                  <w:rPr>
                    <w:color w:val="000000"/>
                    <w:szCs w:val="24"/>
                  </w:rPr>
                  <w:t>15.</w:t>
                </w:r>
              </w:p>
            </w:tc>
            <w:tc>
              <w:tcPr>
                <w:tcW w:w="4893" w:type="dxa"/>
              </w:tcPr>
              <w:p>
                <w:pPr>
                  <w:rPr>
                    <w:color w:val="000000"/>
                  </w:rPr>
                </w:pPr>
                <w:r>
                  <w:rPr>
                    <w:color w:val="000000"/>
                  </w:rPr>
                  <w:t>Iš atsinaujinančių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300"/>
            </w:trPr>
            <w:tc>
              <w:tcPr>
                <w:tcW w:w="704" w:type="dxa"/>
              </w:tcPr>
              <w:p>
                <w:pPr>
                  <w:rPr>
                    <w:color w:val="000000"/>
                    <w:szCs w:val="24"/>
                  </w:rPr>
                </w:pPr>
                <w:r>
                  <w:rPr>
                    <w:color w:val="000000"/>
                    <w:szCs w:val="24"/>
                  </w:rPr>
                  <w:t>16</w:t>
                </w:r>
              </w:p>
            </w:tc>
            <w:tc>
              <w:tcPr>
                <w:tcW w:w="4893" w:type="dxa"/>
              </w:tcPr>
              <w:p>
                <w:pPr>
                  <w:rPr>
                    <w:color w:val="000000"/>
                  </w:rPr>
                </w:pPr>
                <w:r>
                  <w:rPr>
                    <w:color w:val="000000"/>
                  </w:rPr>
                  <w:t>Iš atsinaujinančių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300"/>
            </w:trPr>
            <w:tc>
              <w:tcPr>
                <w:tcW w:w="704" w:type="dxa"/>
              </w:tcPr>
              <w:p>
                <w:pPr>
                  <w:rPr>
                    <w:color w:val="000000"/>
                    <w:szCs w:val="24"/>
                  </w:rPr>
                </w:pPr>
                <w:r>
                  <w:rPr>
                    <w:color w:val="000000"/>
                    <w:szCs w:val="24"/>
                  </w:rPr>
                  <w:t>17.</w:t>
                </w:r>
              </w:p>
            </w:tc>
            <w:tc>
              <w:tcPr>
                <w:tcW w:w="4893" w:type="dxa"/>
              </w:tcPr>
              <w:p>
                <w:pPr>
                  <w:rPr>
                    <w:color w:val="000000"/>
                  </w:rPr>
                </w:pPr>
                <w:r>
                  <w:rPr>
                    <w:color w:val="000000"/>
                  </w:rPr>
                  <w:t xml:space="preserve">Iš atsinaujinančių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30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30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rPr>
                </w:pPr>
                <w:r>
                  <w:rPr>
                    <w:color w:val="000000"/>
                  </w:rPr>
                  <w:t>36 (iš kurių 33 procentai iš atsinaujinančių išteklių)</w:t>
                </w:r>
              </w:p>
            </w:tc>
            <w:tc>
              <w:tcPr>
                <w:tcW w:w="2182" w:type="dxa"/>
              </w:tcPr>
              <w:p>
                <w:pPr>
                  <w:jc w:val="center"/>
                  <w:rPr>
                    <w:color w:val="000000"/>
                  </w:rPr>
                </w:pPr>
                <w:r>
                  <w:rPr>
                    <w:color w:val="000000"/>
                  </w:rPr>
                  <w:t>27 (iš kurių 33 procentai iš atsinaujinančių išteklių)</w:t>
                </w:r>
              </w:p>
            </w:tc>
          </w:tr>
          <w:tr>
            <w:trPr>
              <w:trHeight w:val="30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30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30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30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30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300"/>
            </w:trPr>
            <w:tc>
              <w:tcPr>
                <w:tcW w:w="704" w:type="dxa"/>
              </w:tcPr>
              <w:p>
                <w:pPr>
                  <w:rPr>
                    <w:color w:val="000000"/>
                    <w:szCs w:val="24"/>
                  </w:rPr>
                </w:pPr>
                <w:r>
                  <w:rPr>
                    <w:color w:val="000000"/>
                    <w:szCs w:val="24"/>
                  </w:rPr>
                  <w:t>25.</w:t>
                </w:r>
              </w:p>
            </w:tc>
            <w:tc>
              <w:tcPr>
                <w:tcW w:w="4893" w:type="dxa"/>
              </w:tcPr>
              <w:p>
                <w:pPr>
                  <w:rPr>
                    <w:color w:val="000000"/>
                  </w:rPr>
                </w:pPr>
                <w:r>
                  <w:rPr>
                    <w:color w:val="000000"/>
                  </w:rPr>
                  <w:t>Fišerio ir Tropšo 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29.</w:t>
                </w:r>
              </w:p>
            </w:tc>
            <w:tc>
              <w:tcPr>
                <w:tcW w:w="4893" w:type="dxa"/>
              </w:tcPr>
              <w:p>
                <w:pPr>
                  <w:rPr>
                    <w:color w:val="000000"/>
                  </w:rPr>
                </w:pPr>
                <w:r>
                  <w:rPr>
                    <w:color w:val="000000"/>
                  </w:rPr>
                  <w:t>Iš atsinaujinančių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300"/>
            </w:trPr>
            <w:tc>
              <w:tcPr>
                <w:tcW w:w="9962" w:type="dxa"/>
                <w:gridSpan w:val="4"/>
              </w:tcPr>
              <w:p>
                <w:pPr>
                  <w:jc w:val="center"/>
                  <w:rPr>
                    <w:b/>
                    <w:bCs/>
                    <w:strike/>
                    <w:color w:val="000000"/>
                  </w:rPr>
                </w:pPr>
                <w:r>
                  <w:rPr>
                    <w:b/>
                    <w:bCs/>
                    <w:color w:val="000000"/>
                  </w:rPr>
                  <w:t>IŠ NEATSINAUJINANČIŲ ŠALTINIŲ PAGAMINTAS KURAS</w:t>
                </w:r>
              </w:p>
            </w:tc>
          </w:tr>
          <w:tr>
            <w:trPr>
              <w:trHeight w:val="30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30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32.</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Reaktyviniai degalai</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43</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34</w:t>
                </w:r>
              </w:p>
            </w:tc>
          </w:tr>
          <w:tr>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33.</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Iš neatsinaujinančių išteklių gaunamas vandenilis</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120</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pPr>
                <w:r>
                  <w:t>-</w:t>
                </w:r>
              </w:p>
              <w:p>
                <w:pPr>
                  <w:jc w:val="center"/>
                  <w:rPr>
                    <w:color w:val="000000"/>
                  </w:rPr>
                </w:pPr>
              </w:p>
            </w:tc>
          </w:tr>
        </w:tbl>
        <w:p>
          <w:pPr>
            <w:tabs>
              <w:tab w:val="left" w:pos="8568"/>
            </w:tabs>
            <w:rPr>
              <w:sz w:val="14"/>
              <w:szCs w:val="14"/>
            </w:rPr>
          </w:pPr>
        </w:p>
        <w:p>
          <w:pPr>
            <w:jc w:val="both"/>
            <w:rPr>
              <w:b/>
              <w:sz w:val="20"/>
            </w:rPr>
          </w:pPr>
        </w:p>
        <w:sdt>
          <w:sdtPr>
            <w:alias w:val="pabaiga"/>
            <w:tag w:val="part_3c78572dbc614f6685ce72562cfb1379"/>
            <w:lock w:val="sdtLocked"/>
            <w:richText/>
          </w:sdtPr>
          <w:sdtContent>
            <w:p>
              <w:pPr>
                <w:jc w:val="center"/>
                <w:rPr>
                  <w:sz w:val="14"/>
                  <w:szCs w:val="14"/>
                </w:rP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c8bd603c0911ee9de9e7e0fd363afc">
            <w:r w:rsidRPr="00532B9F">
              <w:rPr>
                <w:rFonts w:ascii="Times New Roman" w:eastAsia="MS Mincho" w:hAnsi="Times New Roman"/>
                <w:sz w:val="20"/>
                <w:iCs/>
                <w:color w:val="0000FF" w:themeColor="hyperlink"/>
                <w:u w:val="single"/>
              </w:rPr>
              <w:t>1-266</w:t>
            </w:r>
          </w:fldSimple>
          <w:r>
            <w:rPr>
              <w:rFonts w:ascii="Times New Roman" w:eastAsia="MS Mincho" w:hAnsi="Times New Roman"/>
              <w:sz w:val="20"/>
              <w:iCs/>
            </w:rPr>
            <w:t>,
2023-08-16,
paskelbta TAR 2023-08-16, i. k. 2023-16238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a35c40594111ee81b8b446907f594f">
            <w:r w:rsidRPr="00532B9F">
              <w:rPr>
                <w:rFonts w:ascii="Times New Roman" w:eastAsia="MS Mincho" w:hAnsi="Times New Roman"/>
                <w:sz w:val="20"/>
                <w:iCs/>
                <w:color w:val="0000FF" w:themeColor="hyperlink"/>
                <w:u w:val="single"/>
              </w:rPr>
              <w:t>1-313</w:t>
            </w:r>
          </w:fldSimple>
          <w:r>
            <w:rPr>
              <w:rFonts w:ascii="Times New Roman" w:eastAsia="MS Mincho" w:hAnsi="Times New Roman"/>
              <w:sz w:val="20"/>
              <w:iCs/>
            </w:rPr>
            <w:t>,
2023-09-22,
paskelbta TAR 2023-09-22, i. k. 2023-18592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562c3697a411f0a8bbd1e98310677d">
            <w:r w:rsidRPr="00532B9F">
              <w:rPr>
                <w:rFonts w:ascii="Times New Roman" w:eastAsia="MS Mincho" w:hAnsi="Times New Roman"/>
                <w:sz w:val="20"/>
                <w:iCs/>
                <w:color w:val="0000FF" w:themeColor="hyperlink"/>
                <w:u w:val="single"/>
              </w:rPr>
              <w:t>1-219</w:t>
            </w:r>
          </w:fldSimple>
          <w:r>
            <w:rPr>
              <w:rFonts w:ascii="Times New Roman" w:eastAsia="MS Mincho" w:hAnsi="Times New Roman"/>
              <w:sz w:val="20"/>
              <w:iCs/>
            </w:rPr>
            <w:t>,
2025-09-22,
paskelbta TAR 2025-09-22, i. k. 2025-15743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D4FB8"/>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14.xml"/>
  <Relationship Id="rId20" Type="http://schemas.openxmlformats.org/officeDocument/2006/relationships/webSettings" Target="webSettings.xml"/>
  <Relationship Id="rId21" Type="http://schemas.openxmlformats.org/officeDocument/2006/relationships/hyperlink" TargetMode="External" Target="http://eur-lex.europa.eu/legal-content/LIT/TXT/?uri=CELEX:32018L2001&amp;locale=lt"/>
  <Relationship Id="rId22" Type="http://schemas.openxmlformats.org/officeDocument/2006/relationships/hyperlink" TargetMode="External" Target="http://eur-lex.europa.eu/legal-content/LIT/TXT/?uri=CELEX:32023L2413&amp;locale=lt"/>
  <Relationship Id="rId23" Type="http://schemas.openxmlformats.org/officeDocument/2006/relationships/header" Target="header31.xml"/>
  <Relationship Id="rId24" Type="http://schemas.openxmlformats.org/officeDocument/2006/relationships/header" Target="header32.xml"/>
  <Relationship Id="rId25" Type="http://schemas.openxmlformats.org/officeDocument/2006/relationships/footer" Target="footer31.xml"/>
  <Relationship Id="rId26" Type="http://schemas.openxmlformats.org/officeDocument/2006/relationships/footer" Target="footer32.xml"/>
  <Relationship Id="rId27" Type="http://schemas.openxmlformats.org/officeDocument/2006/relationships/header" Target="header33.xml"/>
  <Relationship Id="rId28" Type="http://schemas.openxmlformats.org/officeDocument/2006/relationships/footer" Target="footer33.xml"/>
  <Relationship Id="rId29" Type="http://schemas.openxmlformats.org/officeDocument/2006/relationships/hyperlink" TargetMode="External" Target="http://eur-lex.europa.eu/legal-content/LIT/TXT/?uri=CELEX:32023L2413&amp;locale=lt"/>
  <Relationship Id="rId3" Type="http://schemas.openxmlformats.org/officeDocument/2006/relationships/footer" Target="footer13.xml"/>
  <Relationship Id="rId30" Type="http://schemas.openxmlformats.org/officeDocument/2006/relationships/hyperlink" TargetMode="External" Target="http://eur-lex.europa.eu/legal-content/LIT/TXT/?uri=CELEX:32008R1099&amp;locale=lt"/>
  <Relationship Id="rId31" Type="http://schemas.openxmlformats.org/officeDocument/2006/relationships/image" Target="media/image15.png"/>
  <Relationship Id="rId32" Type="http://schemas.openxmlformats.org/officeDocument/2006/relationships/image" Target="media/image17.png"/>
  <Relationship Id="rId33" Type="http://schemas.openxmlformats.org/officeDocument/2006/relationships/image" Target="media/image18.png"/>
  <Relationship Id="rId34" Type="http://schemas.openxmlformats.org/officeDocument/2006/relationships/image" Target="media/image19.png"/>
  <Relationship Id="rId35" Type="http://schemas.openxmlformats.org/officeDocument/2006/relationships/image" Target="media/image23.png"/>
  <Relationship Id="rId36" Type="http://schemas.openxmlformats.org/officeDocument/2006/relationships/image" Target="media/image24.png"/>
  <Relationship Id="rId37" Type="http://schemas.openxmlformats.org/officeDocument/2006/relationships/image" Target="media/image25.png"/>
  <Relationship Id="rId38" Type="http://schemas.openxmlformats.org/officeDocument/2006/relationships/hyperlink" TargetMode="External" Target="http://eur-lex.europa.eu/legal-content/LIT/TXT/?uri=CELEX:32009R1069&amp;locale=lt"/>
  <Relationship Id="rId39" Type="http://schemas.openxmlformats.org/officeDocument/2006/relationships/hyperlink" TargetMode="External" Target="http://eur-lex.europa.eu/legal-content/LIT/TXT/?uri=CELEX:32002R1774&amp;locale=lt"/>
  <Relationship Id="rId4" Type="http://schemas.openxmlformats.org/officeDocument/2006/relationships/footer" Target="footer14.xml"/>
  <Relationship Id="rId40" Type="http://schemas.openxmlformats.org/officeDocument/2006/relationships/hyperlink" TargetMode="External" Target="http://eur-lex.europa.eu/legal-content/LIT/TXT/?uri=CELEX:32023R1184&amp;locale=lt"/>
  <Relationship Id="rId41" Type="http://schemas.openxmlformats.org/officeDocument/2006/relationships/hyperlink" TargetMode="External" Target="http://eur-lex.europa.eu/legal-content/LIT/TXT/?uri=CELEX:32018L2001&amp;locale=lt"/>
  <Relationship Id="rId42" Type="http://schemas.openxmlformats.org/officeDocument/2006/relationships/hyperlink" TargetMode="External" Target="http://eur-lex.europa.eu/legal-content/LIT/TXT/?uri=CELEX:32023R1185&amp;locale=lt"/>
  <Relationship Id="rId43" Type="http://schemas.openxmlformats.org/officeDocument/2006/relationships/hyperlink" TargetMode="External" Target="http://eur-lex.europa.eu/legal-content/LIT/TXT/?uri=CELEX:32018L2001&amp;locale=lt"/>
  <Relationship Id="rId44" Type="http://schemas.openxmlformats.org/officeDocument/2006/relationships/image" Target="media/image26.png"/>
  <Relationship Id="rId45" Type="http://schemas.openxmlformats.org/officeDocument/2006/relationships/header" Target="header37.xml"/>
  <Relationship Id="rId46" Type="http://schemas.openxmlformats.org/officeDocument/2006/relationships/header" Target="header38.xml"/>
  <Relationship Id="rId47" Type="http://schemas.openxmlformats.org/officeDocument/2006/relationships/footer" Target="footer37.xml"/>
  <Relationship Id="rId48" Type="http://schemas.openxmlformats.org/officeDocument/2006/relationships/footer" Target="footer38.xml"/>
  <Relationship Id="rId49" Type="http://schemas.openxmlformats.org/officeDocument/2006/relationships/header" Target="header39.xml"/>
  <Relationship Id="rId5" Type="http://schemas.openxmlformats.org/officeDocument/2006/relationships/header" Target="header15.xml"/>
  <Relationship Id="rId50" Type="http://schemas.openxmlformats.org/officeDocument/2006/relationships/footer" Target="footer39.xml"/>
  <Relationship Id="rId51" Type="http://schemas.openxmlformats.org/officeDocument/2006/relationships/customXml" Target="../customXml/item1.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3deea87531874eceb53968b558688103">
    <Part Type="preambule" DocPartId="779ceacacbb9406bacb7580302aff49e" PartId="a6a28a9e2f9f44659430b131db478e14"/>
    <Part Type="pastraipa" DocPartId="9c6e4afb4bea47f59ba45cd3e8d43588" PartId="83dd487771644298b760578d9616aede"/>
    <Part Type="signatura" DocPartId="5d0f8362b49b4fc9b7834f75f0d2d320" PartId="6f990b118643404b8d2a505b4798de1b"/>
  </Part>
  <Part Type="patvirtinta" Title="ATSINAUJINANČIŲ ENERGIJOS IŠTEKLIŲ DALIES, PALYGINTI SU BENDRUOJU GALUTINIU ENERGIJOS SUVARTOJIMU, APSKAIČIAVIMO METODIKA" DocPartId="74bd491823c044d4a69e07821fc83ab2" PartId="a60f2325bf684981b605200a86c9355a">
    <Part Type="skyrius" Nr="1" Title="BENDROSIOS NUOSTATOS" DocPartId="e7302677fa674b0785f980f784bc0699" PartId="aff22fb080904174a43ab30385147de7">
      <Part Type="punktas" Nr="1" Abbr="1 p." DocPartId="3d15926de4f0436c949ebfd171c0f7b7" PartId="f55b7ac15cf74eaabfb6c5db0ac346c1">
        <Part Type="papunktis" Nr="1.1" Abbr="1.1 pp." DocPartId="f8a0e55a153a4a78a10ca2cb79dd3bdc" PartId="57d11c44d7a04aadbb8e913703811e00"/>
        <Part Type="papunktis" Nr="1.2" Abbr="1.2 pp." DocPartId="53460ec90ad145a0bf816155624cc000" PartId="fd56131690e74755a8926f279aa2a3ae"/>
        <Part Type="papunktis" Nr="1.3" Abbr="1.3 pp." DocPartId="a5ecc064a82a4cc8b3a8ada94b838f1f" PartId="b20982b28aaf443180fdde28d2b50031"/>
      </Part>
      <Part Type="punktas" Nr="2" Abbr="2 p." DocPartId="a7697b85ddbd40f190f46e4c387db8c4" PartId="510e36973f2445b69ff179d89d78c648">
        <Part Type="papunktis" Nr="2.1" Abbr="2.1 pp." DocPartId="0918fa2c1c624ae2bc7b6c91426c5444" PartId="c4a8f15b71c6435e9754f8a35bd1029d"/>
        <Part Type="papunktis" Nr="2.2" Abbr="2.2 pp." DocPartId="38d5b76f31b44d3984fc11a1df9ab173" PartId="72319c117ed04a329f5776e3ad10d953"/>
        <Part Type="papunktis" Nr="2.3" Abbr="2.3 pp." DocPartId="4e9742d02607429a926e909f354dfa46" PartId="9eba842034c84ac2b06c2b72bf158b07"/>
        <Part Type="papunktis" Nr="2.4" Abbr="2.4 pp." DocPartId="7f268c73e93c4211a087168b6ef7bc9d" PartId="4ce310b2912944628510a333521448e9"/>
        <Part Type="papunktis" Nr="2.5" Abbr="2.5 pp." DocPartId="473c264dcb6640508a59a2e7e7e5c000" PartId="366915d5885d4d1990845dd2786d11a4"/>
        <Part Type="papunktis" Nr="2.6" Abbr="2.6 pp." DocPartId="a6f61b7b256744edbe0cbabc6e82a4df" PartId="0011ba273d8c44f299033dbe61c0c87d"/>
        <Part Type="papunktis" Nr="2.7" Abbr="2.7 pp." DocPartId="aff681e5712e4e57b51df794383d48e3" PartId="9b14ff7e7ed4408394bb450c2e2e4fbe"/>
        <Part Type="papunktis" Nr="2.8" Abbr="2.8 pp." DocPartId="b9197ed48f5d418c917fbfc1f66a36ec" PartId="db5b0c04425245faa8335c70cf063912"/>
        <Part Type="papunktis" Nr="2.9" Abbr="2.9 pp." DocPartId="60b7eb5deb714774b41b60aa27d0c281" PartId="0f52747465b641ba91bb767293f4c50b"/>
        <Part Type="papunktis" Nr="2.10" Abbr="2.10 pp." DocPartId="d9f25394bb454e898c3e0484db566ae6" PartId="4776e9e1a1de4c3684b796b8ad38eb86"/>
        <Part Type="papunktis" Nr="2.11" Abbr="2.11 pp." DocPartId="5e30582a307548989b75a00c6ad610e4" PartId="cbe78b0812cf4dbf8a5ca269c1b48c29"/>
        <Part Type="papunktis" Nr="2.12" Abbr="2.12 pp." DocPartId="7128e677e018487a9b19cb29c868959e" PartId="8d679df9f0434fea8239084d9a54e0f6"/>
        <Part Type="papunktis" Nr="2.13" Abbr="2.13 pp." DocPartId="c9068d8fd1374c1084e6afdf17d2fd24" PartId="262536efe4cd41e18a555b9dafadd7ec"/>
        <Part Type="papunktis" Nr="2.14" Abbr="2.14 pp." DocPartId="2fdfdb8729ae4ee6918d708c0d71ac3e" PartId="90e2ae85406447a19559bf26030a58ac"/>
        <Part Type="papunktis" Nr="2.15" Abbr="2.15 pp." DocPartId="e754f3c0919d48a1aa8e0ec5d1008c0c" PartId="c276bb5e9b454461b639b85f818d7f7e"/>
        <Part Type="papunktis" Nr="2.16" Abbr="2.16 pp." DocPartId="76e4eef6de2c4a13862f29d562022901" PartId="67364d66d8564d9a9751c1c995f61a51"/>
      </Part>
    </Part>
    <Part Type="skyrius" Nr="2" Title="APSKAIČIAVIMAI PAGAL METODIKĄ" DocPartId="fce1afc5746042d2ad86571d84c81aef" PartId="557fbfc4e45e4855bbb60899c4e594f6">
      <Part Type="punktas" Nr="3" Abbr="3 p." DocPartId="e45da88d4ec64de08970bc707ea0c124" PartId="8f1af753c8bb4f14a377666a50445be7"/>
      <Part Type="punktas" Nr="4" Abbr="4 p." DocPartId="ba6232fcdb9f4ba4be97d57d2b039374" PartId="a97401bfb3684095a718416ed107de1d">
        <Part Type="papunktis" Nr="4.1" Abbr="4.1 pp." DocPartId="62858088b5a146fa8bb67646da3aea29" PartId="a78f04b272034e4e9ec7c35859cff903"/>
        <Part Type="papunktis" Nr="4.2" Abbr="4.2 pp." DocPartId="52a0af5401b1489ca7a7a214fcada466" PartId="ee4e1d42c9574ae3a1df786882133bbe"/>
        <Part Type="papunktis" Nr="4.3" Abbr="4.3 pp." DocPartId="c5ed8837eeaf41e09c95ec9da90f0698" PartId="2650cee498814920acf2b31aa7613417"/>
      </Part>
      <Part Type="punktas" Nr="5" Abbr="5 p." DocPartId="8b66cc745eb745d59ef8c2962c1cb29e" PartId="4932da76fe004d65aa8dc9375677f0b1"/>
      <Part Type="punktas" Nr="6" Abbr="6 p." DocPartId="ab3400a5e12a43f28373eb5439ec726e" PartId="f1a2732b31714636b1b7f2e5d06b435b">
        <Part Type="papunktis" Nr="6.1" Abbr="6.1 pp." DocPartId="5cd27426b70a4d8e9eb2d8aee5fbf46d" PartId="15bffc8da11446388d796ef36b7fa61d"/>
        <Part Type="papunktis" Nr="6.2" Abbr="6.2 pp." DocPartId="6802bf94d8a74eaa9e1c695310324ad2" PartId="0d745c131fbc481391c1b2c32a01e2d4"/>
        <Part Type="papunktis" Nr="6.3" Abbr="6.3 pp." DocPartId="00c1b14e52ba456d949fad94efc6c5bd" PartId="aaa966b5f4be4179b8c0a644db36d813"/>
        <Part Type="papunktis" Nr="6.4" Abbr="6.4 pp." DocPartId="5669c883e6b74ee28cade8bbfd950e47" PartId="058f30bf15074d82b09cc5eb08107bc8"/>
      </Part>
      <Part Type="punktas" Nr="7" Abbr="7 p." DocPartId="43bf8edb902a4e078c6323959b33a461" PartId="04fda19a5c6944869301d9713822de4d"/>
      <Part Type="punktas" Nr="8" Abbr="8 p." DocPartId="788963ac24e94126b382a7cbb4bcf783" PartId="d5f9807827dd4f8690177a4c3dc32aea">
        <Part Type="papunktis" Nr="8.1" Abbr="8.1 pp." DocPartId="e7057305d9d54d7ea2d7c774473829d8" PartId="1b29d43037d1491aa5324bae2a97d6f1"/>
        <Part Type="papunktis" Nr="8.2" Abbr="8.2 pp." DocPartId="b13843d8732444f6b5cf18ecb78dcb22" PartId="d3c0f70e5aa44643a283308562213ece"/>
        <Part Type="papunktis" Nr="8.3" Abbr="8.3 pp." DocPartId="bc93925b3cad46c4b1b61089f22c6b45" PartId="756982b7642749a687a5e00a6466be61"/>
        <Part Type="papunktis" Nr="8.4" Abbr="8.4 pp." DocPartId="e5a2b0691102481ea5baf10d0c05a8c2" PartId="53993e4b09544d4d8f29100b8d3a1173">
          <Part Type="papunktis" Nr="8.4.1" Abbr="8.4.1 pp." DocPartId="c7f1b10600f341ecb612fbe24aa8717f" PartId="cc4af4b227804bbb83c5e77e02819857"/>
          <Part Type="papunktis" Nr="8.4.2" Abbr="8.4.2 pp." DocPartId="9fc0a5aa473440f78133acc9b05f5015" PartId="7716599c3f20487880943500ca8af1d4"/>
          <Part Type="papunktis" Nr="8.4.3" Abbr="8.4.3 pp." DocPartId="85d392c9ca35415cbe762bf2ce6a00fa" PartId="ce408b56cf084af4bac72943ba6adb9c"/>
        </Part>
      </Part>
      <Part Type="punktas" Nr="9" Abbr="9 p." DocPartId="85d5e97ec10b4d9493a2762b1b2e3f6e" PartId="b29a76d4753e44d79edd1fe3d125c4fb">
        <Part Type="papunktis" Nr="9.1" Abbr="9.1 pp." DocPartId="f4dccb3d58264c0ba427f935b098cb33" PartId="36c346ca68624dadb0dd7655514eda86"/>
        <Part Type="papunktis" Nr="9.2" Abbr="9.2 pp." DocPartId="ef89fa0a60824b82bd5368e3b22ccc7c" PartId="0c97a06ed0f4490ebdffe6cd8471a94c"/>
        <Part Type="papunktis" Nr="9.3" Abbr="9.3 pp." DocPartId="6aa9cddb2fde41ddb5b29e15aa13c2cd" PartId="ca7d7ca07369473294dc07132239988e"/>
        <Part Type="papunktis" Nr="9.4" Abbr="9.4 pp." DocPartId="b04c2f64552d4d6098aebd91ca8034b3" PartId="a8d29b74c48542c38378f61ddc44fb12"/>
        <Part Type="papunktis" Nr="9.5" Abbr="9.5 pp." DocPartId="cff4d76cd8bf4416b5b40166c00adab7" PartId="ae0ec7c076b3489585eb818f18c95d1a"/>
        <Part Type="papunktis" Nr="9.6" Abbr="9.6 pp." DocPartId="78bf5acff5b7462f9721855ba1ec7e9f" PartId="48f3bedab365460eb632b8f32c9728c0"/>
        <Part Type="papunktis" Nr="9.7" Abbr="9.7 pp." DocPartId="3306bc928b5841b0a5aaeac65088ad03" PartId="5e9e968908b745168e412db2e8bb56e9"/>
      </Part>
      <Part Type="punktas" Nr="10" Abbr="10 p." DocPartId="8d99965fe5cd422e9a81186e4526b02f" PartId="41ffdf0c5fe84f1299702356aef6e4a6"/>
      <Part Type="punktas" Nr="11" Abbr="11 p." DocPartId="a27d7dbe1ed745b3ac9e64a50356e080" PartId="d638a0e8ad194a4b8d569661e91738fc">
        <Part Type="papunktis" Nr="11.1" Abbr="11.1 pp." DocPartId="ff8e7158cf8642beae123e30ca93e8e4" PartId="c83291b89db34d96b24e44e98a0a2613"/>
        <Part Type="papunktis" Nr="11.2" Abbr="11.2 pp." DocPartId="08efd234f39d48098abb99908031633f" PartId="9c2e75e51a8a4d318bbbf0f3fbbd3d06"/>
        <Part Type="papunktis" Nr="11.3" Abbr="11.3 pp." DocPartId="78b1dc759ad74ea3b14d5cf39244812b" PartId="580b6323e78642bcab1cf149608bba4c"/>
        <Part Type="papunktis" Nr="11.4" Abbr="11.4 pp." DocPartId="8fedc99ecf5b400d95d4079f22e510fd" PartId="81017f1bafc2420b953f5a74ade3a640"/>
        <Part Type="papunktis" Nr="11.5" Abbr="11.5 pp." DocPartId="82f79ec882404614a42f9616005adb5d" PartId="620727d67709435e84c23d631914de43">
          <Part Type="papunktis" Nr="11.5.1" Abbr="11.5.1 pp." DocPartId="d69624c47ecb474587fbc8f8b333ce62" PartId="2083f28c945e4c60bd11614f452f80c4"/>
          <Part Type="papunktis" Nr="11.5.2" Abbr="11.5.2 pp." DocPartId="2410bdb600ec47f7b3c5d9957e284b29" PartId="2c6f7180d5334114bc46b9348cee3b2e"/>
        </Part>
        <Part Type="papunktis" Nr="11.6" Abbr="11.6 pp." DocPartId="ef79780805ab45938603edd0fa8b1b40" PartId="2e7167e224b14f729c7447160551bb29"/>
        <Part Type="papunktis" Nr="11.7" Abbr="11.7 pp." DocPartId="61cb24b37402408191dcbb3c05b8e411" PartId="0edb6d9f9cb84a3f9011ade393e7d4fb"/>
        <Part Type="papunktis" Nr="11.8" Abbr="11.8 pp." DocPartId="75fdbac22b2348a3853fdcfbbf3f7584" PartId="f2e0e2ca48b642b5a202a8a2c289ac1d"/>
        <Part Type="papunktis" Nr="11.9" Abbr="11.9 pp." DocPartId="16dcfd3a4b8a4fa28dbc8a27cb3eecdc" PartId="3c0cd3568bf046cc9118fcb17da015ff"/>
        <Part Type="papunktis" Nr="11.10" Abbr="11.10 pp." DocPartId="1a527942214c40c7b5b785250f5d5b14" PartId="8bb3597c91e149e3871929cd306d992e"/>
      </Part>
      <Part Type="punktas" Nr="12" Abbr="12 p." DocPartId="d7b236fcd39f440fad05b74c1289f357" PartId="936d1bd0d16843c7bc50ad8e40e51fac">
        <Part Type="papunktis" Nr="12.1" Abbr="12.1 pp." DocPartId="cf13623493504649ab5117192bdb52f1" PartId="d44e415996f14d169d91f3acb66506e0"/>
        <Part Type="papunktis" Nr="12.2" Abbr="12.2 pp." DocPartId="b26f40dadfd24335a6da82e0e7829c37" PartId="8a63439e9ac84ad9a197caa287f1610b"/>
        <Part Type="papunktis" Nr="12.3" Abbr="12.3 pp." DocPartId="56c05c0200bc4b46adb067b18cb4d599" PartId="5e4c52185dd64e27bcd8e9e12f3a7832"/>
      </Part>
      <Part Type="punktas" Nr="13" Abbr="13 p." DocPartId="a95a3edde5374d32a8bdefab00335ae1" PartId="cba97e5c1901456aa0f4360f107af8eb"/>
      <Part Type="punktas" Nr="14" Abbr="14 p." DocPartId="0c1d00638c29476bb00e3080eedb82a6" PartId="cee3ef2e59864e498beabab8b282d86b"/>
      <Part Type="punktas" Nr="15" Abbr="15 p." DocPartId="770a73346022402497f0ba568b3782a8" PartId="a343a3f98995423abd35cd4884704112"/>
      <Part Type="punktas" Nr="16" Abbr="16 p." DocPartId="9667bac9f23f4ae0bad131fb2c70c35b" PartId="2d76e2c5c92e4dc3a8c6f66d277c80be"/>
      <Part Type="punktas" Nr="17" Abbr="17 p." DocPartId="b1220be556ae4990bef3b8872d53f885" PartId="ad17cc53ca534ca7a2a502f05e361b68">
        <Part Type="papunktis" Nr="17.1" Abbr="17.1 pp." DocPartId="07da23038278497d80cfc2adda3abf4c" PartId="8f969be8ebb640268bd90d280bf73be5"/>
        <Part Type="papunktis" Nr="17.2" Abbr="17.2 pp." DocPartId="e175beabbb344664af254c7fb2e915f6" PartId="d91891522a124edd945cef925d732f64"/>
        <Part Type="papunktis" Nr="17.3" Abbr="17.3 pp." DocPartId="cefe42934de24af2bbc966b70c8eeb55" PartId="9a3abe2db07e43e19670d3df05468561"/>
        <Part Type="papunktis" Nr="17.4" Abbr="17.4 pp." DocPartId="756695ea4626481f818b7aa6927e4f31" PartId="ea6e64bd522d47f6acd12f922518a438"/>
        <Part Type="papunktis" Nr="17.5" Abbr="17.5 pp." DocPartId="cbb4271436d843a5941895130d009f45" PartId="629cfdfb8d5c49d8b2b17c990dbb1c30"/>
        <Part Type="papunktis" Nr="17.6" Abbr="17.6 pp." DocPartId="f56f56bf64de4d019f38febf385738f9" PartId="d792b68b1e714d03843110ae3ce30852"/>
        <Part Type="papunktis" Nr="17.7" Abbr="17.7 pp." DocPartId="36796606f5024b4790b1de2a9ae8e45e" PartId="edf81f22049d46eab678bc28a2f46b7a"/>
        <Part Type="papunktis" Nr="17.8" Abbr="17.8 pp." DocPartId="c06aee38622f4390b82dd152d8624123" PartId="d8e320599e7344ff87186736e2dd29ff"/>
        <Part Type="papunktis" Nr="17.9" Abbr="17.9 pp." DocPartId="e16b20ae0d424f909e408aa2e3f4d47f" PartId="581a5503c223443d9dd2295256d490ac"/>
        <Part Type="papunktis" Nr="17.10" Abbr="17.10 pp." DocPartId="95710dbd80e840a59458dc73cb19bf6c" PartId="9d65f4dbf9e34d1e8be18f3114eb56ed"/>
        <Part Type="papunktis" Nr="17.11" Abbr="17.11 pp." DocPartId="b90c10ded6194558a8c5a8998b8fd5b8" PartId="28851e6dbf6b4f198d23190118e22f6a"/>
        <Part Type="papunktis" Nr="17.12" Abbr="17.12 pp." DocPartId="4f385d4146bb4aa3b4b15f4cc0b03a8e" PartId="484ad92e5a634ad3af0a4efb63434ee8"/>
        <Part Type="papunktis" Nr="17.13" Abbr="17.13 pp." DocPartId="5ba87140e5e043c59ef16bb16d1dee20" PartId="b734d85cccdc4a3e86748621114b8dbd"/>
        <Part Type="papunktis" Nr="17.14" Abbr="17.14 pp." DocPartId="c6123383b0054a9282b2f964ca175115" PartId="2f05005d254345e8b250efa49c38b7dd"/>
        <Part Type="papunktis" Nr="17.15" Abbr="17.15 pp." DocPartId="13ec3da6031e456e870fc1d3fc56771a" PartId="cf1b4233af32468194ff95e8118da303"/>
        <Part Type="papunktis" Nr="17.16" Abbr="17.16 pp." DocPartId="cf7d2f5d1178418086b3b8bbc685453e" PartId="c112742d5c074654a23097e997ee8664"/>
        <Part Type="papunktis" Nr="17.17" Abbr="17.17 pp." DocPartId="0b5e8b9a5f3f4f2f9962014af068dffa" PartId="c595fdf7e2aa4a9e9c2674446d000f48"/>
        <Part Type="papunktis" Nr="17.18" Abbr="17.18 pp." DocPartId="8fb0e8f360ab48c2bc5ec47e025ca028" PartId="1480be65002142da898a989118d4286c"/>
        <Part Type="papunktis" Nr="17.19" Abbr="17.19 pp." DocPartId="8fa02d5a51de4ae6bec68b0664acff3e" PartId="7bbfb747601741b79814dc4fb0c691e3"/>
        <Part Type="papunktis" Nr="17.20" Abbr="17.20 pp." DocPartId="6c4a346335144c5c8e42373f2ecd67dc" PartId="27df953664184d2295e09c03ea99981b"/>
        <Part Type="papunktis" Nr="17.21" Abbr="17.21 pp." DocPartId="3d059c6895e3437f877cd33ce57a24f8" PartId="fa0daeeff4a14c029f2dff1ed3729202"/>
        <Part Type="papunktis" Nr="17.22" Abbr="17.22 pp." DocPartId="01c50e82359540d9889ec1044f25d088" PartId="61e0db407f654addb1bc24c587190adc"/>
      </Part>
      <Part Type="punktas" Nr="18" Abbr="18 p." DocPartId="ee283937252d4e7f87d7507b4adcdcbc" PartId="8b6dd7c2dc1c42e79c22b810793b2a95">
        <Part Type="papunktis" Nr="18.1" Abbr="18.1 pp." DocPartId="9b6f3da599484c59ae3a5615bdbd6ec4" PartId="b6db6c6e9c3e4b79af2acb072d90f2ee"/>
        <Part Type="papunktis" Nr="18.2" Abbr="18.2 pp." DocPartId="669531f118da4d4292d8a3ba9e87fdc3" PartId="b8bc586cc4d146bb8fd2c257372f0531"/>
        <Part Type="papunktis" Nr="18.3" Abbr="18.3 pp." DocPartId="62d1c01aea9441968ce596c5fed4685c" PartId="2896f8cb3af24c50aea62736f39afff7"/>
        <Part Type="papunktis" Nr="18.4" Abbr="18.4 pp." DocPartId="7eeb0a35bca74bc6affa85942d6fce71" PartId="4304c2518b884bd8a644190e1652ab91"/>
        <Part Type="papunktis" Nr="18.5" Abbr="18.5 pp." DocPartId="769eb6f7fd0c436eb0cd47c3f3629571" PartId="ca3e3bde4cff43038f41c353e76c447f"/>
        <Part Type="papunktis" Nr="18.6" Abbr="18.6 pp." DocPartId="c5fe5535dc504e8ab2e7bfcc448b0f03" PartId="67acbeb92dc147f69087481eef4004ac"/>
      </Part>
      <Part Type="punktas" Nr="19" Abbr="19 p." DocPartId="bb694cbd18fa4ecbae63edb53a6ffad8" PartId="da0f5ba6be7340beb0c6d0357d9324dc"/>
      <Part Type="punktas" Nr="20" Abbr="20 p." DocPartId="ab7636ce64294603b3feb3ca784ce8bb" PartId="9de07e7c874040c6836e87c8c9b6a2db">
        <Part Type="papunktis" Nr="20.1" Abbr="20.1 pp." DocPartId="c523e8d27bdb46439f799e48c1bb9216" PartId="67b04904c36148be854a60f0f9e3e3ce"/>
        <Part Type="papunktis" Nr="20.2" Abbr="20.2 pp." DocPartId="ef0ba107c17c43819b9637504b25e0c4" PartId="de74658733484a66b505401591c2f7b7"/>
        <Part Type="papunktis" Nr="20.3" Abbr="20.3 pp." DocPartId="82d376f5930d4c3b845da0b5a83df507" PartId="fbd30e59070a413382fadad65c19304e"/>
        <Part Type="papunktis" Nr="20.4" Abbr="20.4 pp." DocPartId="fd25266fad3c44a1b8bdcd4491d623ab" PartId="87d71188a5634988817b83977813d609"/>
        <Part Type="papunktis" Nr="20.5" Abbr="20.5 pp." DocPartId="4379fc138f5a48d889fc19e5724e9194" PartId="8139835b05524d2b9b3b115354258191"/>
        <Part Type="papunktis" Nr="20.6" Abbr="20.6 pp." DocPartId="55867fd60844447c9c1bfdb1ebfffb96" PartId="fc136dcefdda4590b967f8a8baf1839f">
          <Part Type="papunktis" Nr="20.6.1" Abbr="20.6.1 pp." DocPartId="66555f16f3e6446c947f925ee45d5aee" PartId="39bffdf3b6bf4f8691df7233dba6e5dd"/>
          <Part Type="papunktis" Nr="20.6.2" Abbr="20.6.2 pp." DocPartId="c7026005ee304007a6b4c0b91bd4f548" PartId="2bd66c0c605f480c94901eaffa6e7e10"/>
          <Part Type="papunktis" Nr="20.6.3" Abbr="20.6.3 pp." DocPartId="894b3cde19ec4ab48192b7784fdece73" PartId="38b060e74b374411be1263d279be432b"/>
        </Part>
        <Part Type="papunktis" Nr="20.7" Abbr="20.7 pp." DocPartId="71edaea3e00b44f8827ea5f5df8d7a6b" PartId="f60bb3c860bc4159a1e19d904c65fa62"/>
        <Part Type="papunktis" Nr="20.8" Abbr="20.8 pp." DocPartId="759814b6a235447b9c13c45bbc402c1d" PartId="9d9b403188894907b383aaf4f6b66cff"/>
        <Part Type="papunktis" Nr="20.9" Abbr="20.9 pp." DocPartId="b3ccabac827c4d83aec1e3e6793bfe5b" PartId="2a33359200a141999ca368bd1245fbb1"/>
      </Part>
      <Part Type="punktas" Nr="21" Abbr="21 p." DocPartId="f6b6e125a881471984e225630f4b075d" PartId="54397755f4c1486aba736af283cb4097"/>
    </Part>
    <Part Type="skyrius" Nr="3" Title="BAIGIAMOSIOS NUOSTATOS" DocPartId="f95363cd0d924ee797da09db2f91af43" PartId="4835979701f541c4b8006ec11d12c907">
      <Part Type="punktas" Nr="22" Abbr="22 p." DocPartId="0858341450574fa28a1a587943d69aba" PartId="1f53b3d99f684757bec5643bd120954f"/>
    </Part>
    <Part Type="pabaiga" DocPartId="9231df97bff44843938c73a5f2d1a1c1" PartId="f2387253414344118062da453dd73821"/>
  </Part>
  <Part Type="priedas" Nr="1" Abbr="1 pr." Title="BIODEGALŲ, PAGAMINTŲ IŠ MAISTINIŲ IR PAŠARINIŲ AUGALŲ, PROCENTINĖS DALIES, PALYGINTI SU BENDRUOJU GALUTINIU ENERGIJOS SUVARTOJIMU LIETUVOS RESPUBLIKOS KELIŲ IR GELEŽINKELIŲ TRANSPORTO SEKTORIUOSE 2020 METAIS, NUSTATYMAS" DocPartId="58636ddea2284e079c149780ee767cad" PartId="753fc0e8364144e6b28b2cdbff1f4af3">
    <Part Type="punktas" Nr="1" Abbr="1 pr. 1 p." DocPartId="abab1154f85444d69fd82eac6058f4ff" PartId="bacb28c62a7a4c73880ed22b326e48a0"/>
    <Part Type="punktas" Nr="2" Abbr="1 pr. 2 p." DocPartId="f8c73b6793c241e98a46e418e933300c" PartId="1b4eaee13dd34bfebd0bde2d86ae936f">
      <Part Type="papunktis" Nr="2.1" Abbr="1 pr. 2.1 pp." DocPartId="9a64d3a49de946dabf3231bc7b31b11a" PartId="a8f21bc94b0d48358f1b92a880434217">
        <Part Type="papunktis" Nr="2.1.1" Abbr="1 pr. 2.1.1 pp." DocPartId="21d461ee85b44478a4d7aa1fa6ad5080" PartId="a115a1337b3e4d5282a0aa737b1caa3c"/>
        <Part Type="papunktis" Nr="2.1.2" Abbr="1 pr. 2.1.2 pp." DocPartId="9aa9e3cbe5a1456eaf4a98a670923134" PartId="bc54bf52fe034b1e8debb79ee36d9d8c"/>
        <Part Type="papunktis" Nr="2.1.3" Abbr="1 pr. 2.1.3 pp." DocPartId="95e4f10175b04ac4af9f8bdb1df40494" PartId="4db1f768374e4960bfa3e4748f75bf5f"/>
      </Part>
      <Part Type="papunktis" Nr="2.2" Abbr="1 pr. 2.2 pp." DocPartId="69cf3345209d4549902058661666d118" PartId="d12bdc99b01a451d8d3c26bc61b83a5a"/>
      <Part Type="papunktis" Nr="2.3" Abbr="1 pr. 2.3 pp." DocPartId="0a41d55bb0b848368489cc1bdb7d6b7b" PartId="3494bbd7e80f40a39a5306e40b768494"/>
      <Part Type="papunktis" Nr="2.4" Abbr="1 pr. 2.4 pp." DocPartId="c4ae4fc8899f402b8c9e6998b2867558" PartId="d4082c9be18a4138b5b4b3b40a92bdb0"/>
      <Part Type="papunktis" Nr="2.5" Abbr="1 pr. 2.5 pp." DocPartId="b32a434045014bb19e58ceebd69aee7f" PartId="340cb73aae7b48ca97f51236b7151e54"/>
      <Part Type="papunktis" Nr="2.6" Abbr="1 pr. 2.6 pp." DocPartId="acdaa300d21e4ed4bdbfadec01a455e8" PartId="2e4af63f12854bd6a6235fd75fdcffb9"/>
    </Part>
    <Part Type="punktas" Nr="3" Abbr="1 pr. 3 p." DocPartId="c61c04b56f7e4b65a2ca47232ba084f6" PartId="e91002daf99b4a04adcef9927b1a3f65"/>
    <Part Type="pabaiga" DocPartId="f7979d8e88214d488138f06b9cecc802" PartId="2dac6c72fcea421b9272a5e89ad70794"/>
  </Part>
  <Part Type="priedas" Nr="2" Abbr="2 pr." Title="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 DocPartId="218badc3b8174c1184c6b6d26e678c53" PartId="b56e83ea83f44878b5113b9de37b9117">
    <Part Type="pabaiga" DocPartId="e8160c572aa642bba998310272d6fa47" PartId="10fd35a50c96495e812949cda10b34c5"/>
  </Part>
  <Part Type="priedas" Nr="3" Abbr="3 pr." Title="TRANSPORTO SEKTORIUJE NAUDOJAMŲ DEGALŲ ENERGINĖS VERTĖS" DocPartId="0d3ae26487654d41ae3d5ae5eb5dec34" PartId="676a16e9231a47c7b85fb43849f1c695">
    <Part Type="pabaiga" DocPartId="19739ae6d53e4a368edc224b5e8060e3" PartId="3c78572dbc614f6685ce72562cfb137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72F343B-EB2A-4B06-95E7-2B5DF30008EC}">
  <ds:schemaRefs>
    <ds:schemaRef ds:uri="http://lrs.lt/TAIS/DocParts"/>
  </ds:schemaRefs>
</ds:datastoreItem>
</file>

<file path=customXml/itemProps3.xml><?xml version="1.0" encoding="utf-8"?>
<ds:datastoreItem xmlns:ds="http://schemas.openxmlformats.org/officeDocument/2006/customXml" ds:itemID="{08FBDA5F-A9C8-4FF8-9329-EA401EAFFA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30</Pages>
  <Words>52718</Words>
  <Characters>30050</Characters>
  <Application>Microsoft Office Word</Application>
  <DocSecurity>0</DocSecurity>
  <Lines>250</Lines>
  <Paragraphs>165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82603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GRINKEVIČIŪTĖ Agnė</lastModifiedBy>
  <lastPrinted>2017-06-15T07:10:00Z</lastPrinted>
  <dcterms:modified xsi:type="dcterms:W3CDTF">2025-09-23T08:02:00Z</dcterms:modified>
  <revision>10</revision>
</coreProperties>
</file>