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body>
    <w:sdt>
      <w:sdtPr>
        <w:alias w:val="pagrindine"/>
        <w:tag w:val="part_d2330ea74dd9459c8c05a37b5a07b5e3"/>
        <w:lock w:val="sdtLocked"/>
        <w:richText/>
      </w:sdtPr>
      <w:sdtContent>
        <w:p>
          <w:pPr>
            <w:jc w:val="both"/>
            <w:rPr>
              <w:rFonts w:ascii="Times New Roman" w:hAnsi="Times New Roman"/>
            </w:rPr>
          </w:pPr>
          <w:r>
            <w:rPr>
              <w:rFonts w:ascii="Times New Roman" w:hAnsi="Times New Roman"/>
              <w:b/>
              <w:i/>
            </w:rPr>
            <w:t>Suvestinė redakcija nuo 2020-04-01 iki 2021-12-31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2017-06-29, i. k. 2017-11012</w:t>
          </w:r>
        </w:p>
        <w:p>
          <w:pPr>
            <w:jc w:val="both"/>
            <w:rPr>
              <w:rFonts w:ascii="Times New Roman" w:hAnsi="Times New Roman"/>
              <w:sz w:val="20"/>
            </w:rPr>
          </w:pPr>
        </w:p>
        <w:p>
          <w:pPr>
            <w:widowControl w:val="0"/>
            <w:jc w:val="center"/>
            <w:rPr>
              <w:b/>
              <w:szCs w:val="24"/>
            </w:rPr>
          </w:pPr>
          <w:r>
            <w:rPr>
              <w:sz w:val="22"/>
              <w:szCs w:val="22"/>
              <w:lang w:eastAsia="lt-LT"/>
            </w:rPr>
            <w:drawing>
              <wp:inline distT="0" distB="0" distL="0" distR="0">
                <wp:extent cx="543560" cy="595630"/>
                <wp:effectExtent l="0" t="0" r="8890" b="0"/>
                <wp:docPr id="1" name="Paveikslėlis 3"/>
                <wp:cNvGraphicFramePr/>
                <a:graphic xmlns:a="http://schemas.openxmlformats.org/drawingml/2006/main">
                  <a:graphicData uri="http://schemas.openxmlformats.org/drawingml/2006/picture">
                    <pic:pic xmlns:pic="http://schemas.openxmlformats.org/drawingml/2006/picture">
                      <pic:nvPicPr>
                        <pic:cNvPr id="3" name="Paveikslėlis 3"/>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43560" cy="595630"/>
                        </a:xfrm>
                        <a:prstGeom prst="rect">
                          <a:avLst/>
                        </a:prstGeom>
                        <a:noFill/>
                        <a:ln>
                          <a:noFill/>
                        </a:ln>
                      </pic:spPr>
                    </pic:pic>
                  </a:graphicData>
                </a:graphic>
              </wp:inline>
            </w:drawing>
          </w:r>
        </w:p>
        <w:p>
          <w:pPr>
            <w:widowControl w:val="0"/>
            <w:jc w:val="center"/>
            <w:rPr>
              <w:b/>
              <w:szCs w:val="24"/>
            </w:rPr>
          </w:pPr>
        </w:p>
        <w:p>
          <w:pPr>
            <w:widowControl w:val="0"/>
            <w:jc w:val="center"/>
            <w:rPr>
              <w:b/>
              <w:szCs w:val="24"/>
            </w:rPr>
          </w:pPr>
          <w:r>
            <w:rPr>
              <w:b/>
              <w:szCs w:val="24"/>
            </w:rPr>
            <w:t>LIETUVOS RESPUBLIKOS ENERGETIKOS MINISTRAS</w:t>
          </w:r>
        </w:p>
        <w:p>
          <w:pPr>
            <w:widowControl w:val="0"/>
            <w:jc w:val="center"/>
            <w:rPr>
              <w:b/>
              <w:szCs w:val="24"/>
            </w:rPr>
          </w:pPr>
          <w:r>
            <w:rPr>
              <w:b/>
              <w:szCs w:val="24"/>
            </w:rPr>
            <w:t xml:space="preserve">ĮSAKYMAS </w:t>
          </w:r>
        </w:p>
        <w:p>
          <w:pPr>
            <w:widowControl w:val="0"/>
            <w:jc w:val="center"/>
            <w:rPr>
              <w:b/>
              <w:szCs w:val="24"/>
            </w:rPr>
          </w:pPr>
        </w:p>
        <w:p>
          <w:pPr>
            <w:jc w:val="center"/>
            <w:rPr>
              <w:b/>
              <w:szCs w:val="24"/>
            </w:rPr>
          </w:pPr>
          <w:r>
            <w:rPr>
              <w:b/>
              <w:szCs w:val="24"/>
            </w:rPr>
            <w:t xml:space="preserve">DĖL </w:t>
          </w:r>
          <w:r>
            <w:rPr>
              <w:b/>
              <w:caps/>
              <w:szCs w:val="24"/>
            </w:rPr>
            <w:t xml:space="preserve">ATSINAUJINANČIŲ ENERGIJOS IŠTEKLIŲ DALIES, </w:t>
          </w:r>
          <w:r>
            <w:rPr>
              <w:b/>
              <w:bCs/>
              <w:caps/>
              <w:szCs w:val="24"/>
            </w:rPr>
            <w:t>palyginti su bendruoju galutiniu energijos suvartojimu,</w:t>
          </w:r>
          <w:r>
            <w:rPr>
              <w:b/>
              <w:caps/>
              <w:szCs w:val="24"/>
            </w:rPr>
            <w:t xml:space="preserve"> APSKAIČIAVIMO METODIKOS </w:t>
          </w:r>
          <w:r>
            <w:rPr>
              <w:b/>
              <w:szCs w:val="24"/>
            </w:rPr>
            <w:t>PATVIRTINIMO</w:t>
          </w:r>
        </w:p>
        <w:p>
          <w:pPr>
            <w:jc w:val="center"/>
            <w:rPr>
              <w:szCs w:val="24"/>
            </w:rPr>
          </w:pPr>
        </w:p>
        <w:p>
          <w:pPr>
            <w:jc w:val="center"/>
            <w:rPr>
              <w:szCs w:val="24"/>
            </w:rPr>
          </w:pPr>
          <w:r>
            <w:rPr>
              <w:szCs w:val="24"/>
            </w:rPr>
            <w:t>2017 m. birželio 28 d. Nr. 1-170</w:t>
          </w:r>
        </w:p>
        <w:p>
          <w:pPr>
            <w:jc w:val="center"/>
            <w:rPr>
              <w:szCs w:val="24"/>
            </w:rPr>
          </w:pPr>
          <w:r>
            <w:rPr>
              <w:szCs w:val="24"/>
            </w:rPr>
            <w:t>Vilnius</w:t>
          </w:r>
        </w:p>
        <w:p>
          <w:pPr>
            <w:jc w:val="center"/>
            <w:rPr>
              <w:b/>
              <w:caps/>
              <w:szCs w:val="24"/>
            </w:rPr>
          </w:pPr>
        </w:p>
        <w:p>
          <w:pPr>
            <w:widowControl w:val="0"/>
            <w:rPr>
              <w:caps/>
              <w:szCs w:val="24"/>
            </w:rPr>
          </w:pPr>
        </w:p>
        <w:sdt>
          <w:sdtPr>
            <w:alias w:val="preambule"/>
            <w:tag w:val="part_fd9ac39e04ab4cd498793d23d71de319"/>
            <w:lock w:val="sdtLocked"/>
            <w:richText/>
          </w:sdtPr>
          <w:sdtContent>
            <w:p>
              <w:pPr>
                <w:widowControl w:val="0"/>
                <w:ind w:firstLine="709"/>
                <w:jc w:val="both"/>
                <w:rPr>
                  <w:szCs w:val="24"/>
                </w:rPr>
              </w:pPr>
              <w:r>
                <w:rPr>
                  <w:szCs w:val="24"/>
                </w:rPr>
                <w:t>Įgyvendindamas 2009 m. balandžio 23 d. Europos Parlamento ir Tarybos direktyvos 2009/28/EB dėl skatinimo naudoti atsinaujinančių išteklių energiją, iš dalies keičiančios bei vėliau panaikinančios direktyvas 2001/77/EB ir 2003/30/EB (OL 2009 L 140, p. 16), 2, 3 ir 5 straipsnių bei II, III ir VII priedų nuostatas ir 2015 m. rugsėjo 9 d. Europos Parlamento ir Tarybos direktyvos (ES) 2015/1513, kuria iš dalies keičiamos Direktyva 98/70/EB dėl benzino ir dyzelinių degalų (dyzelino) kokybės ir Direktyva 2009/28/EB dėl skatinimo naudoti atsinaujinančių išteklių energiją (OL 2015 L 239, p. 1), 2 straipsnio ir IX priedo nuostatas:</w:t>
              </w:r>
            </w:p>
          </w:sdtContent>
        </w:sdt>
        <w:sdt>
          <w:sdtPr>
            <w:alias w:val="1 p."/>
            <w:tag w:val="part_27e0e971586347e09fa0f9c7c8a37d9d"/>
            <w:lock w:val="sdtLocked"/>
            <w:richText/>
          </w:sdtPr>
          <w:sdtContent>
            <w:p>
              <w:pPr>
                <w:widowControl w:val="0"/>
                <w:tabs>
                  <w:tab w:val="left" w:pos="993"/>
                </w:tabs>
                <w:ind w:firstLine="709"/>
                <w:jc w:val="both"/>
                <w:rPr>
                  <w:szCs w:val="24"/>
                </w:rPr>
              </w:pPr>
              <w:sdt>
                <w:sdtPr>
                  <w:alias w:val="Numeris"/>
                  <w:tag w:val="nr_27e0e971586347e09fa0f9c7c8a37d9d"/>
                  <w:lock w:val="sdtLocked"/>
                  <w:richText/>
                </w:sdtPr>
                <w:sdtContent>
                  <w:r>
                    <w:rPr>
                      <w:szCs w:val="24"/>
                    </w:rPr>
                    <w:t>1</w:t>
                  </w:r>
                </w:sdtContent>
              </w:sdt>
              <w:r>
                <w:rPr>
                  <w:szCs w:val="24"/>
                </w:rPr>
                <w:t>.</w:t>
                <w:tab/>
                <w:t xml:space="preserve">T v i r t i n u Atsinaujinančių energijos išteklių dalies, </w:t>
              </w:r>
              <w:r>
                <w:rPr>
                  <w:bCs/>
                  <w:szCs w:val="24"/>
                </w:rPr>
                <w:t>palyginti su bendruoju galutiniu energijos suvartojimu,</w:t>
              </w:r>
              <w:r>
                <w:rPr>
                  <w:szCs w:val="24"/>
                </w:rPr>
                <w:t xml:space="preserve"> apskaičiavimo metodiką (pridedama).</w:t>
              </w:r>
            </w:p>
          </w:sdtContent>
        </w:sdt>
        <w:sdt>
          <w:sdtPr>
            <w:alias w:val="2 p."/>
            <w:tag w:val="part_74b4e86c8b35403a8a160439e224b325"/>
            <w:lock w:val="sdtLocked"/>
            <w:richText/>
          </w:sdtPr>
          <w:sdtContent>
            <w:p>
              <w:pPr>
                <w:widowControl w:val="0"/>
                <w:tabs>
                  <w:tab w:val="left" w:pos="993"/>
                </w:tabs>
                <w:ind w:firstLine="709"/>
                <w:jc w:val="both"/>
                <w:rPr>
                  <w:szCs w:val="24"/>
                </w:rPr>
              </w:pPr>
              <w:sdt>
                <w:sdtPr>
                  <w:alias w:val="Numeris"/>
                  <w:tag w:val="nr_74b4e86c8b35403a8a160439e224b325"/>
                  <w:lock w:val="sdtLocked"/>
                  <w:richText/>
                </w:sdtPr>
                <w:sdtContent>
                  <w:r>
                    <w:rPr>
                      <w:szCs w:val="24"/>
                    </w:rPr>
                    <w:t>2</w:t>
                  </w:r>
                </w:sdtContent>
              </w:sdt>
              <w:r>
                <w:rPr>
                  <w:szCs w:val="24"/>
                </w:rPr>
                <w:t>.</w:t>
                <w:tab/>
                <w:t>N u s t a t a u, kad šis įsakymas įsigalioja 2017 m. liepos 1 d.</w:t>
              </w:r>
            </w:p>
          </w:sdtContent>
        </w:sdt>
        <w:sdt>
          <w:sdtPr>
            <w:alias w:val="signatura"/>
            <w:tag w:val="part_0e397733009b4a5abfad90b021aff3dd"/>
            <w:lock w:val="sdtLocked"/>
            <w:richText/>
          </w:sdtPr>
          <w:sdtContent>
            <w:p>
              <w:pPr>
                <w:jc w:val="both"/>
              </w:pPr>
            </w:p>
            <w:p>
              <w:pPr>
                <w:jc w:val="both"/>
              </w:pPr>
            </w:p>
            <w:p>
              <w:pPr>
                <w:jc w:val="both"/>
              </w:pPr>
            </w:p>
            <w:p>
              <w:pPr>
                <w:jc w:val="both"/>
                <w:rPr>
                  <w:bCs/>
                  <w:iCs/>
                  <w:szCs w:val="24"/>
                </w:rPr>
              </w:pPr>
              <w:r>
                <w:rPr>
                  <w:bCs/>
                  <w:iCs/>
                  <w:szCs w:val="24"/>
                </w:rPr>
                <w:t xml:space="preserve">Finansų ministras, </w:t>
              </w:r>
            </w:p>
            <w:p>
              <w:pPr>
                <w:jc w:val="both"/>
                <w:rPr>
                  <w:sz w:val="14"/>
                  <w:szCs w:val="14"/>
                </w:rPr>
              </w:pPr>
              <w:r>
                <w:rPr>
                  <w:bCs/>
                  <w:iCs/>
                  <w:szCs w:val="24"/>
                </w:rPr>
                <w:t xml:space="preserve">pavaduojantis energetikos ministrą                  </w:t>
                <w:tab/>
                <w:tab/>
                <w:tab/>
                <w:tab/>
                <w:tab/>
                <w:t xml:space="preserve">           Vilius Šapoka</w:t>
              </w:r>
            </w:p>
          </w:sdtContent>
        </w:sdt>
      </w:sdtContent>
    </w:sdt>
    <w:sdt>
      <w:sdtPr>
        <w:alias w:val="patvirtinta"/>
        <w:tag w:val="part_3d008532de404dabb05665a281080576"/>
        <w:lock w:val="sdtLocked"/>
        <w:richText/>
      </w:sdtPr>
      <w:sdtContent>
        <w:p>
          <w:pPr>
            <w:ind w:left="5040"/>
            <w:jc w:val="both"/>
            <w:sectPr>
              <w:headerReference w:type="even" r:id="rId11"/>
              <w:headerReference w:type="default" r:id="rId12"/>
              <w:footerReference w:type="even" r:id="rId13"/>
              <w:footerReference w:type="default" r:id="rId14"/>
              <w:headerReference w:type="first" r:id="rId15"/>
              <w:footerReference w:type="first" r:id="rId16"/>
              <w:pgSz w:w="12240" w:h="15840"/>
              <w:pgMar w:top="1134" w:right="567" w:bottom="1134" w:left="1701" w:header="709" w:footer="709" w:gutter="0"/>
              <w:cols w:space="708"/>
              <w:titlePg/>
              <w:docGrid w:linePitch="360"/>
            </w:sectPr>
          </w:pPr>
        </w:p>
        <w:p>
          <w:pPr>
            <w:ind w:left="5040"/>
            <w:jc w:val="both"/>
            <w:rPr>
              <w:color w:val="000000"/>
              <w:szCs w:val="24"/>
              <w:lang w:eastAsia="lt-LT"/>
            </w:rPr>
          </w:pPr>
          <w:r>
            <w:rPr>
              <w:color w:val="000000"/>
              <w:szCs w:val="24"/>
              <w:lang w:eastAsia="lt-LT"/>
            </w:rPr>
            <w:t>PATVIRTINTA</w:t>
          </w:r>
        </w:p>
        <w:p>
          <w:pPr>
            <w:ind w:left="5040"/>
            <w:jc w:val="both"/>
            <w:rPr>
              <w:color w:val="000000"/>
              <w:szCs w:val="24"/>
              <w:lang w:eastAsia="lt-LT"/>
            </w:rPr>
          </w:pPr>
          <w:r>
            <w:rPr>
              <w:color w:val="000000"/>
              <w:szCs w:val="24"/>
              <w:lang w:eastAsia="lt-LT"/>
            </w:rPr>
            <w:t>Lietuvos Respublikos energetikos ministro</w:t>
          </w:r>
        </w:p>
        <w:p>
          <w:pPr>
            <w:ind w:left="5040"/>
            <w:jc w:val="both"/>
            <w:rPr>
              <w:color w:val="000000"/>
              <w:szCs w:val="24"/>
              <w:lang w:eastAsia="lt-LT"/>
            </w:rPr>
          </w:pPr>
          <w:r>
            <w:rPr>
              <w:color w:val="000000"/>
              <w:szCs w:val="24"/>
              <w:lang w:eastAsia="lt-LT"/>
            </w:rPr>
            <w:t xml:space="preserve">2017 m. birželio 28 d. įsakymu Nr. 1-170 </w:t>
          </w:r>
        </w:p>
        <w:p>
          <w:pPr>
            <w:ind w:firstLine="5102"/>
            <w:rPr>
              <w:szCs w:val="24"/>
            </w:rPr>
          </w:pPr>
        </w:p>
        <w:p>
          <w:pPr>
            <w:ind w:firstLine="5102"/>
            <w:rPr>
              <w:szCs w:val="24"/>
            </w:rPr>
          </w:pPr>
        </w:p>
        <w:p>
          <w:pPr>
            <w:jc w:val="center"/>
            <w:rPr>
              <w:b/>
              <w:caps/>
              <w:szCs w:val="24"/>
            </w:rPr>
          </w:pPr>
          <w:sdt>
            <w:sdtPr>
              <w:alias w:val="Pavadinimas"/>
              <w:tag w:val="title_3d008532de404dabb05665a281080576"/>
              <w:lock w:val="sdtLocked"/>
              <w:richText/>
            </w:sdtPr>
            <w:sdtContent>
              <w:r>
                <w:rPr>
                  <w:b/>
                  <w:caps/>
                  <w:szCs w:val="24"/>
                </w:rPr>
                <w:t>ATSINAUJINANČIŲ ENERGIJOS IŠTEKLIŲ DALIES, palyginti su bendruoju galutiniu energijos suvartojimu, APSKAIČIAVIMO METODIKA</w:t>
              </w:r>
            </w:sdtContent>
          </w:sdt>
        </w:p>
        <w:p>
          <w:pPr>
            <w:rPr>
              <w:szCs w:val="24"/>
            </w:rPr>
          </w:pPr>
        </w:p>
        <w:sdt>
          <w:sdtPr>
            <w:alias w:val="skyrius"/>
            <w:tag w:val="part_11e3c448a6a44936a6a3fda3a37dd3b7"/>
            <w:lock w:val="sdtLocked"/>
            <w:richText/>
          </w:sdtPr>
          <w:sdtContent>
            <w:p>
              <w:pPr>
                <w:ind w:firstLine="709"/>
                <w:jc w:val="center"/>
                <w:rPr>
                  <w:b/>
                  <w:szCs w:val="24"/>
                </w:rPr>
              </w:pPr>
              <w:sdt>
                <w:sdtPr>
                  <w:alias w:val="Numeris"/>
                  <w:tag w:val="nr_11e3c448a6a44936a6a3fda3a37dd3b7"/>
                  <w:lock w:val="sdtLocked"/>
                  <w:richText/>
                </w:sdtPr>
                <w:sdtContent>
                  <w:r>
                    <w:rPr>
                      <w:b/>
                      <w:szCs w:val="24"/>
                    </w:rPr>
                    <w:t>I</w:t>
                  </w:r>
                </w:sdtContent>
              </w:sdt>
              <w:r>
                <w:rPr>
                  <w:b/>
                  <w:szCs w:val="24"/>
                </w:rPr>
                <w:t xml:space="preserve"> SKYRIUS</w:t>
              </w:r>
            </w:p>
            <w:p>
              <w:pPr>
                <w:ind w:firstLine="709"/>
                <w:jc w:val="center"/>
                <w:rPr>
                  <w:szCs w:val="24"/>
                </w:rPr>
              </w:pPr>
              <w:sdt>
                <w:sdtPr>
                  <w:alias w:val="Pavadinimas"/>
                  <w:tag w:val="title_11e3c448a6a44936a6a3fda3a37dd3b7"/>
                  <w:lock w:val="sdtLocked"/>
                  <w:richText/>
                </w:sdtPr>
                <w:sdtContent>
                  <w:r>
                    <w:rPr>
                      <w:b/>
                      <w:szCs w:val="24"/>
                    </w:rPr>
                    <w:t>BENDROSIOS NUOSTATOS</w:t>
                  </w:r>
                </w:sdtContent>
              </w:sdt>
            </w:p>
            <w:p>
              <w:pPr>
                <w:rPr>
                  <w:szCs w:val="24"/>
                </w:rPr>
              </w:pPr>
            </w:p>
            <w:sdt>
              <w:sdtPr>
                <w:alias w:val="1 p."/>
                <w:tag w:val="part_1308091a66aa44e69f55ad3136af56a6"/>
                <w:lock w:val="sdtLocked"/>
                <w:richText/>
              </w:sdtPr>
              <w:sdtContent>
                <w:p>
                  <w:pPr>
                    <w:ind w:firstLine="567"/>
                    <w:jc w:val="both"/>
                    <w:rPr>
                      <w:szCs w:val="24"/>
                    </w:rPr>
                  </w:pPr>
                  <w:sdt>
                    <w:sdtPr>
                      <w:alias w:val="Numeris"/>
                      <w:tag w:val="nr_1308091a66aa44e69f55ad3136af56a6"/>
                      <w:lock w:val="sdtLocked"/>
                      <w:richText/>
                    </w:sdtPr>
                    <w:sdtContent>
                      <w:r>
                        <w:rPr>
                          <w:szCs w:val="24"/>
                        </w:rPr>
                        <w:t>1</w:t>
                      </w:r>
                    </w:sdtContent>
                  </w:sdt>
                  <w:r>
                    <w:rPr>
                      <w:szCs w:val="24"/>
                    </w:rPr>
                    <w:t>. </w:t>
                  </w:r>
                  <w:r>
                    <w:rPr>
                      <w:bCs/>
                      <w:szCs w:val="24"/>
                    </w:rPr>
                    <w:t xml:space="preserve">Pagal Atsinaujinančių energijos išteklių dalies, palyginti su bendruoju galutiniu energijos suvartojimu, </w:t>
                  </w:r>
                  <w:r>
                    <w:rPr>
                      <w:szCs w:val="24"/>
                    </w:rPr>
                    <w:t xml:space="preserve">apskaičiavimo metodiką (toliau – Metodika) apskaičiuojama </w:t>
                  </w:r>
                  <w:r>
                    <w:rPr>
                      <w:bCs/>
                      <w:szCs w:val="24"/>
                    </w:rPr>
                    <w:t xml:space="preserve">atsinaujinančių energijos išteklių </w:t>
                  </w:r>
                  <w:r>
                    <w:rPr>
                      <w:szCs w:val="24"/>
                    </w:rPr>
                    <w:t>dalis,</w:t>
                  </w:r>
                  <w:r>
                    <w:rPr>
                      <w:bCs/>
                      <w:szCs w:val="24"/>
                    </w:rPr>
                    <w:t xml:space="preserve"> palyginti su bendruoju galutiniu energijos suvartojimu</w:t>
                  </w:r>
                  <w:r>
                    <w:rPr>
                      <w:szCs w:val="24"/>
                    </w:rPr>
                    <w:t>. Ši dalis apskaičiuojama vadovaujantis 2008 m. spalio 22 d. Europos Parlamento ir Tarybos reglamente (EB) Nr. 1099/2008 dėl energijos statistikos (OL 2008 L 304, p. 1) pateikta metodika ir apibrėžtimis.</w:t>
                  </w:r>
                </w:p>
              </w:sdtContent>
            </w:sdt>
            <w:sdt>
              <w:sdtPr>
                <w:alias w:val="2 p."/>
                <w:tag w:val="part_b3279b88096e4e1eab57012b9c938526"/>
                <w:lock w:val="sdtLocked"/>
                <w:richText/>
              </w:sdtPr>
              <w:sdtContent>
                <w:p>
                  <w:pPr>
                    <w:ind w:firstLine="709"/>
                    <w:jc w:val="both"/>
                    <w:rPr>
                      <w:szCs w:val="24"/>
                    </w:rPr>
                  </w:pPr>
                  <w:sdt>
                    <w:sdtPr>
                      <w:alias w:val="Numeris"/>
                      <w:tag w:val="nr_b3279b88096e4e1eab57012b9c938526"/>
                      <w:lock w:val="sdtLocked"/>
                      <w:richText/>
                    </w:sdtPr>
                    <w:sdtContent>
                      <w:r>
                        <w:rPr>
                          <w:szCs w:val="24"/>
                        </w:rPr>
                        <w:t>2</w:t>
                      </w:r>
                    </w:sdtContent>
                  </w:sdt>
                  <w:r>
                    <w:rPr>
                      <w:szCs w:val="24"/>
                    </w:rPr>
                    <w:t>. Metodikoje vartojamos sąvokos:</w:t>
                  </w:r>
                </w:p>
                <w:sdt>
                  <w:sdtPr>
                    <w:alias w:val="2.1 pp."/>
                    <w:tag w:val="part_85c5bf1fc05142c58c1aec4704767aa7"/>
                    <w:lock w:val="sdtLocked"/>
                    <w:richText/>
                  </w:sdtPr>
                  <w:sdtContent>
                    <w:p>
                      <w:pPr>
                        <w:ind w:firstLine="709"/>
                        <w:jc w:val="both"/>
                        <w:rPr>
                          <w:szCs w:val="24"/>
                        </w:rPr>
                      </w:pPr>
                      <w:sdt>
                        <w:sdtPr>
                          <w:alias w:val="Numeris"/>
                          <w:tag w:val="nr_85c5bf1fc05142c58c1aec4704767aa7"/>
                          <w:lock w:val="sdtLocked"/>
                          <w:richText/>
                        </w:sdtPr>
                        <w:sdtContent>
                          <w:r>
                            <w:rPr>
                              <w:szCs w:val="24"/>
                            </w:rPr>
                            <w:t>2.1</w:t>
                          </w:r>
                        </w:sdtContent>
                      </w:sdt>
                      <w:r>
                        <w:rPr>
                          <w:szCs w:val="24"/>
                        </w:rPr>
                        <w:t xml:space="preserve">. </w:t>
                      </w:r>
                      <w:r>
                        <w:rPr>
                          <w:b/>
                          <w:szCs w:val="24"/>
                        </w:rPr>
                        <w:t>Iš atsinaujinančių išteklių pagaminti nebiologiniai skystieji ir dujiniai degalai</w:t>
                      </w:r>
                      <w:r>
                        <w:rPr>
                          <w:szCs w:val="24"/>
                        </w:rPr>
                        <w:t xml:space="preserve"> – kiti nei biodegalai skystieji arba dujiniai transporto degalai, kurių energijos kiekis sukaupiamas iš kitų nei biomasė atsinaujinančių energijos išteklių.</w:t>
                      </w:r>
                    </w:p>
                  </w:sdtContent>
                </w:sdt>
                <w:sdt>
                  <w:sdtPr>
                    <w:alias w:val="2.2 pp."/>
                    <w:tag w:val="part_6418819e3e5f4cd88b70d9050306f274"/>
                    <w:lock w:val="sdtLocked"/>
                    <w:richText/>
                  </w:sdtPr>
                  <w:sdtContent>
                    <w:p>
                      <w:pPr>
                        <w:ind w:firstLine="709"/>
                        <w:jc w:val="both"/>
                        <w:rPr>
                          <w:szCs w:val="24"/>
                        </w:rPr>
                      </w:pPr>
                      <w:sdt>
                        <w:sdtPr>
                          <w:alias w:val="Numeris"/>
                          <w:tag w:val="nr_6418819e3e5f4cd88b70d9050306f274"/>
                          <w:lock w:val="sdtLocked"/>
                          <w:richText/>
                        </w:sdtPr>
                        <w:sdtContent>
                          <w:r>
                            <w:rPr>
                              <w:szCs w:val="24"/>
                            </w:rPr>
                            <w:t>2.2</w:t>
                          </w:r>
                        </w:sdtContent>
                      </w:sdt>
                      <w:r>
                        <w:rPr>
                          <w:szCs w:val="24"/>
                        </w:rPr>
                        <w:t xml:space="preserve">. </w:t>
                      </w:r>
                      <w:r>
                        <w:rPr>
                          <w:b/>
                          <w:szCs w:val="24"/>
                        </w:rPr>
                        <w:t>Iš nedidelę netiesioginę žemės paskirties keitimo riziką keliančių augalų pagaminti biodegalai</w:t>
                      </w:r>
                      <w:r>
                        <w:rPr>
                          <w:szCs w:val="24"/>
                        </w:rPr>
                        <w:t xml:space="preserve"> – biodegalai, pagaminti taikant schemas, kuriomis mažinamas augalų auginimo kitais nei biodegalų gamybos tikslais atsisakymas, ir laikantis Lietuvos Respublikos atsinaujinančių išteklių energetikos įstatymo 38 straipsnyje nurodytų biodegalų ir skystųjų bioproduktų tvarumo kriterijų.</w:t>
                      </w:r>
                    </w:p>
                  </w:sdtContent>
                </w:sdt>
                <w:sdt>
                  <w:sdtPr>
                    <w:alias w:val="2.3 pp."/>
                    <w:tag w:val="part_c5076b45928c4b769c95a10da264b225"/>
                    <w:lock w:val="sdtLocked"/>
                    <w:richText/>
                  </w:sdtPr>
                  <w:sdtContent>
                    <w:p>
                      <w:pPr>
                        <w:ind w:firstLine="709"/>
                        <w:jc w:val="both"/>
                        <w:rPr>
                          <w:szCs w:val="24"/>
                        </w:rPr>
                      </w:pPr>
                      <w:sdt>
                        <w:sdtPr>
                          <w:alias w:val="Numeris"/>
                          <w:tag w:val="nr_c5076b45928c4b769c95a10da264b225"/>
                          <w:lock w:val="sdtLocked"/>
                          <w:richText/>
                        </w:sdtPr>
                        <w:sdtContent>
                          <w:r>
                            <w:rPr>
                              <w:szCs w:val="24"/>
                            </w:rPr>
                            <w:t>2.3</w:t>
                          </w:r>
                        </w:sdtContent>
                      </w:sdt>
                      <w:r>
                        <w:rPr>
                          <w:szCs w:val="24"/>
                        </w:rPr>
                        <w:t xml:space="preserve">. </w:t>
                      </w:r>
                      <w:r>
                        <w:rPr>
                          <w:b/>
                          <w:szCs w:val="24"/>
                        </w:rPr>
                        <w:t>Krakmolingieji augalai</w:t>
                      </w:r>
                      <w:r>
                        <w:rPr>
                          <w:szCs w:val="24"/>
                        </w:rPr>
                        <w:t xml:space="preserve"> – daug krakmolo turintys augalai, prie kurių priskiriami javai (neatsižvelgiant į tai, ar naudojami tik grūdai, ar visas augalas), gumbavaisiai, šakniavaisiai ir gumbasvogūniai.</w:t>
                      </w:r>
                    </w:p>
                  </w:sdtContent>
                </w:sdt>
                <w:sdt>
                  <w:sdtPr>
                    <w:alias w:val="2.4 pp."/>
                    <w:tag w:val="part_a7619a86ebc34e86988e3a2253261d65"/>
                    <w:lock w:val="sdtLocked"/>
                    <w:richText/>
                  </w:sdtPr>
                  <w:sdtContent>
                    <w:p>
                      <w:pPr>
                        <w:ind w:firstLine="709"/>
                        <w:jc w:val="both"/>
                        <w:rPr>
                          <w:szCs w:val="24"/>
                        </w:rPr>
                      </w:pPr>
                      <w:sdt>
                        <w:sdtPr>
                          <w:alias w:val="Numeris"/>
                          <w:tag w:val="nr_a7619a86ebc34e86988e3a2253261d65"/>
                          <w:lock w:val="sdtLocked"/>
                          <w:richText/>
                        </w:sdtPr>
                        <w:sdtContent>
                          <w:r>
                            <w:rPr>
                              <w:szCs w:val="24"/>
                            </w:rPr>
                            <w:t>2.4</w:t>
                          </w:r>
                        </w:sdtContent>
                      </w:sdt>
                      <w:r>
                        <w:rPr>
                          <w:szCs w:val="24"/>
                        </w:rPr>
                        <w:t xml:space="preserve">. </w:t>
                      </w:r>
                      <w:r>
                        <w:rPr>
                          <w:b/>
                          <w:szCs w:val="24"/>
                        </w:rPr>
                        <w:t xml:space="preserve">Lignoceliuliozė </w:t>
                      </w:r>
                      <w:r>
                        <w:rPr>
                          <w:szCs w:val="24"/>
                        </w:rPr>
                        <w:t>– medžiaga, sudaryta iš lignino, celiuliozės ir hemiceliuliozės.</w:t>
                      </w:r>
                    </w:p>
                  </w:sdtContent>
                </w:sdt>
                <w:sdt>
                  <w:sdtPr>
                    <w:alias w:val="2.5 pp."/>
                    <w:tag w:val="part_94dfb34dcdc9458d908b65131b0fb413"/>
                    <w:lock w:val="sdtLocked"/>
                    <w:richText/>
                  </w:sdtPr>
                  <w:sdtContent>
                    <w:p>
                      <w:pPr>
                        <w:ind w:firstLine="709"/>
                        <w:jc w:val="both"/>
                        <w:rPr>
                          <w:szCs w:val="24"/>
                        </w:rPr>
                      </w:pPr>
                      <w:sdt>
                        <w:sdtPr>
                          <w:alias w:val="Numeris"/>
                          <w:tag w:val="nr_94dfb34dcdc9458d908b65131b0fb413"/>
                          <w:lock w:val="sdtLocked"/>
                          <w:richText/>
                        </w:sdtPr>
                        <w:sdtContent>
                          <w:r>
                            <w:rPr>
                              <w:szCs w:val="24"/>
                            </w:rPr>
                            <w:t>2.5</w:t>
                          </w:r>
                        </w:sdtContent>
                      </w:sdt>
                      <w:r>
                        <w:rPr>
                          <w:szCs w:val="24"/>
                        </w:rPr>
                        <w:t xml:space="preserve">. </w:t>
                      </w:r>
                      <w:r>
                        <w:rPr>
                          <w:b/>
                          <w:szCs w:val="24"/>
                        </w:rPr>
                        <w:t xml:space="preserve">Nemaistinė celiuliozė </w:t>
                      </w:r>
                      <w:r>
                        <w:rPr>
                          <w:szCs w:val="24"/>
                        </w:rPr>
                        <w:t>– medžiaga, kuri sudaryta daugiausia iš celiuliozės ir hemiceliuliozės ir kurioje lignino yra mažiau nei lignoceliuliozėje. Nemaistinę celiuliozę sudaro maistinių ir pašarinių augalų liekanos, žoliniai energiniai augalai, kuriuose yra mažai krakmolo, gamybos liekanos (įskaitant maistinių ir pašarinių augalų liekanas išgavus aliejų, cukrų, krakmolą ir proteiną) ir iš biologinių atliekų gautos medžiagos.</w:t>
                      </w:r>
                    </w:p>
                  </w:sdtContent>
                </w:sdt>
                <w:sdt>
                  <w:sdtPr>
                    <w:alias w:val="2.6 pp."/>
                    <w:tag w:val="part_ec6104a36c1142a18872e7f3862c5d19"/>
                    <w:lock w:val="sdtLocked"/>
                    <w:richText/>
                  </w:sdtPr>
                  <w:sdtContent>
                    <w:p>
                      <w:pPr>
                        <w:ind w:firstLine="709"/>
                        <w:jc w:val="both"/>
                        <w:rPr>
                          <w:szCs w:val="24"/>
                        </w:rPr>
                      </w:pPr>
                      <w:sdt>
                        <w:sdtPr>
                          <w:alias w:val="Numeris"/>
                          <w:tag w:val="nr_ec6104a36c1142a18872e7f3862c5d19"/>
                          <w:lock w:val="sdtLocked"/>
                          <w:richText/>
                        </w:sdtPr>
                        <w:sdtContent>
                          <w:r>
                            <w:rPr>
                              <w:szCs w:val="24"/>
                            </w:rPr>
                            <w:t>2.6</w:t>
                          </w:r>
                        </w:sdtContent>
                      </w:sdt>
                      <w:r>
                        <w:rPr>
                          <w:szCs w:val="24"/>
                        </w:rPr>
                        <w:t xml:space="preserve">. </w:t>
                      </w:r>
                      <w:r>
                        <w:rPr>
                          <w:b/>
                          <w:szCs w:val="24"/>
                        </w:rPr>
                        <w:t>Perdirbimo liekanos</w:t>
                      </w:r>
                      <w:r>
                        <w:rPr>
                          <w:szCs w:val="24"/>
                        </w:rPr>
                        <w:t xml:space="preserve"> – pagaminus galutinį(-ius) produktą(-us) liekanti medžiaga, kuri nebuvo pirminis gamybos proceso tikslas ir procesas nebuvo tikslingai pakeistas siekiant ją pagaminti.</w:t>
                      </w:r>
                    </w:p>
                  </w:sdtContent>
                </w:sdt>
                <w:sdt>
                  <w:sdtPr>
                    <w:alias w:val="2.7 pp."/>
                    <w:tag w:val="part_d573b28239b84e139c8447e5763efc45"/>
                    <w:lock w:val="sdtLocked"/>
                    <w:richText/>
                  </w:sdtPr>
                  <w:sdtContent>
                    <w:p>
                      <w:pPr>
                        <w:ind w:firstLine="709"/>
                        <w:jc w:val="both"/>
                        <w:rPr>
                          <w:szCs w:val="24"/>
                        </w:rPr>
                      </w:pPr>
                      <w:sdt>
                        <w:sdtPr>
                          <w:alias w:val="Numeris"/>
                          <w:tag w:val="nr_d573b28239b84e139c8447e5763efc45"/>
                          <w:lock w:val="sdtLocked"/>
                          <w:richText/>
                        </w:sdtPr>
                        <w:sdtContent>
                          <w:r>
                            <w:rPr>
                              <w:szCs w:val="24"/>
                            </w:rPr>
                            <w:t>2.7</w:t>
                          </w:r>
                        </w:sdtContent>
                      </w:sdt>
                      <w:r>
                        <w:rPr>
                          <w:szCs w:val="24"/>
                        </w:rPr>
                        <w:t xml:space="preserve">. </w:t>
                      </w:r>
                      <w:r>
                        <w:rPr>
                          <w:b/>
                          <w:szCs w:val="24"/>
                        </w:rPr>
                        <w:t>Žemės ūkio, akvakultūros, žuvininkystės ir miškininkystės veiklos liekanos</w:t>
                      </w:r>
                      <w:r>
                        <w:rPr>
                          <w:szCs w:val="24"/>
                        </w:rPr>
                        <w:t xml:space="preserve"> – liekanos, gaunamos vykdant žemės ūkio, akvakultūros, žuvininkystės ir miškininkystės veiklą, išskyrus susijusių pramonės šakų ir perdirbimo liekanas.</w:t>
                      </w:r>
                    </w:p>
                  </w:sdtContent>
                </w:sdt>
                <w:sdt>
                  <w:sdtPr>
                    <w:alias w:val="2.8 pp."/>
                    <w:tag w:val="part_08288dceff904c099c2d61eb96a584c0"/>
                    <w:lock w:val="sdtLocked"/>
                    <w:richText/>
                  </w:sdtPr>
                  <w:sdtContent>
                    <w:p>
                      <w:pPr>
                        <w:ind w:firstLine="709"/>
                        <w:jc w:val="both"/>
                        <w:rPr>
                          <w:color w:val="000000"/>
                          <w:szCs w:val="24"/>
                        </w:rPr>
                      </w:pPr>
                      <w:sdt>
                        <w:sdtPr>
                          <w:alias w:val="Numeris"/>
                          <w:tag w:val="nr_08288dceff904c099c2d61eb96a584c0"/>
                          <w:lock w:val="sdtLocked"/>
                          <w:richText/>
                        </w:sdtPr>
                        <w:sdtContent>
                          <w:r>
                            <w:rPr>
                              <w:szCs w:val="24"/>
                            </w:rPr>
                            <w:t>2.8</w:t>
                          </w:r>
                        </w:sdtContent>
                      </w:sdt>
                      <w:r>
                        <w:rPr>
                          <w:szCs w:val="24"/>
                        </w:rPr>
                        <w:t xml:space="preserve">. </w:t>
                      </w:r>
                      <w:r>
                        <w:rPr>
                          <w:color w:val="000000"/>
                          <w:szCs w:val="24"/>
                        </w:rPr>
                        <w:t xml:space="preserve">Kitos Metodikoje vartojamos sąvokos suprantamos taip, kaip nustatyta Atsinaujinančių išteklių energetikos įstatyme ir Lietuvos Respublikos atliekų tvarkymo įstatyme. Metodikos taikymo tikslais Lietuvos Respublikos atliekų tvarkymo įstatyme numatytas atliekų sąvokos apibrėžimas neapima medžiagų, kurios buvo tikslingai pakeistos (modifikuotos) ar užterštos, kad atitiktų atliekų sąvokos apibrėžimą.  </w:t>
                      </w:r>
                    </w:p>
                    <w:p>
                      <w:pPr>
                        <w:spacing w:line="259" w:lineRule="auto"/>
                        <w:rPr>
                          <w:szCs w:val="24"/>
                        </w:rPr>
                      </w:pPr>
                    </w:p>
                  </w:sdtContent>
                </w:sdt>
              </w:sdtContent>
            </w:sdt>
          </w:sdtContent>
        </w:sdt>
        <w:sdt>
          <w:sdtPr>
            <w:alias w:val="skyrius"/>
            <w:tag w:val="part_7eb15d520c494ba1b69b6848e2ceecda"/>
            <w:lock w:val="sdtLocked"/>
            <w:richText/>
          </w:sdtPr>
          <w:sdtContent>
            <w:p>
              <w:pPr>
                <w:keepNext/>
                <w:ind w:firstLine="709"/>
                <w:jc w:val="center"/>
                <w:rPr>
                  <w:b/>
                  <w:szCs w:val="24"/>
                </w:rPr>
              </w:pPr>
              <w:sdt>
                <w:sdtPr>
                  <w:alias w:val="Numeris"/>
                  <w:tag w:val="nr_7eb15d520c494ba1b69b6848e2ceecda"/>
                  <w:lock w:val="sdtLocked"/>
                  <w:richText/>
                </w:sdtPr>
                <w:sdtContent>
                  <w:r>
                    <w:rPr>
                      <w:b/>
                      <w:szCs w:val="24"/>
                    </w:rPr>
                    <w:t>II</w:t>
                  </w:r>
                </w:sdtContent>
              </w:sdt>
              <w:r>
                <w:rPr>
                  <w:b/>
                  <w:szCs w:val="24"/>
                </w:rPr>
                <w:t xml:space="preserve"> SKYRIUS</w:t>
              </w:r>
            </w:p>
            <w:p>
              <w:pPr>
                <w:keepNext/>
                <w:ind w:firstLine="709"/>
                <w:jc w:val="center"/>
                <w:rPr>
                  <w:szCs w:val="24"/>
                </w:rPr>
              </w:pPr>
              <w:sdt>
                <w:sdtPr>
                  <w:alias w:val="Pavadinimas"/>
                  <w:tag w:val="title_7eb15d520c494ba1b69b6848e2ceecda"/>
                  <w:lock w:val="sdtLocked"/>
                  <w:richText/>
                </w:sdtPr>
                <w:sdtContent>
                  <w:r>
                    <w:rPr>
                      <w:b/>
                      <w:szCs w:val="24"/>
                    </w:rPr>
                    <w:t>APSKAIČIAVIMAI PAGAL METODIKĄ</w:t>
                  </w:r>
                </w:sdtContent>
              </w:sdt>
            </w:p>
            <w:p>
              <w:pPr>
                <w:keepNext/>
                <w:ind w:firstLine="709"/>
                <w:jc w:val="both"/>
                <w:rPr>
                  <w:color w:val="000000"/>
                  <w:szCs w:val="24"/>
                </w:rPr>
              </w:pPr>
            </w:p>
            <w:sdt>
              <w:sdtPr>
                <w:alias w:val="3 p."/>
                <w:tag w:val="part_bd0eee3b5d2147df82ec8d87ff0b33bb"/>
                <w:lock w:val="sdtLocked"/>
                <w:richText/>
              </w:sdtPr>
              <w:sdtContent>
                <w:p>
                  <w:pPr>
                    <w:keepNext/>
                    <w:ind w:firstLine="567"/>
                    <w:jc w:val="both"/>
                    <w:rPr>
                      <w:color w:val="000000"/>
                      <w:szCs w:val="24"/>
                    </w:rPr>
                  </w:pPr>
                  <w:sdt>
                    <w:sdtPr>
                      <w:alias w:val="Numeris"/>
                      <w:tag w:val="nr_bd0eee3b5d2147df82ec8d87ff0b33bb"/>
                      <w:lock w:val="sdtLocked"/>
                      <w:richText/>
                    </w:sdtPr>
                    <w:sdtContent>
                      <w:r>
                        <w:rPr>
                          <w:color w:val="000000"/>
                          <w:szCs w:val="24"/>
                        </w:rPr>
                        <w:t>3</w:t>
                      </w:r>
                    </w:sdtContent>
                  </w:sdt>
                  <w:r>
                    <w:rPr>
                      <w:color w:val="000000"/>
                      <w:szCs w:val="24"/>
                    </w:rPr>
                    <w:t>. Atsinaujinančių energijos išteklių dalis apskaičiuojama bendrą galutinį atsinaujinančių išteklių energijos suvartojimą padalijus iš bendro galutinio visų energijos išteklių suvartojimo apimties (išreiškiama procentais).</w:t>
                  </w:r>
                </w:p>
                <w:p>
                  <w:pPr>
                    <w:keepNext/>
                    <w:ind w:firstLine="567"/>
                    <w:jc w:val="both"/>
                    <w:rPr>
                      <w:color w:val="000000"/>
                      <w:szCs w:val="24"/>
                    </w:rPr>
                  </w:pPr>
                  <w:r>
                    <w:rPr>
                      <w:color w:val="000000"/>
                      <w:szCs w:val="24"/>
                    </w:rPr>
                    <w:t>Tuo tikslu pagal Metodikos 4 punktą apskaičiuota bendro galutinio atsinaujinančių energijos išteklių suvartojimo suma tikslinama atsižvelgiant į statistinį perdavimą tarp Lietuvos Respublikos ir kitų Europos Sąjungos valstybių narių, bendrų projektų su kitomis valstybėmis narėmis ir trečiosiomis šalims įgyvendinimo rezultatus ir bendras su kitomis valstybėmis narėmis paramos schemas.</w:t>
                  </w:r>
                </w:p>
              </w:sdtContent>
            </w:sdt>
            <w:sdt>
              <w:sdtPr>
                <w:alias w:val="4 p."/>
                <w:tag w:val="part_fede87d603024e1a91ad624125f06f6b"/>
                <w:lock w:val="sdtLocked"/>
                <w:richText/>
              </w:sdtPr>
              <w:sdtContent>
                <w:p>
                  <w:pPr>
                    <w:ind w:firstLine="567"/>
                    <w:jc w:val="both"/>
                    <w:rPr>
                      <w:color w:val="000000"/>
                      <w:szCs w:val="24"/>
                    </w:rPr>
                  </w:pPr>
                  <w:sdt>
                    <w:sdtPr>
                      <w:alias w:val="Numeris"/>
                      <w:tag w:val="nr_fede87d603024e1a91ad624125f06f6b"/>
                      <w:lock w:val="sdtLocked"/>
                      <w:richText/>
                    </w:sdtPr>
                    <w:sdtContent>
                      <w:r>
                        <w:rPr>
                          <w:color w:val="000000"/>
                          <w:szCs w:val="24"/>
                        </w:rPr>
                        <w:t>4</w:t>
                      </w:r>
                    </w:sdtContent>
                  </w:sdt>
                  <w:r>
                    <w:rPr>
                      <w:color w:val="000000"/>
                      <w:szCs w:val="24"/>
                    </w:rPr>
                    <w:t>. Bendras galutinis visų energijos išteklių suvartojimas apskaičiuojamas sudedant:</w:t>
                  </w:r>
                </w:p>
                <w:sdt>
                  <w:sdtPr>
                    <w:alias w:val="4.1 pp."/>
                    <w:tag w:val="part_ca84c99182b644ef9af37152b513603e"/>
                    <w:lock w:val="sdtLocked"/>
                    <w:richText/>
                  </w:sdtPr>
                  <w:sdtContent>
                    <w:p>
                      <w:pPr>
                        <w:ind w:firstLine="567"/>
                        <w:jc w:val="both"/>
                        <w:rPr>
                          <w:color w:val="000000"/>
                          <w:szCs w:val="24"/>
                        </w:rPr>
                      </w:pPr>
                      <w:sdt>
                        <w:sdtPr>
                          <w:alias w:val="Numeris"/>
                          <w:tag w:val="nr_ca84c99182b644ef9af37152b513603e"/>
                          <w:lock w:val="sdtLocked"/>
                          <w:richText/>
                        </w:sdtPr>
                        <w:sdtContent>
                          <w:r>
                            <w:rPr>
                              <w:color w:val="000000"/>
                              <w:szCs w:val="24"/>
                            </w:rPr>
                            <w:t>4.1</w:t>
                          </w:r>
                        </w:sdtContent>
                      </w:sdt>
                      <w:r>
                        <w:rPr>
                          <w:color w:val="000000"/>
                          <w:szCs w:val="24"/>
                        </w:rPr>
                        <w:t>. energijos kiekį, suvartotą pramonės, transporto, namų ūkių, paslaugų (įskaitant viešąsias paslaugas), žemės ūkio, miškininkystės ir žuvininkystės sektorių;</w:t>
                      </w:r>
                    </w:p>
                  </w:sdtContent>
                </w:sdt>
                <w:sdt>
                  <w:sdtPr>
                    <w:alias w:val="4.2 pp."/>
                    <w:tag w:val="part_0ac4112329f44fc39c00cb6041f8ab83"/>
                    <w:lock w:val="sdtLocked"/>
                    <w:richText/>
                  </w:sdtPr>
                  <w:sdtContent>
                    <w:p>
                      <w:pPr>
                        <w:ind w:firstLine="567"/>
                        <w:jc w:val="both"/>
                        <w:rPr>
                          <w:color w:val="000000"/>
                          <w:szCs w:val="24"/>
                        </w:rPr>
                      </w:pPr>
                      <w:sdt>
                        <w:sdtPr>
                          <w:alias w:val="Numeris"/>
                          <w:tag w:val="nr_0ac4112329f44fc39c00cb6041f8ab83"/>
                          <w:lock w:val="sdtLocked"/>
                          <w:richText/>
                        </w:sdtPr>
                        <w:sdtContent>
                          <w:r>
                            <w:rPr>
                              <w:color w:val="000000"/>
                              <w:szCs w:val="24"/>
                            </w:rPr>
                            <w:t>4.2</w:t>
                          </w:r>
                        </w:sdtContent>
                      </w:sdt>
                      <w:r>
                        <w:rPr>
                          <w:color w:val="000000"/>
                          <w:szCs w:val="24"/>
                        </w:rPr>
                        <w:t>. elektros ir šilumos energijos kiekį, kurį elektros ir šilumos energijos gamybai sunaudoja energetikos sektorius;</w:t>
                      </w:r>
                    </w:p>
                  </w:sdtContent>
                </w:sdt>
                <w:sdt>
                  <w:sdtPr>
                    <w:alias w:val="4.3 pp."/>
                    <w:tag w:val="part_ce315bb7230046d683e02885c7b070a5"/>
                    <w:lock w:val="sdtLocked"/>
                    <w:richText/>
                  </w:sdtPr>
                  <w:sdtContent>
                    <w:p>
                      <w:pPr>
                        <w:ind w:firstLine="567"/>
                        <w:jc w:val="both"/>
                        <w:rPr>
                          <w:color w:val="000000"/>
                          <w:szCs w:val="24"/>
                        </w:rPr>
                      </w:pPr>
                      <w:sdt>
                        <w:sdtPr>
                          <w:alias w:val="Numeris"/>
                          <w:tag w:val="nr_ce315bb7230046d683e02885c7b070a5"/>
                          <w:lock w:val="sdtLocked"/>
                          <w:richText/>
                        </w:sdtPr>
                        <w:sdtContent>
                          <w:r>
                            <w:rPr>
                              <w:color w:val="000000"/>
                              <w:szCs w:val="24"/>
                            </w:rPr>
                            <w:t>4.3</w:t>
                          </w:r>
                        </w:sdtContent>
                      </w:sdt>
                      <w:r>
                        <w:rPr>
                          <w:color w:val="000000"/>
                          <w:szCs w:val="24"/>
                        </w:rPr>
                        <w:t>. elektros ir šilumos energijos nuostolius, susidariusius elektros ir šilumos energijos skirstymo ir perdavimo metu.</w:t>
                      </w:r>
                    </w:p>
                  </w:sdtContent>
                </w:sdt>
              </w:sdtContent>
            </w:sdt>
            <w:sdt>
              <w:sdtPr>
                <w:alias w:val="5 p."/>
                <w:tag w:val="part_a53fa1fcd9ba48fd883c0fe8105da50a"/>
                <w:lock w:val="sdtLocked"/>
                <w:richText/>
              </w:sdtPr>
              <w:sdtContent>
                <w:p>
                  <w:pPr>
                    <w:ind w:firstLine="567"/>
                    <w:jc w:val="both"/>
                    <w:rPr>
                      <w:color w:val="000000"/>
                      <w:szCs w:val="24"/>
                    </w:rPr>
                  </w:pPr>
                  <w:sdt>
                    <w:sdtPr>
                      <w:alias w:val="Numeris"/>
                      <w:tag w:val="nr_a53fa1fcd9ba48fd883c0fe8105da50a"/>
                      <w:lock w:val="sdtLocked"/>
                      <w:richText/>
                    </w:sdtPr>
                    <w:sdtContent>
                      <w:r>
                        <w:rPr>
                          <w:color w:val="000000"/>
                          <w:szCs w:val="24"/>
                        </w:rPr>
                        <w:t>5</w:t>
                      </w:r>
                    </w:sdtContent>
                  </w:sdt>
                  <w:r>
                    <w:rPr>
                      <w:color w:val="000000"/>
                      <w:szCs w:val="24"/>
                    </w:rPr>
                    <w:t xml:space="preserve">. Apskaičiuojant atsinaujinančių energijos išteklių dalį, palyginti su bendruoju galutiniu energijos suvartojimu, siekiant nustatyti, ar ji atitinka planinį 2020 metų rodiklį, ir atsižvelgiant į prognozuojamą </w:t>
                  </w:r>
                  <w:r>
                    <w:rPr>
                      <w:bCs/>
                      <w:color w:val="000000"/>
                      <w:szCs w:val="24"/>
                    </w:rPr>
                    <w:t>vidutinę atsinaujinančių energijos išteklių dalį, laikoma, kad aviacijos sektorius</w:t>
                  </w:r>
                  <w:r>
                    <w:rPr>
                      <w:color w:val="000000"/>
                      <w:szCs w:val="24"/>
                    </w:rPr>
                    <w:t xml:space="preserve"> sunaudoja ne daugiau kaip 6,18 procento, palyginanti su šalies bendruoju galutiniu energijos suvartojimu.</w:t>
                  </w:r>
                </w:p>
              </w:sdtContent>
            </w:sdt>
            <w:sdt>
              <w:sdtPr>
                <w:alias w:val="6 p."/>
                <w:tag w:val="part_027da47fd6a44b048f04f80a43a9093d"/>
                <w:lock w:val="sdtLocked"/>
                <w:richText/>
              </w:sdtPr>
              <w:sdtContent>
                <w:p>
                  <w:pPr>
                    <w:ind w:firstLine="567"/>
                    <w:jc w:val="both"/>
                    <w:rPr>
                      <w:color w:val="000000"/>
                      <w:szCs w:val="24"/>
                    </w:rPr>
                  </w:pPr>
                  <w:sdt>
                    <w:sdtPr>
                      <w:alias w:val="Numeris"/>
                      <w:tag w:val="nr_027da47fd6a44b048f04f80a43a9093d"/>
                      <w:lock w:val="sdtLocked"/>
                      <w:richText/>
                    </w:sdtPr>
                    <w:sdtContent>
                      <w:r>
                        <w:rPr>
                          <w:color w:val="000000"/>
                          <w:szCs w:val="24"/>
                        </w:rPr>
                        <w:t>6</w:t>
                      </w:r>
                    </w:sdtContent>
                  </w:sdt>
                  <w:r>
                    <w:rPr>
                      <w:szCs w:val="24"/>
                    </w:rPr>
                    <w:t>. </w:t>
                  </w:r>
                  <w:r>
                    <w:rPr>
                      <w:color w:val="000000"/>
                      <w:szCs w:val="24"/>
                    </w:rPr>
                    <w:t>Bendras galutinis atsinaujinančių energijos išteklių suvartojimas apskaičiuojamas sudedant šiuos rodiklius:</w:t>
                  </w:r>
                </w:p>
                <w:sdt>
                  <w:sdtPr>
                    <w:alias w:val="6.1 pp."/>
                    <w:tag w:val="part_8c6a842f348d472a858e86e85338e3a4"/>
                    <w:lock w:val="sdtLocked"/>
                    <w:richText/>
                  </w:sdtPr>
                  <w:sdtContent>
                    <w:p>
                      <w:pPr>
                        <w:ind w:firstLine="567"/>
                        <w:jc w:val="both"/>
                        <w:rPr>
                          <w:color w:val="000000"/>
                          <w:szCs w:val="24"/>
                        </w:rPr>
                      </w:pPr>
                      <w:sdt>
                        <w:sdtPr>
                          <w:alias w:val="Numeris"/>
                          <w:tag w:val="nr_8c6a842f348d472a858e86e85338e3a4"/>
                          <w:lock w:val="sdtLocked"/>
                          <w:richText/>
                        </w:sdtPr>
                        <w:sdtContent>
                          <w:r>
                            <w:rPr>
                              <w:color w:val="000000"/>
                              <w:szCs w:val="24"/>
                            </w:rPr>
                            <w:t>6.1</w:t>
                          </w:r>
                        </w:sdtContent>
                      </w:sdt>
                      <w:r>
                        <w:rPr>
                          <w:color w:val="000000"/>
                          <w:szCs w:val="24"/>
                        </w:rPr>
                        <w:t>. bendrą galutinį elektros energijos, pagamintos iš atsinaujinančių energijos išteklių, suvartojimą;</w:t>
                      </w:r>
                    </w:p>
                  </w:sdtContent>
                </w:sdt>
                <w:sdt>
                  <w:sdtPr>
                    <w:alias w:val="6.2 pp."/>
                    <w:tag w:val="part_c82ad90c96db4ad5bc987539add17049"/>
                    <w:lock w:val="sdtLocked"/>
                    <w:richText/>
                  </w:sdtPr>
                  <w:sdtContent>
                    <w:p>
                      <w:pPr>
                        <w:ind w:firstLine="567"/>
                        <w:jc w:val="both"/>
                        <w:rPr>
                          <w:color w:val="000000"/>
                          <w:szCs w:val="24"/>
                        </w:rPr>
                      </w:pPr>
                      <w:sdt>
                        <w:sdtPr>
                          <w:alias w:val="Numeris"/>
                          <w:tag w:val="nr_c82ad90c96db4ad5bc987539add17049"/>
                          <w:lock w:val="sdtLocked"/>
                          <w:richText/>
                        </w:sdtPr>
                        <w:sdtContent>
                          <w:r>
                            <w:rPr>
                              <w:color w:val="000000"/>
                              <w:szCs w:val="24"/>
                            </w:rPr>
                            <w:t>6.2</w:t>
                          </w:r>
                        </w:sdtContent>
                      </w:sdt>
                      <w:r>
                        <w:rPr>
                          <w:color w:val="000000"/>
                          <w:szCs w:val="24"/>
                        </w:rPr>
                        <w:t xml:space="preserve">. bendrą galutinį atsinaujinančių energijos išteklių suvartojimą šildymui ir vėsinimui; </w:t>
                      </w:r>
                    </w:p>
                  </w:sdtContent>
                </w:sdt>
                <w:sdt>
                  <w:sdtPr>
                    <w:alias w:val="6.3 pp."/>
                    <w:tag w:val="part_d6a60da4fb9c4dd59fcc4b9057504f61"/>
                    <w:lock w:val="sdtLocked"/>
                    <w:richText/>
                  </w:sdtPr>
                  <w:sdtContent>
                    <w:p>
                      <w:pPr>
                        <w:ind w:firstLine="567"/>
                        <w:jc w:val="both"/>
                        <w:rPr>
                          <w:color w:val="000000"/>
                          <w:szCs w:val="24"/>
                        </w:rPr>
                      </w:pPr>
                      <w:sdt>
                        <w:sdtPr>
                          <w:alias w:val="Numeris"/>
                          <w:tag w:val="nr_d6a60da4fb9c4dd59fcc4b9057504f61"/>
                          <w:lock w:val="sdtLocked"/>
                          <w:richText/>
                        </w:sdtPr>
                        <w:sdtContent>
                          <w:r>
                            <w:rPr>
                              <w:color w:val="000000"/>
                              <w:szCs w:val="24"/>
                            </w:rPr>
                            <w:t>6.3</w:t>
                          </w:r>
                        </w:sdtContent>
                      </w:sdt>
                      <w:r>
                        <w:rPr>
                          <w:color w:val="000000"/>
                          <w:szCs w:val="24"/>
                        </w:rPr>
                        <w:t>. galutinį atsinaujinančių energijos išteklių suvartojimą transporto sektoriuje.</w:t>
                      </w:r>
                    </w:p>
                  </w:sdtContent>
                </w:sdt>
              </w:sdtContent>
            </w:sdt>
            <w:sdt>
              <w:sdtPr>
                <w:alias w:val="7 p."/>
                <w:tag w:val="part_1803fb4ffca64f09aaa9d623565b5992"/>
                <w:lock w:val="sdtLocked"/>
                <w:richText/>
              </w:sdtPr>
              <w:sdtContent>
                <w:p>
                  <w:pPr>
                    <w:ind w:firstLine="567"/>
                    <w:jc w:val="both"/>
                    <w:rPr>
                      <w:szCs w:val="24"/>
                    </w:rPr>
                  </w:pPr>
                  <w:sdt>
                    <w:sdtPr>
                      <w:alias w:val="Numeris"/>
                      <w:tag w:val="nr_1803fb4ffca64f09aaa9d623565b5992"/>
                      <w:lock w:val="sdtLocked"/>
                      <w:richText/>
                    </w:sdtPr>
                    <w:sdtContent>
                      <w:r>
                        <w:rPr>
                          <w:szCs w:val="24"/>
                        </w:rPr>
                        <w:t>7</w:t>
                      </w:r>
                    </w:sdtContent>
                  </w:sdt>
                  <w:r>
                    <w:rPr>
                      <w:szCs w:val="24"/>
                    </w:rPr>
                    <w:t>. </w:t>
                  </w:r>
                  <w:r>
                    <w:rPr>
                      <w:color w:val="000000"/>
                      <w:szCs w:val="24"/>
                    </w:rPr>
                    <w:t>Apskaičiuojant atsinaujinančių energijos išteklių dalį, palyginti su bendruoju galutiniu energijos suvartojimu, į dujas, elektros energiją ir vandenilį, pagamintus iš atsinaujinančių energijos išteklių, atsižvelgiama tik vieną kartą pagal Metodikos 6.1, 6.2 arba 6.3 papunkčius; apskaičiuojant a</w:t>
                  </w:r>
                  <w:r>
                    <w:rPr>
                      <w:szCs w:val="24"/>
                    </w:rPr>
                    <w:t>tsižvelgiama tik į tuos biodegalus ir skystuosius bioproduktus, kurie atitinka nustatytus jų tvarumo kriterijus ir taikymo sąlygas.</w:t>
                  </w:r>
                </w:p>
              </w:sdtContent>
            </w:sdt>
            <w:sdt>
              <w:sdtPr>
                <w:alias w:val="8 p."/>
                <w:tag w:val="part_0b190764673141d7b9d5aa218d7a033c"/>
                <w:lock w:val="sdtLocked"/>
                <w:richText/>
              </w:sdtPr>
              <w:sdtContent>
                <w:p>
                  <w:pPr>
                    <w:ind w:firstLine="567"/>
                    <w:jc w:val="both"/>
                    <w:rPr>
                      <w:szCs w:val="24"/>
                    </w:rPr>
                  </w:pPr>
                  <w:sdt>
                    <w:sdtPr>
                      <w:alias w:val="Numeris"/>
                      <w:tag w:val="nr_0b190764673141d7b9d5aa218d7a033c"/>
                      <w:lock w:val="sdtLocked"/>
                      <w:richText/>
                    </w:sdtPr>
                    <w:sdtContent>
                      <w:r>
                        <w:rPr>
                          <w:szCs w:val="24"/>
                        </w:rPr>
                        <w:t>8</w:t>
                      </w:r>
                    </w:sdtContent>
                  </w:sdt>
                  <w:r>
                    <w:rPr>
                      <w:szCs w:val="24"/>
                    </w:rPr>
                    <w:t>. Apskaičiuojant bendrą galutinį elektros energijos iš atsinaujinančių energijos išteklių suvartojimą:</w:t>
                  </w:r>
                </w:p>
                <w:sdt>
                  <w:sdtPr>
                    <w:alias w:val="8.1 pp."/>
                    <w:tag w:val="part_5bfebd94fe0241acb14cdfecbf85b974"/>
                    <w:lock w:val="sdtLocked"/>
                    <w:richText/>
                  </w:sdtPr>
                  <w:sdtContent>
                    <w:p>
                      <w:pPr>
                        <w:ind w:firstLine="567"/>
                        <w:jc w:val="both"/>
                        <w:rPr>
                          <w:szCs w:val="24"/>
                        </w:rPr>
                      </w:pPr>
                      <w:sdt>
                        <w:sdtPr>
                          <w:alias w:val="Numeris"/>
                          <w:tag w:val="nr_5bfebd94fe0241acb14cdfecbf85b974"/>
                          <w:lock w:val="sdtLocked"/>
                          <w:richText/>
                        </w:sdtPr>
                        <w:sdtContent>
                          <w:r>
                            <w:rPr>
                              <w:szCs w:val="24"/>
                            </w:rPr>
                            <w:t>8.1</w:t>
                          </w:r>
                        </w:sdtContent>
                      </w:sdt>
                      <w:r>
                        <w:rPr>
                          <w:szCs w:val="24"/>
                        </w:rPr>
                        <w:t>. neįskaitoma elektros energija, pagaminama hidroakumuliacinių įrenginių, naudojančių prieš tai į aukštutinį baseiną pakeltą vandenį;</w:t>
                      </w:r>
                    </w:p>
                  </w:sdtContent>
                </w:sdt>
                <w:sdt>
                  <w:sdtPr>
                    <w:alias w:val="8.2 pp."/>
                    <w:tag w:val="part_5c5bf9bd1fb346db8c18b4692abad16e"/>
                    <w:lock w:val="sdtLocked"/>
                    <w:richText/>
                  </w:sdtPr>
                  <w:sdtContent>
                    <w:p>
                      <w:pPr>
                        <w:ind w:firstLine="567"/>
                        <w:jc w:val="both"/>
                        <w:rPr>
                          <w:szCs w:val="24"/>
                        </w:rPr>
                      </w:pPr>
                      <w:sdt>
                        <w:sdtPr>
                          <w:alias w:val="Numeris"/>
                          <w:tag w:val="nr_5c5bf9bd1fb346db8c18b4692abad16e"/>
                          <w:lock w:val="sdtLocked"/>
                          <w:richText/>
                        </w:sdtPr>
                        <w:sdtContent>
                          <w:r>
                            <w:rPr>
                              <w:szCs w:val="24"/>
                            </w:rPr>
                            <w:t>8.2</w:t>
                          </w:r>
                        </w:sdtContent>
                      </w:sdt>
                      <w:r>
                        <w:rPr>
                          <w:szCs w:val="24"/>
                        </w:rPr>
                        <w:t>. į</w:t>
                      </w:r>
                      <w:r>
                        <w:rPr>
                          <w:color w:val="000000"/>
                          <w:szCs w:val="24"/>
                        </w:rPr>
                        <w:t>vairų kurą deginančių jėgainių, kurios naudoja atsinaujinančius ir tradicinius išteklius, skaičiuojama tik iš atsinaujinančių energijos išteklių pagaminta elektros energija; atliekant šį skaičiavimą, kiekvieno energijos ištekliaus indėlis apskaičiuojamas pagal jo energetinę vertę;</w:t>
                      </w:r>
                    </w:p>
                  </w:sdtContent>
                </w:sdt>
                <w:sdt>
                  <w:sdtPr>
                    <w:alias w:val="8.3 pp."/>
                    <w:tag w:val="part_67544056fcb34da6b167109c0fcd9537"/>
                    <w:lock w:val="sdtLocked"/>
                    <w:richText/>
                  </w:sdtPr>
                  <w:sdtContent>
                    <w:p>
                      <w:pPr>
                        <w:ind w:firstLine="567"/>
                        <w:jc w:val="both"/>
                        <w:rPr>
                          <w:bCs/>
                          <w:szCs w:val="24"/>
                        </w:rPr>
                      </w:pPr>
                      <w:sdt>
                        <w:sdtPr>
                          <w:alias w:val="Numeris"/>
                          <w:tag w:val="nr_67544056fcb34da6b167109c0fcd9537"/>
                          <w:lock w:val="sdtLocked"/>
                          <w:richText/>
                        </w:sdtPr>
                        <w:sdtContent>
                          <w:r>
                            <w:rPr>
                              <w:szCs w:val="24"/>
                            </w:rPr>
                            <w:t>8.3</w:t>
                          </w:r>
                        </w:sdtContent>
                      </w:sdt>
                      <w:r>
                        <w:rPr>
                          <w:szCs w:val="24"/>
                        </w:rPr>
                        <w:t xml:space="preserve">. iš hidroenergijos ir vėjo energijos pagaminta elektros energija skaičiuojama laikantis </w:t>
                      </w:r>
                      <w:r>
                        <w:rPr>
                          <w:bCs/>
                          <w:szCs w:val="24"/>
                        </w:rPr>
                        <w:t>normalizavimo taisyklių:</w:t>
                      </w:r>
                    </w:p>
                    <w:sdt>
                      <w:sdtPr>
                        <w:alias w:val="8.3.1 pp."/>
                        <w:tag w:val="part_04d55cae580b42f29867aa33b28fd04c"/>
                        <w:lock w:val="sdtLocked"/>
                        <w:richText/>
                      </w:sdtPr>
                      <w:sdtContent>
                        <w:p>
                          <w:pPr>
                            <w:ind w:firstLine="567"/>
                            <w:jc w:val="both"/>
                            <w:rPr>
                              <w:szCs w:val="24"/>
                            </w:rPr>
                          </w:pPr>
                          <w:sdt>
                            <w:sdtPr>
                              <w:alias w:val="Numeris"/>
                              <w:tag w:val="nr_04d55cae580b42f29867aa33b28fd04c"/>
                              <w:lock w:val="sdtLocked"/>
                              <w:richText/>
                            </w:sdtPr>
                            <w:sdtContent>
                              <w:r>
                                <w:rPr>
                                  <w:bCs/>
                                  <w:szCs w:val="24"/>
                                </w:rPr>
                                <w:t>8.3.1</w:t>
                              </w:r>
                            </w:sdtContent>
                          </w:sdt>
                          <w:r>
                            <w:rPr>
                              <w:bCs/>
                              <w:szCs w:val="24"/>
                            </w:rPr>
                            <w:t>. </w:t>
                          </w:r>
                          <w:r>
                            <w:rPr>
                              <w:szCs w:val="24"/>
                            </w:rPr>
                            <w:t>elektros energijos kiekio, pagaminto iš hidroenergijos, normalizavimo taisyklė:</w:t>
                          </w:r>
                        </w:p>
                        <w:p>
                          <w:pPr>
                            <w:rPr>
                              <w:szCs w:val="24"/>
                            </w:rPr>
                          </w:pPr>
                        </w:p>
                        <w:p>
                          <w:pPr>
                            <w:rPr>
                              <w:szCs w:val="24"/>
                            </w:rPr>
                          </w:pPr>
                          <w:r>
                            <w:rPr>
                              <w:szCs w:val="24"/>
                              <w:lang w:eastAsia="lt-LT"/>
                            </w:rPr>
                            <w:drawing>
                              <wp:inline distT="0" distB="0" distL="0" distR="0">
                                <wp:extent cx="2085975" cy="51435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7">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2085975" cy="514350"/>
                                        </a:xfrm>
                                        <a:prstGeom prst="rect">
                                          <a:avLst/>
                                        </a:prstGeom>
                                        <a:noFill/>
                                        <a:ln>
                                          <a:noFill/>
                                        </a:ln>
                                      </pic:spPr>
                                    </pic:pic>
                                  </a:graphicData>
                                </a:graphic>
                              </wp:inline>
                            </w:drawing>
                          </w:r>
                          <w:r>
                            <w:rPr>
                              <w:szCs w:val="24"/>
                            </w:rPr>
                            <w:t>, kur:</w:t>
                          </w:r>
                        </w:p>
                        <w:p>
                          <w:pPr>
                            <w:rPr>
                              <w:szCs w:val="24"/>
                            </w:rPr>
                          </w:pPr>
                        </w:p>
                        <w:p>
                          <w:pPr>
                            <w:ind w:firstLine="567"/>
                            <w:jc w:val="both"/>
                            <w:rPr>
                              <w:color w:val="000000"/>
                              <w:szCs w:val="24"/>
                            </w:rPr>
                          </w:pPr>
                          <w:r>
                            <w:rPr>
                              <w:iCs/>
                              <w:color w:val="000000"/>
                              <w:szCs w:val="24"/>
                            </w:rPr>
                            <w:t xml:space="preserve">N </w:t>
                          </w:r>
                          <w:r>
                            <w:rPr>
                              <w:color w:val="000000"/>
                              <w:szCs w:val="24"/>
                            </w:rPr>
                            <w:t>– ataskaitiniai metai;</w:t>
                          </w:r>
                        </w:p>
                        <w:p>
                          <w:pPr>
                            <w:ind w:firstLine="567"/>
                            <w:jc w:val="both"/>
                            <w:rPr>
                              <w:szCs w:val="24"/>
                            </w:rPr>
                          </w:pPr>
                          <w:r>
                            <w:rPr>
                              <w:szCs w:val="24"/>
                            </w:rPr>
                            <w:t>Q</w:t>
                          </w:r>
                          <w:r>
                            <w:rPr>
                              <w:i/>
                              <w:szCs w:val="24"/>
                              <w:vertAlign w:val="subscript"/>
                            </w:rPr>
                            <w:t>N</w:t>
                          </w:r>
                          <w:r>
                            <w:rPr>
                              <w:szCs w:val="24"/>
                              <w:vertAlign w:val="subscript"/>
                            </w:rPr>
                            <w:t>(</w:t>
                          </w:r>
                          <w:r>
                            <w:rPr>
                              <w:i/>
                              <w:szCs w:val="24"/>
                              <w:vertAlign w:val="subscript"/>
                            </w:rPr>
                            <w:t xml:space="preserve">norm) </w:t>
                          </w:r>
                          <w:r>
                            <w:rPr>
                              <w:szCs w:val="24"/>
                            </w:rPr>
                            <w:t xml:space="preserve">– apskaičiuoti elektros energijai, pagamintai iš hidroenergijos, naudojamas normalizuotas elektros energijos kiekis, pagamintas visose hidroelektrinėse </w:t>
                          </w:r>
                          <w:r>
                            <w:rPr>
                              <w:iCs/>
                              <w:szCs w:val="24"/>
                            </w:rPr>
                            <w:t>N</w:t>
                          </w:r>
                          <w:r>
                            <w:rPr>
                              <w:i/>
                              <w:iCs/>
                              <w:szCs w:val="24"/>
                            </w:rPr>
                            <w:t>-</w:t>
                          </w:r>
                          <w:r>
                            <w:rPr>
                              <w:iCs/>
                              <w:szCs w:val="24"/>
                            </w:rPr>
                            <w:t xml:space="preserve">aisiais </w:t>
                          </w:r>
                          <w:r>
                            <w:rPr>
                              <w:szCs w:val="24"/>
                            </w:rPr>
                            <w:t>metais;</w:t>
                          </w:r>
                        </w:p>
                        <w:p>
                          <w:pPr>
                            <w:ind w:firstLine="567"/>
                            <w:jc w:val="both"/>
                            <w:rPr>
                              <w:szCs w:val="24"/>
                            </w:rPr>
                          </w:pPr>
                          <w:r>
                            <w:rPr>
                              <w:szCs w:val="24"/>
                            </w:rPr>
                            <w:t>Q</w:t>
                          </w:r>
                          <w:r>
                            <w:rPr>
                              <w:i/>
                              <w:szCs w:val="24"/>
                              <w:vertAlign w:val="subscript"/>
                            </w:rPr>
                            <w:t xml:space="preserve">i </w:t>
                          </w:r>
                          <w:r>
                            <w:rPr>
                              <w:szCs w:val="24"/>
                            </w:rPr>
                            <w:t xml:space="preserve">– elektros energijos kiekis, faktiškai pagamintas visose hidroelektrinėse </w:t>
                          </w:r>
                          <w:r>
                            <w:rPr>
                              <w:iCs/>
                              <w:szCs w:val="24"/>
                            </w:rPr>
                            <w:t xml:space="preserve">i-aisiais </w:t>
                          </w:r>
                          <w:r>
                            <w:rPr>
                              <w:spacing w:val="-2"/>
                              <w:szCs w:val="24"/>
                            </w:rPr>
                            <w:t>metais, matuojamas GWh, neįskaitant elektros energijos kiekio, pagaminto hidroakumuliacinių</w:t>
                          </w:r>
                          <w:r>
                            <w:rPr>
                              <w:szCs w:val="24"/>
                            </w:rPr>
                            <w:t xml:space="preserve"> įrenginių, naudojančių prieš tai pakeltą vandenį;</w:t>
                          </w:r>
                        </w:p>
                        <w:p>
                          <w:pPr>
                            <w:ind w:firstLine="567"/>
                            <w:jc w:val="both"/>
                            <w:rPr>
                              <w:szCs w:val="24"/>
                            </w:rPr>
                          </w:pPr>
                          <w:r>
                            <w:rPr>
                              <w:szCs w:val="24"/>
                            </w:rPr>
                            <w:t>C</w:t>
                          </w:r>
                          <w:r>
                            <w:rPr>
                              <w:i/>
                              <w:szCs w:val="24"/>
                              <w:vertAlign w:val="subscript"/>
                            </w:rPr>
                            <w:t xml:space="preserve">i </w:t>
                          </w:r>
                          <w:r>
                            <w:rPr>
                              <w:szCs w:val="24"/>
                            </w:rPr>
                            <w:t xml:space="preserve">– visų, neįskaitant hidroakumuliacinių, hidroelektrinių bendra įrengtoji galia </w:t>
                          </w:r>
                          <w:r>
                            <w:rPr>
                              <w:iCs/>
                              <w:szCs w:val="24"/>
                            </w:rPr>
                            <w:t xml:space="preserve">i-ųjų </w:t>
                          </w:r>
                          <w:r>
                            <w:rPr>
                              <w:szCs w:val="24"/>
                            </w:rPr>
                            <w:t>metų pabaigoje, matuojama MW.</w:t>
                          </w:r>
                        </w:p>
                      </w:sdtContent>
                    </w:sdt>
                    <w:sdt>
                      <w:sdtPr>
                        <w:alias w:val="8.3.2 pp."/>
                        <w:tag w:val="part_28749d7eb9f847df843c1fded3b0292c"/>
                        <w:lock w:val="sdtLocked"/>
                        <w:richText/>
                      </w:sdtPr>
                      <w:sdtContent>
                        <w:p>
                          <w:pPr>
                            <w:ind w:firstLine="567"/>
                            <w:jc w:val="both"/>
                            <w:rPr>
                              <w:color w:val="000000"/>
                              <w:szCs w:val="24"/>
                            </w:rPr>
                          </w:pPr>
                          <w:sdt>
                            <w:sdtPr>
                              <w:alias w:val="Numeris"/>
                              <w:tag w:val="nr_28749d7eb9f847df843c1fded3b0292c"/>
                              <w:lock w:val="sdtLocked"/>
                              <w:richText/>
                            </w:sdtPr>
                            <w:sdtContent>
                              <w:r>
                                <w:rPr>
                                  <w:bCs/>
                                  <w:color w:val="000000"/>
                                  <w:szCs w:val="24"/>
                                </w:rPr>
                                <w:t>8.3.2</w:t>
                              </w:r>
                            </w:sdtContent>
                          </w:sdt>
                          <w:r>
                            <w:rPr>
                              <w:bCs/>
                              <w:color w:val="000000"/>
                              <w:szCs w:val="24"/>
                            </w:rPr>
                            <w:t>. </w:t>
                          </w:r>
                          <w:r>
                            <w:rPr>
                              <w:color w:val="000000"/>
                              <w:szCs w:val="24"/>
                            </w:rPr>
                            <w:t>elektros energijos kiekio, pagaminto iš vėjo energijos, normalizavimo taisyklė:</w:t>
                          </w:r>
                        </w:p>
                        <w:p>
                          <w:pPr>
                            <w:rPr>
                              <w:szCs w:val="24"/>
                            </w:rPr>
                          </w:pPr>
                          <w:r>
                            <w:rPr>
                              <w:szCs w:val="24"/>
                              <w:lang w:eastAsia="lt-LT"/>
                            </w:rPr>
                            <w:drawing>
                              <wp:inline distT="0" distB="0" distL="0" distR="0">
                                <wp:extent cx="28575" cy="161925"/>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8">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28575" cy="161925"/>
                                        </a:xfrm>
                                        <a:prstGeom prst="rect">
                                          <a:avLst/>
                                        </a:prstGeom>
                                        <a:noFill/>
                                        <a:ln>
                                          <a:noFill/>
                                        </a:ln>
                                      </pic:spPr>
                                    </pic:pic>
                                  </a:graphicData>
                                </a:graphic>
                              </wp:inline>
                            </w:drawing>
                          </w:r>
                        </w:p>
                        <w:p>
                          <w:pPr>
                            <w:rPr>
                              <w:szCs w:val="24"/>
                            </w:rPr>
                          </w:pPr>
                          <w:r>
                            <w:rPr>
                              <w:szCs w:val="24"/>
                              <w:lang w:eastAsia="lt-LT"/>
                            </w:rPr>
                            <w:drawing>
                              <wp:inline distT="0" distB="0" distL="0" distR="0">
                                <wp:extent cx="2781300" cy="571500"/>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9">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2781300" cy="571500"/>
                                        </a:xfrm>
                                        <a:prstGeom prst="rect">
                                          <a:avLst/>
                                        </a:prstGeom>
                                        <a:noFill/>
                                        <a:ln>
                                          <a:noFill/>
                                        </a:ln>
                                      </pic:spPr>
                                    </pic:pic>
                                  </a:graphicData>
                                </a:graphic>
                              </wp:inline>
                            </w:drawing>
                          </w:r>
                          <w:r>
                            <w:rPr>
                              <w:vanish/>
                              <w:szCs w:val="24"/>
                            </w:rPr>
                            <w:t>QN(norm) = ((CN + CN-1) / 2) x ((SUM(i=N-n, ..., N)[Qi]) / (SUM(j=N-n, ..., N)[((Cj + Cj-1) / 2)]))</w:t>
                          </w:r>
                          <w:r>
                            <w:rPr>
                              <w:szCs w:val="24"/>
                            </w:rPr>
                            <w:t>, kur:</w:t>
                          </w:r>
                        </w:p>
                        <w:p>
                          <w:pPr>
                            <w:ind w:firstLine="567"/>
                            <w:rPr>
                              <w:iCs/>
                              <w:szCs w:val="24"/>
                            </w:rPr>
                          </w:pPr>
                        </w:p>
                        <w:p>
                          <w:pPr>
                            <w:ind w:firstLine="567"/>
                            <w:jc w:val="both"/>
                            <w:rPr>
                              <w:color w:val="000000"/>
                              <w:szCs w:val="24"/>
                            </w:rPr>
                          </w:pPr>
                          <w:r>
                            <w:rPr>
                              <w:iCs/>
                              <w:color w:val="000000"/>
                              <w:szCs w:val="24"/>
                            </w:rPr>
                            <w:t xml:space="preserve">N </w:t>
                          </w:r>
                          <w:r>
                            <w:rPr>
                              <w:color w:val="000000"/>
                              <w:szCs w:val="24"/>
                            </w:rPr>
                            <w:t>– ataskaitiniai metai;</w:t>
                          </w:r>
                        </w:p>
                        <w:p>
                          <w:pPr>
                            <w:ind w:firstLine="567"/>
                            <w:jc w:val="both"/>
                            <w:rPr>
                              <w:color w:val="000000"/>
                              <w:szCs w:val="24"/>
                            </w:rPr>
                          </w:pPr>
                          <w:r>
                            <w:rPr>
                              <w:color w:val="000000"/>
                              <w:szCs w:val="24"/>
                              <w:lang w:eastAsia="lt-LT"/>
                            </w:rPr>
                            <w:drawing>
                              <wp:inline distT="0" distB="0" distL="0" distR="0">
                                <wp:extent cx="533400" cy="180975"/>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0">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533400" cy="180975"/>
                                        </a:xfrm>
                                        <a:prstGeom prst="rect">
                                          <a:avLst/>
                                        </a:prstGeom>
                                        <a:noFill/>
                                        <a:ln>
                                          <a:noFill/>
                                        </a:ln>
                                      </pic:spPr>
                                    </pic:pic>
                                  </a:graphicData>
                                </a:graphic>
                              </wp:inline>
                            </w:drawing>
                          </w:r>
                          <w:r>
                            <w:rPr>
                              <w:iCs/>
                              <w:color w:val="000000"/>
                              <w:szCs w:val="24"/>
                            </w:rPr>
                            <w:t xml:space="preserve"> </w:t>
                          </w:r>
                          <w:r>
                            <w:rPr>
                              <w:color w:val="000000"/>
                              <w:szCs w:val="24"/>
                            </w:rPr>
                            <w:t xml:space="preserve">– apskaičiuoti iš vėjo energijos pagamintai elektros energijai naudojamas normalizuotas elektros energijos kiekis, pagamintas visų vėjo jėgainių </w:t>
                          </w:r>
                          <w:r>
                            <w:rPr>
                              <w:iCs/>
                              <w:color w:val="000000"/>
                              <w:szCs w:val="24"/>
                            </w:rPr>
                            <w:t>N</w:t>
                          </w:r>
                          <w:r>
                            <w:rPr>
                              <w:i/>
                              <w:iCs/>
                              <w:color w:val="000000"/>
                              <w:szCs w:val="24"/>
                            </w:rPr>
                            <w:t>-</w:t>
                          </w:r>
                          <w:r>
                            <w:rPr>
                              <w:iCs/>
                              <w:color w:val="000000"/>
                              <w:szCs w:val="24"/>
                            </w:rPr>
                            <w:t>aisiais</w:t>
                          </w:r>
                          <w:r>
                            <w:rPr>
                              <w:i/>
                              <w:iCs/>
                              <w:color w:val="000000"/>
                              <w:szCs w:val="24"/>
                            </w:rPr>
                            <w:t xml:space="preserve"> </w:t>
                          </w:r>
                          <w:r>
                            <w:rPr>
                              <w:color w:val="000000"/>
                              <w:szCs w:val="24"/>
                            </w:rPr>
                            <w:t>metais;</w:t>
                          </w:r>
                        </w:p>
                        <w:p>
                          <w:pPr>
                            <w:ind w:firstLine="567"/>
                            <w:jc w:val="both"/>
                            <w:rPr>
                              <w:szCs w:val="24"/>
                            </w:rPr>
                          </w:pPr>
                          <w:r>
                            <w:rPr>
                              <w:szCs w:val="24"/>
                            </w:rPr>
                            <w:t>Q</w:t>
                          </w:r>
                          <w:r>
                            <w:rPr>
                              <w:i/>
                              <w:szCs w:val="24"/>
                              <w:vertAlign w:val="subscript"/>
                            </w:rPr>
                            <w:t xml:space="preserve">i </w:t>
                          </w:r>
                          <w:r>
                            <w:rPr>
                              <w:szCs w:val="24"/>
                            </w:rPr>
                            <w:t xml:space="preserve">– elektros energijos kiekis, faktiškai pagamintas visų vėjo jėgainių </w:t>
                          </w:r>
                          <w:r>
                            <w:rPr>
                              <w:iCs/>
                              <w:szCs w:val="24"/>
                            </w:rPr>
                            <w:t>i</w:t>
                          </w:r>
                          <w:r>
                            <w:rPr>
                              <w:i/>
                              <w:iCs/>
                              <w:szCs w:val="24"/>
                            </w:rPr>
                            <w:t>-</w:t>
                          </w:r>
                          <w:r>
                            <w:rPr>
                              <w:iCs/>
                              <w:szCs w:val="24"/>
                            </w:rPr>
                            <w:t>aisiais</w:t>
                          </w:r>
                          <w:r>
                            <w:rPr>
                              <w:i/>
                              <w:iCs/>
                              <w:szCs w:val="24"/>
                            </w:rPr>
                            <w:t xml:space="preserve"> </w:t>
                          </w:r>
                          <w:r>
                            <w:rPr>
                              <w:szCs w:val="24"/>
                            </w:rPr>
                            <w:t>metais, matuojamas GWh;</w:t>
                          </w:r>
                        </w:p>
                        <w:p>
                          <w:pPr>
                            <w:ind w:firstLine="567"/>
                            <w:jc w:val="both"/>
                            <w:rPr>
                              <w:szCs w:val="24"/>
                            </w:rPr>
                          </w:pPr>
                          <w:r>
                            <w:rPr>
                              <w:szCs w:val="24"/>
                            </w:rPr>
                            <w:t>C</w:t>
                          </w:r>
                          <w:r>
                            <w:rPr>
                              <w:i/>
                              <w:szCs w:val="24"/>
                              <w:vertAlign w:val="subscript"/>
                            </w:rPr>
                            <w:t xml:space="preserve">j </w:t>
                          </w:r>
                          <w:r>
                            <w:rPr>
                              <w:szCs w:val="24"/>
                            </w:rPr>
                            <w:t xml:space="preserve">– visų vėjo jėgainių bendra įrengtoji galia </w:t>
                          </w:r>
                          <w:r>
                            <w:rPr>
                              <w:iCs/>
                              <w:szCs w:val="24"/>
                            </w:rPr>
                            <w:t>j</w:t>
                          </w:r>
                          <w:r>
                            <w:rPr>
                              <w:i/>
                              <w:iCs/>
                              <w:szCs w:val="24"/>
                            </w:rPr>
                            <w:t xml:space="preserve"> </w:t>
                          </w:r>
                          <w:r>
                            <w:rPr>
                              <w:szCs w:val="24"/>
                            </w:rPr>
                            <w:t>metų pabaigoje, matuojama MW;</w:t>
                          </w:r>
                        </w:p>
                        <w:p>
                          <w:pPr>
                            <w:ind w:firstLine="567"/>
                            <w:jc w:val="both"/>
                            <w:rPr>
                              <w:color w:val="000000"/>
                              <w:szCs w:val="24"/>
                            </w:rPr>
                          </w:pPr>
                          <w:r>
                            <w:rPr>
                              <w:iCs/>
                              <w:color w:val="000000"/>
                              <w:szCs w:val="24"/>
                            </w:rPr>
                            <w:t>n</w:t>
                          </w:r>
                          <w:r>
                            <w:rPr>
                              <w:color w:val="000000"/>
                              <w:szCs w:val="24"/>
                            </w:rPr>
                            <w:t xml:space="preserve"> – 4 arba metų skaičius prieš </w:t>
                          </w:r>
                          <w:r>
                            <w:rPr>
                              <w:iCs/>
                              <w:color w:val="000000"/>
                              <w:szCs w:val="24"/>
                            </w:rPr>
                            <w:t>N</w:t>
                          </w:r>
                          <w:r>
                            <w:rPr>
                              <w:i/>
                              <w:iCs/>
                              <w:color w:val="000000"/>
                              <w:szCs w:val="24"/>
                            </w:rPr>
                            <w:t xml:space="preserve"> </w:t>
                          </w:r>
                          <w:r>
                            <w:rPr>
                              <w:color w:val="000000"/>
                              <w:szCs w:val="24"/>
                            </w:rPr>
                            <w:t>metus, už kuriuos turima galios ir gamybos duomenų, atsižvelgiant į tai, kuris iš jų mažesnis.</w:t>
                          </w:r>
                        </w:p>
                      </w:sdtContent>
                    </w:sdt>
                  </w:sdtContent>
                </w:sdt>
              </w:sdtContent>
            </w:sdt>
            <w:sdt>
              <w:sdtPr>
                <w:alias w:val="9 p."/>
                <w:tag w:val="part_04df33f76d0147d0b9525f530a4859e9"/>
                <w:lock w:val="sdtLocked"/>
                <w:richText/>
              </w:sdtPr>
              <w:sdtContent>
                <w:p>
                  <w:pPr>
                    <w:ind w:firstLine="567"/>
                    <w:jc w:val="both"/>
                    <w:rPr>
                      <w:color w:val="000000"/>
                      <w:szCs w:val="24"/>
                    </w:rPr>
                  </w:pPr>
                  <w:sdt>
                    <w:sdtPr>
                      <w:alias w:val="Numeris"/>
                      <w:tag w:val="nr_04df33f76d0147d0b9525f530a4859e9"/>
                      <w:lock w:val="sdtLocked"/>
                      <w:richText/>
                    </w:sdtPr>
                    <w:sdtContent>
                      <w:r>
                        <w:rPr>
                          <w:color w:val="000000"/>
                          <w:szCs w:val="24"/>
                        </w:rPr>
                        <w:t>9</w:t>
                      </w:r>
                    </w:sdtContent>
                  </w:sdt>
                  <w:r>
                    <w:rPr>
                      <w:color w:val="000000"/>
                      <w:szCs w:val="24"/>
                    </w:rPr>
                    <w:t>. Bendras galutinis atsinaujinančių energijos išteklių suvartojimas šildymui ir vėsinimui apskaičiuojamas:</w:t>
                  </w:r>
                </w:p>
                <w:sdt>
                  <w:sdtPr>
                    <w:alias w:val="9.1 pp."/>
                    <w:tag w:val="part_9e2aff68e92242be8417e6c7a3e010e6"/>
                    <w:lock w:val="sdtLocked"/>
                    <w:richText/>
                  </w:sdtPr>
                  <w:sdtContent>
                    <w:p>
                      <w:pPr>
                        <w:ind w:firstLine="567"/>
                        <w:jc w:val="both"/>
                        <w:rPr>
                          <w:color w:val="000000"/>
                          <w:szCs w:val="24"/>
                        </w:rPr>
                      </w:pPr>
                      <w:sdt>
                        <w:sdtPr>
                          <w:alias w:val="Numeris"/>
                          <w:tag w:val="nr_9e2aff68e92242be8417e6c7a3e010e6"/>
                          <w:lock w:val="sdtLocked"/>
                          <w:richText/>
                        </w:sdtPr>
                        <w:sdtContent>
                          <w:r>
                            <w:rPr>
                              <w:color w:val="000000"/>
                              <w:szCs w:val="24"/>
                            </w:rPr>
                            <w:t>9.1</w:t>
                          </w:r>
                        </w:sdtContent>
                      </w:sdt>
                      <w:r>
                        <w:rPr>
                          <w:color w:val="000000"/>
                          <w:szCs w:val="24"/>
                        </w:rPr>
                        <w:t>. kaip iš atsinaujinančių išteklių pagamintas centralizuotai tiekiamos šilumos ir vėsumos kiekis, kitų atsinaujinančių energijos išteklių pramonės, namų ūkių, paslaugų sektoriaus, žemės ūkio, miškininkystės ir žuvininkystės šildymo, vėsinimo ir technologinio proceso tikslais suvartotas kiekis;</w:t>
                      </w:r>
                    </w:p>
                  </w:sdtContent>
                </w:sdt>
                <w:sdt>
                  <w:sdtPr>
                    <w:alias w:val="9.2 pp."/>
                    <w:tag w:val="part_35a22dc1203b4ed78ac9478dc02a5e70"/>
                    <w:lock w:val="sdtLocked"/>
                    <w:richText/>
                  </w:sdtPr>
                  <w:sdtContent>
                    <w:p>
                      <w:pPr>
                        <w:ind w:firstLine="567"/>
                        <w:jc w:val="both"/>
                        <w:rPr>
                          <w:szCs w:val="24"/>
                        </w:rPr>
                      </w:pPr>
                      <w:sdt>
                        <w:sdtPr>
                          <w:alias w:val="Numeris"/>
                          <w:tag w:val="nr_35a22dc1203b4ed78ac9478dc02a5e70"/>
                          <w:lock w:val="sdtLocked"/>
                          <w:richText/>
                        </w:sdtPr>
                        <w:sdtContent>
                          <w:r>
                            <w:rPr>
                              <w:szCs w:val="24"/>
                            </w:rPr>
                            <w:t>9.2</w:t>
                          </w:r>
                        </w:sdtContent>
                      </w:sdt>
                      <w:r>
                        <w:rPr>
                          <w:szCs w:val="24"/>
                        </w:rPr>
                        <w:t>. į</w:t>
                      </w:r>
                      <w:r>
                        <w:rPr>
                          <w:color w:val="000000"/>
                          <w:szCs w:val="24"/>
                        </w:rPr>
                        <w:t>vairų kurą deginančių jėgainių, kuriose naudojami atsinaujinantys ir tradiciniai energijos ištekliai, atsižvelgiama tik į šildymo ir aušinimo, pagamintų iš atsinaujinančių energijos išteklių, dalį; atliekant šį skaičiavimą, kiekvieno energijos ištekliaus indėlis apskaičiuojamas pagal jo energetinę vertę;</w:t>
                      </w:r>
                    </w:p>
                  </w:sdtContent>
                </w:sdt>
                <w:sdt>
                  <w:sdtPr>
                    <w:alias w:val="9.3 pp."/>
                    <w:tag w:val="part_40179d1fda3a4387b36624b950816a92"/>
                    <w:lock w:val="sdtLocked"/>
                    <w:richText/>
                  </w:sdtPr>
                  <w:sdtContent>
                    <w:p>
                      <w:pPr>
                        <w:ind w:firstLine="567"/>
                        <w:jc w:val="both"/>
                        <w:rPr>
                          <w:color w:val="000000"/>
                          <w:szCs w:val="24"/>
                        </w:rPr>
                      </w:pPr>
                      <w:sdt>
                        <w:sdtPr>
                          <w:alias w:val="Numeris"/>
                          <w:tag w:val="nr_40179d1fda3a4387b36624b950816a92"/>
                          <w:lock w:val="sdtLocked"/>
                          <w:richText/>
                        </w:sdtPr>
                        <w:sdtContent>
                          <w:r>
                            <w:rPr>
                              <w:color w:val="000000"/>
                              <w:szCs w:val="24"/>
                            </w:rPr>
                            <w:t>9.3</w:t>
                          </w:r>
                        </w:sdtContent>
                      </w:sdt>
                      <w:r>
                        <w:rPr>
                          <w:color w:val="000000"/>
                          <w:szCs w:val="24"/>
                        </w:rPr>
                        <w:t>. į aeroterminę, geoterminę ir hidroterminę šilumos energiją, išgautą šilumos siurbliais, apskaičiuojant atsižvelgiama su sąlyga, kad galutinė energijos išeiga smarkiai viršija pradines energijos sąnaudas, reikalingas šilumos siurblių veiklai; šilumos kiekis, priskiriamas atsinaujinančių išteklių energijai, apskaičiuojamas pagal šią formulę:</w:t>
                      </w:r>
                    </w:p>
                    <w:p>
                      <w:pPr>
                        <w:ind w:firstLine="567"/>
                        <w:rPr>
                          <w:color w:val="000000"/>
                          <w:szCs w:val="24"/>
                        </w:rPr>
                      </w:pPr>
                    </w:p>
                    <w:p>
                      <w:pPr>
                        <w:ind w:firstLine="567"/>
                        <w:rPr>
                          <w:iCs/>
                          <w:szCs w:val="24"/>
                        </w:rPr>
                      </w:pPr>
                      <w:r>
                        <w:rPr>
                          <w:szCs w:val="24"/>
                          <w:lang w:eastAsia="lt-LT"/>
                        </w:rPr>
                        <w:drawing>
                          <wp:inline distT="0" distB="0" distL="0" distR="0">
                            <wp:extent cx="1771650" cy="161925"/>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1">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1771650" cy="161925"/>
                                    </a:xfrm>
                                    <a:prstGeom prst="rect">
                                      <a:avLst/>
                                    </a:prstGeom>
                                    <a:noFill/>
                                    <a:ln>
                                      <a:noFill/>
                                    </a:ln>
                                  </pic:spPr>
                                </pic:pic>
                              </a:graphicData>
                            </a:graphic>
                          </wp:inline>
                        </w:drawing>
                      </w:r>
                      <w:r>
                        <w:rPr>
                          <w:vanish/>
                          <w:szCs w:val="24"/>
                        </w:rPr>
                        <w:t>ERES = Qusable * (1 – 1/SPF)</w:t>
                      </w:r>
                      <w:r>
                        <w:rPr>
                          <w:szCs w:val="24"/>
                        </w:rPr>
                        <w:t>, kur:</w:t>
                      </w:r>
                    </w:p>
                    <w:p>
                      <w:pPr>
                        <w:ind w:firstLine="567"/>
                        <w:rPr>
                          <w:color w:val="000000"/>
                          <w:szCs w:val="24"/>
                        </w:rPr>
                      </w:pPr>
                    </w:p>
                    <w:p>
                      <w:pPr>
                        <w:ind w:firstLine="567"/>
                        <w:jc w:val="both"/>
                        <w:rPr>
                          <w:color w:val="000000"/>
                          <w:szCs w:val="24"/>
                        </w:rPr>
                      </w:pPr>
                      <w:r>
                        <w:rPr>
                          <w:i/>
                          <w:iCs/>
                          <w:color w:val="000000"/>
                          <w:szCs w:val="24"/>
                        </w:rPr>
                        <w:t>E</w:t>
                      </w:r>
                      <w:r>
                        <w:rPr>
                          <w:i/>
                          <w:iCs/>
                          <w:color w:val="000000"/>
                          <w:szCs w:val="24"/>
                          <w:vertAlign w:val="subscript"/>
                        </w:rPr>
                        <w:t>RES</w:t>
                      </w:r>
                      <w:r>
                        <w:rPr>
                          <w:color w:val="000000"/>
                          <w:szCs w:val="24"/>
                        </w:rPr>
                        <w:t xml:space="preserve"> – aeroterminės, geoterminės ar hidroterminės energijos, kurią sunaudoja šilumos siurbliai, kiekis;</w:t>
                      </w:r>
                    </w:p>
                    <w:p>
                      <w:pPr>
                        <w:ind w:firstLine="567"/>
                        <w:jc w:val="both"/>
                        <w:rPr>
                          <w:color w:val="000000"/>
                          <w:szCs w:val="24"/>
                        </w:rPr>
                      </w:pPr>
                      <w:r>
                        <w:rPr>
                          <w:color w:val="000000"/>
                          <w:szCs w:val="24"/>
                        </w:rPr>
                        <w:t>Q</w:t>
                      </w:r>
                      <w:r>
                        <w:rPr>
                          <w:i/>
                          <w:color w:val="000000"/>
                          <w:szCs w:val="24"/>
                          <w:vertAlign w:val="subscript"/>
                        </w:rPr>
                        <w:t>usable</w:t>
                      </w:r>
                      <w:r>
                        <w:rPr>
                          <w:color w:val="000000"/>
                          <w:szCs w:val="24"/>
                          <w:vertAlign w:val="subscript"/>
                        </w:rPr>
                        <w:t xml:space="preserve"> </w:t>
                      </w:r>
                      <w:r>
                        <w:rPr>
                          <w:color w:val="000000"/>
                          <w:szCs w:val="24"/>
                        </w:rPr>
                        <w:t>– įvertinta visa panaudojama šiluma, kurią tiekia šilumos siurbliai; atsižvelgiama tik į šilumos siurblius, kurių vidutinis sezoninis naudingumo koeficientas</w:t>
                      </w:r>
                      <w:r>
                        <w:rPr>
                          <w:i/>
                          <w:iCs/>
                          <w:color w:val="000000"/>
                          <w:szCs w:val="24"/>
                        </w:rPr>
                        <w:t xml:space="preserve"> – SPF &gt; 1,15 * 1/</w:t>
                      </w:r>
                      <w:r>
                        <w:rPr>
                          <w:i/>
                          <w:iCs/>
                          <w:sz w:val="22"/>
                          <w:szCs w:val="22"/>
                          <w:lang w:eastAsia="lt-LT"/>
                        </w:rPr>
                        <w:t xml:space="preserve"> η</w:t>
                      </w:r>
                      <w:r>
                        <w:rPr>
                          <w:iCs/>
                          <w:sz w:val="22"/>
                          <w:szCs w:val="22"/>
                          <w:lang w:eastAsia="lt-LT"/>
                        </w:rPr>
                        <w:t xml:space="preserve"> </w:t>
                      </w:r>
                      <w:r>
                        <w:rPr>
                          <w:i/>
                          <w:iCs/>
                          <w:vanish/>
                          <w:color w:val="000000"/>
                          <w:szCs w:val="24"/>
                        </w:rPr>
                        <w:t>eta</w:t>
                      </w:r>
                      <w:r>
                        <w:rPr>
                          <w:color w:val="000000"/>
                          <w:szCs w:val="24"/>
                        </w:rPr>
                        <w:t xml:space="preserve">; </w:t>
                      </w:r>
                    </w:p>
                    <w:p>
                      <w:pPr>
                        <w:ind w:firstLine="567"/>
                        <w:jc w:val="both"/>
                        <w:rPr>
                          <w:color w:val="000000"/>
                          <w:szCs w:val="24"/>
                        </w:rPr>
                      </w:pPr>
                      <w:r>
                        <w:rPr>
                          <w:i/>
                          <w:iCs/>
                          <w:color w:val="000000"/>
                          <w:szCs w:val="24"/>
                        </w:rPr>
                        <w:t xml:space="preserve">SPF </w:t>
                      </w:r>
                      <w:r>
                        <w:rPr>
                          <w:color w:val="000000"/>
                          <w:szCs w:val="24"/>
                        </w:rPr>
                        <w:t xml:space="preserve">– įvertintas tų šilumos siurblių vidutinis sezoninis naudingumo koeficientas; </w:t>
                      </w:r>
                    </w:p>
                    <w:p>
                      <w:pPr>
                        <w:ind w:firstLine="567"/>
                        <w:jc w:val="both"/>
                        <w:rPr>
                          <w:szCs w:val="24"/>
                        </w:rPr>
                      </w:pPr>
                      <w:r>
                        <w:rPr>
                          <w:i/>
                          <w:iCs/>
                          <w:sz w:val="22"/>
                          <w:szCs w:val="22"/>
                          <w:lang w:eastAsia="lt-LT"/>
                        </w:rPr>
                        <w:t>η</w:t>
                      </w:r>
                      <w:r>
                        <w:rPr>
                          <w:iCs/>
                          <w:sz w:val="22"/>
                          <w:szCs w:val="22"/>
                          <w:lang w:eastAsia="lt-LT"/>
                        </w:rPr>
                        <w:t xml:space="preserve"> </w:t>
                      </w:r>
                      <w:r>
                        <w:rPr>
                          <w:i/>
                          <w:iCs/>
                          <w:vanish/>
                          <w:szCs w:val="24"/>
                        </w:rPr>
                        <w:t>eta</w:t>
                      </w:r>
                      <w:r>
                        <w:rPr>
                          <w:i/>
                          <w:iCs/>
                          <w:szCs w:val="24"/>
                        </w:rPr>
                        <w:t xml:space="preserve"> </w:t>
                      </w:r>
                      <w:r>
                        <w:rPr>
                          <w:szCs w:val="24"/>
                        </w:rPr>
                        <w:t>– visas pagamintos elektros energijos ir pirminės elektros energijos, sunaudotos elektros energijos gamybai, kiekių santykis, apskaičiuojamas kaip Europos Sąjungos vidurkis, pagrįstas Europos Bendrijų statistikos tarnybos (Eurostato) duomenimis;</w:t>
                      </w:r>
                    </w:p>
                  </w:sdtContent>
                </w:sdt>
                <w:sdt>
                  <w:sdtPr>
                    <w:alias w:val="9.4 pp."/>
                    <w:tag w:val="part_e6368528a21e41078ad978173f6c1bc3"/>
                    <w:lock w:val="sdtLocked"/>
                    <w:richText/>
                  </w:sdtPr>
                  <w:sdtContent>
                    <w:p>
                      <w:pPr>
                        <w:ind w:firstLine="567"/>
                        <w:jc w:val="both"/>
                        <w:rPr>
                          <w:szCs w:val="24"/>
                        </w:rPr>
                      </w:pPr>
                      <w:sdt>
                        <w:sdtPr>
                          <w:alias w:val="Numeris"/>
                          <w:tag w:val="nr_e6368528a21e41078ad978173f6c1bc3"/>
                          <w:lock w:val="sdtLocked"/>
                          <w:richText/>
                        </w:sdtPr>
                        <w:sdtContent>
                          <w:r>
                            <w:rPr>
                              <w:szCs w:val="24"/>
                            </w:rPr>
                            <w:t>9.4</w:t>
                          </w:r>
                        </w:sdtContent>
                      </w:sdt>
                      <w:r>
                        <w:rPr>
                          <w:szCs w:val="24"/>
                        </w:rPr>
                        <w:t xml:space="preserve">. į </w:t>
                      </w:r>
                      <w:r>
                        <w:rPr>
                          <w:color w:val="000000"/>
                          <w:szCs w:val="24"/>
                        </w:rPr>
                        <w:t>bendrą galutinį atsinaujinančių energijos išteklių suvartojimą šildymui ir vėsinimui</w:t>
                      </w:r>
                      <w:r>
                        <w:rPr>
                          <w:szCs w:val="24"/>
                        </w:rPr>
                        <w:t xml:space="preserve"> neįskaičiuojama šilumos energija, gauta pasyviose energetikos sistemose, kuriose mažesnis energijos suvartojimas pasiekiamas pasyviai per pastato konstrukcijas arba iš šilumos, kuri gaunama naudojant neatsinaujinančius energijos išteklius.</w:t>
                      </w:r>
                    </w:p>
                  </w:sdtContent>
                </w:sdt>
              </w:sdtContent>
            </w:sdt>
            <w:sdt>
              <w:sdtPr>
                <w:alias w:val="10 p."/>
                <w:tag w:val="part_103efaeac0a647308aa4f2be55bed9a6"/>
                <w:lock w:val="sdtLocked"/>
                <w:richText/>
              </w:sdtPr>
              <w:sdtContent>
                <w:p>
                  <w:pPr>
                    <w:ind w:firstLine="567"/>
                    <w:jc w:val="both"/>
                    <w:rPr>
                      <w:szCs w:val="24"/>
                    </w:rPr>
                  </w:pPr>
                  <w:sdt>
                    <w:sdtPr>
                      <w:alias w:val="Numeris"/>
                      <w:tag w:val="nr_103efaeac0a647308aa4f2be55bed9a6"/>
                      <w:lock w:val="sdtLocked"/>
                      <w:richText/>
                    </w:sdtPr>
                    <w:sdtContent>
                      <w:r>
                        <w:rPr>
                          <w:szCs w:val="24"/>
                        </w:rPr>
                        <w:t>10</w:t>
                      </w:r>
                    </w:sdtContent>
                  </w:sdt>
                  <w:r>
                    <w:rPr>
                      <w:szCs w:val="24"/>
                    </w:rPr>
                    <w:t>. Apskaičiuojant, kurią atsinaujinančių energijos išteklių dalį sunaudoja visų rūšių transportas (iš viso šalies transporto sektoriaus galutinio energijos suvartojimo), taikomos tokios nuostatos: </w:t>
                  </w:r>
                </w:p>
                <w:sdt>
                  <w:sdtPr>
                    <w:alias w:val="10.1 pp."/>
                    <w:tag w:val="part_c20e3b35b4304264a257c17acb819ba7"/>
                    <w:lock w:val="sdtLocked"/>
                    <w:richText/>
                  </w:sdtPr>
                  <w:sdtContent>
                    <w:p>
                      <w:pPr>
                        <w:ind w:firstLine="567"/>
                        <w:jc w:val="both"/>
                        <w:rPr>
                          <w:color w:val="000000"/>
                          <w:szCs w:val="24"/>
                        </w:rPr>
                      </w:pPr>
                      <w:sdt>
                        <w:sdtPr>
                          <w:alias w:val="Numeris"/>
                          <w:tag w:val="nr_c20e3b35b4304264a257c17acb819ba7"/>
                          <w:lock w:val="sdtLocked"/>
                          <w:richText/>
                        </w:sdtPr>
                        <w:sdtContent>
                          <w:r>
                            <w:rPr>
                              <w:color w:val="000000"/>
                              <w:szCs w:val="24"/>
                            </w:rPr>
                            <w:t>10.1</w:t>
                          </w:r>
                        </w:sdtContent>
                      </w:sdt>
                      <w:r>
                        <w:rPr>
                          <w:color w:val="000000"/>
                          <w:szCs w:val="24"/>
                        </w:rPr>
                        <w:t>. apskaičiuojant vardiklį, t. y. visą transporto sektoriuje suvartojamos energijos kiekį, įskaičiuojamas tik benzinas, dyzelinas, biodegalai, sunaudoti kelių ir geležinkelių transporto, ir elektros energija,</w:t>
                      </w:r>
                      <w:r>
                        <w:rPr>
                          <w:color w:val="000000"/>
                          <w:sz w:val="22"/>
                          <w:szCs w:val="22"/>
                        </w:rPr>
                        <w:t xml:space="preserve"> </w:t>
                      </w:r>
                      <w:r>
                        <w:rPr>
                          <w:color w:val="000000"/>
                          <w:szCs w:val="24"/>
                        </w:rPr>
                        <w:t>įskaitant elektros energiją, sunaudotą gaminant nebiologinius skystuosius ir dujinius degalus;</w:t>
                      </w:r>
                    </w:p>
                  </w:sdtContent>
                </w:sdt>
                <w:sdt>
                  <w:sdtPr>
                    <w:alias w:val="10.2 pp."/>
                    <w:tag w:val="part_de4df1aa5d4949379fc71905dbd59ccf"/>
                    <w:lock w:val="sdtLocked"/>
                    <w:richText/>
                  </w:sdtPr>
                  <w:sdtContent>
                    <w:p>
                      <w:pPr>
                        <w:ind w:firstLine="567"/>
                        <w:jc w:val="both"/>
                        <w:rPr>
                          <w:color w:val="000000"/>
                          <w:szCs w:val="24"/>
                        </w:rPr>
                      </w:pPr>
                      <w:sdt>
                        <w:sdtPr>
                          <w:alias w:val="Numeris"/>
                          <w:tag w:val="nr_de4df1aa5d4949379fc71905dbd59ccf"/>
                          <w:lock w:val="sdtLocked"/>
                          <w:richText/>
                        </w:sdtPr>
                        <w:sdtContent>
                          <w:r>
                            <w:rPr>
                              <w:color w:val="000000"/>
                              <w:szCs w:val="24"/>
                            </w:rPr>
                            <w:t>10.2</w:t>
                          </w:r>
                        </w:sdtContent>
                      </w:sdt>
                      <w:r>
                        <w:rPr>
                          <w:color w:val="000000"/>
                          <w:szCs w:val="24"/>
                        </w:rPr>
                        <w:t>. apskaičiuojant skaitiklį, t. y. transporto sektoriaus suvartojamos atsinaujinančių išteklių energijos kiekį, įskaičiuojama visų rūšių atsinaujinančių išteklių energija, sunaudojama visų rūšių transporto;</w:t>
                      </w:r>
                    </w:p>
                  </w:sdtContent>
                </w:sdt>
                <w:sdt>
                  <w:sdtPr>
                    <w:alias w:val="10.3 pp."/>
                    <w:tag w:val="part_d1191d52116243f28627411b65b95a46"/>
                    <w:lock w:val="sdtLocked"/>
                    <w:richText/>
                  </w:sdtPr>
                  <w:sdtContent>
                    <w:p>
                      <w:pPr>
                        <w:ind w:firstLine="567"/>
                        <w:jc w:val="both"/>
                        <w:rPr>
                          <w:color w:val="000000"/>
                          <w:szCs w:val="24"/>
                        </w:rPr>
                      </w:pPr>
                      <w:sdt>
                        <w:sdtPr>
                          <w:alias w:val="Numeris"/>
                          <w:tag w:val="nr_d1191d52116243f28627411b65b95a46"/>
                          <w:lock w:val="sdtLocked"/>
                          <w:richText/>
                        </w:sdtPr>
                        <w:sdtContent>
                          <w:r>
                            <w:rPr>
                              <w:color w:val="000000"/>
                              <w:szCs w:val="24"/>
                            </w:rPr>
                            <w:t>10.3</w:t>
                          </w:r>
                        </w:sdtContent>
                      </w:sdt>
                      <w:r>
                        <w:rPr>
                          <w:color w:val="000000"/>
                          <w:szCs w:val="24"/>
                        </w:rPr>
                        <w:t>. apskaičiuojant elektros energijos, kuri gaminama iš atsinaujinančių išteklių ir naudojama visų rūšių elektrinių kelių transporto priemonių</w:t>
                      </w:r>
                      <w:r>
                        <w:rPr>
                          <w:color w:val="000000"/>
                          <w:sz w:val="22"/>
                          <w:szCs w:val="22"/>
                        </w:rPr>
                        <w:t xml:space="preserve"> </w:t>
                      </w:r>
                      <w:r>
                        <w:rPr>
                          <w:color w:val="000000"/>
                          <w:szCs w:val="24"/>
                        </w:rPr>
                        <w:t xml:space="preserve">bei gaminant nebiologinius skystuosius ir dujinius degalus, dalį, galima pasirinkti elektros energijos iš atsinaujinančių energijos išteklių dalies Europos Sąjungoje vidurkį arba šalyje pagamintos elektros energijos iš atsinaujinančių energijos išteklių dalį, nustatytą prieš dvejus metus iki nagrinėjamų metų, be to, apskaičiuojant  elektrifikuoto geležinkelio transporto priemonių sunaudotos elektros energijos iš atsinaujinančių energijos išteklių kiekį, laikoma, kad tas sunaudotas kiekis yra 2,5 karto didesnis už faktines elektros energijos iš atsinaujinančių energijos išteklių sąnaudas. Apskaičiuojant elektrinių kelių transporto priemonių suvartotos elektros energijos iš atsinaujinančių energijos išteklių kiekį, kaip nurodyta Metodikos 10.2 papunktyje, laikoma, kad tas suvartotas kiekis yra 5 kartus didesnis nei faktinės elektros energijos iš atsinaujinančių energijos išteklių sąnaudos;</w:t>
                      </w:r>
                    </w:p>
                  </w:sdtContent>
                </w:sdt>
                <w:sdt>
                  <w:sdtPr>
                    <w:alias w:val="10.4 pp."/>
                    <w:tag w:val="part_6b0f22346e71470d8ab47634bcc0a346"/>
                    <w:lock w:val="sdtLocked"/>
                    <w:richText/>
                  </w:sdtPr>
                  <w:sdtContent>
                    <w:p>
                      <w:pPr>
                        <w:ind w:firstLine="567"/>
                        <w:jc w:val="both"/>
                        <w:rPr>
                          <w:color w:val="000000"/>
                          <w:szCs w:val="24"/>
                        </w:rPr>
                      </w:pPr>
                      <w:sdt>
                        <w:sdtPr>
                          <w:alias w:val="Numeris"/>
                          <w:tag w:val="nr_6b0f22346e71470d8ab47634bcc0a346"/>
                          <w:lock w:val="sdtLocked"/>
                          <w:richText/>
                        </w:sdtPr>
                        <w:sdtContent>
                          <w:r>
                            <w:rPr>
                              <w:color w:val="000000"/>
                              <w:szCs w:val="24"/>
                            </w:rPr>
                            <w:t>10.4</w:t>
                          </w:r>
                        </w:sdtContent>
                      </w:sdt>
                      <w:r>
                        <w:rPr>
                          <w:color w:val="000000"/>
                          <w:szCs w:val="24"/>
                        </w:rPr>
                        <w:t>.</w:t>
                      </w:r>
                      <w:r>
                        <w:rPr>
                          <w:szCs w:val="24"/>
                        </w:rPr>
                        <w:t xml:space="preserve"> </w:t>
                      </w:r>
                      <w:r>
                        <w:rPr>
                          <w:color w:val="000000"/>
                          <w:szCs w:val="24"/>
                        </w:rPr>
                        <w:t>apskaičiuojant biodegalus skaitiklyje, iš javų bei kitų krakmolingųjų augalų, cukrų, aliejinių augalų bei augalų, auginamų žemės ūkio paskirties žemėje kaip pagrindinis pasėlis visų pirma energijos gamybos tikslais, pagamintų biodegalų energijos dalis turi būti ne didesnė kaip 7 procentai, palyginanti su galutiniu transporto sektoriuje suvartojamu energijos kiekiu;</w:t>
                      </w:r>
                    </w:p>
                  </w:sdtContent>
                </w:sdt>
                <w:sdt>
                  <w:sdtPr>
                    <w:alias w:val="10.5 pp."/>
                    <w:tag w:val="part_2ba00e27cca646dcb627082967a67a47"/>
                    <w:lock w:val="sdtLocked"/>
                    <w:richText/>
                  </w:sdtPr>
                  <w:sdtContent>
                    <w:p>
                      <w:pPr>
                        <w:ind w:firstLine="567"/>
                        <w:jc w:val="both"/>
                        <w:rPr>
                          <w:color w:val="000000"/>
                          <w:szCs w:val="24"/>
                        </w:rPr>
                      </w:pPr>
                      <w:sdt>
                        <w:sdtPr>
                          <w:alias w:val="Numeris"/>
                          <w:tag w:val="nr_2ba00e27cca646dcb627082967a67a47"/>
                          <w:lock w:val="sdtLocked"/>
                          <w:richText/>
                        </w:sdtPr>
                        <w:sdtContent>
                          <w:r>
                            <w:rPr>
                              <w:color w:val="000000"/>
                              <w:szCs w:val="24"/>
                            </w:rPr>
                            <w:t>10.5</w:t>
                          </w:r>
                        </w:sdtContent>
                      </w:sdt>
                      <w:r>
                        <w:rPr>
                          <w:color w:val="000000"/>
                          <w:szCs w:val="24"/>
                        </w:rPr>
                        <w:t>. biodegalai, pagaminti iš Metodikos 12 punkte išvardintų žaliavų, neįskaitomi į Metodikos 10.4 papunktyje nustatytą ribą;</w:t>
                      </w:r>
                    </w:p>
                  </w:sdtContent>
                </w:sdt>
                <w:sdt>
                  <w:sdtPr>
                    <w:alias w:val="10.6 pp."/>
                    <w:tag w:val="part_7731520fd1ef4671b2d6fe3329db094a"/>
                    <w:lock w:val="sdtLocked"/>
                    <w:richText/>
                  </w:sdtPr>
                  <w:sdtContent>
                    <w:p>
                      <w:pPr>
                        <w:ind w:firstLine="567"/>
                        <w:jc w:val="both"/>
                        <w:rPr>
                          <w:color w:val="000000"/>
                          <w:szCs w:val="24"/>
                        </w:rPr>
                      </w:pPr>
                      <w:sdt>
                        <w:sdtPr>
                          <w:alias w:val="Numeris"/>
                          <w:tag w:val="nr_7731520fd1ef4671b2d6fe3329db094a"/>
                          <w:lock w:val="sdtLocked"/>
                          <w:richText/>
                        </w:sdtPr>
                        <w:sdtContent>
                          <w:r>
                            <w:rPr>
                              <w:color w:val="000000"/>
                              <w:szCs w:val="24"/>
                            </w:rPr>
                            <w:t>10.6</w:t>
                          </w:r>
                        </w:sdtContent>
                      </w:sdt>
                      <w:r>
                        <w:rPr>
                          <w:color w:val="000000"/>
                          <w:szCs w:val="24"/>
                        </w:rPr>
                        <w:t>. iš žemės ūkio paskirties žemėje energijos gamybos tikslais kaip pagrindinis pasėlis auginamų augalų, išskyrus krakmolinguosius augalus, cukrus ir aliejinius augalus, pagamintų biodegalų energijos dalis įskaitoma į Metodikos 10.4 papunktyje nustatytą ribą;</w:t>
                      </w:r>
                    </w:p>
                  </w:sdtContent>
                </w:sdt>
                <w:sdt>
                  <w:sdtPr>
                    <w:alias w:val="10.7 pp."/>
                    <w:tag w:val="part_7dd3ea688cb04d3dabd0844acd081bc7"/>
                    <w:lock w:val="sdtLocked"/>
                    <w:richText/>
                  </w:sdtPr>
                  <w:sdtContent>
                    <w:p>
                      <w:pPr>
                        <w:ind w:firstLine="567"/>
                        <w:jc w:val="both"/>
                        <w:rPr>
                          <w:szCs w:val="24"/>
                          <w:lang w:eastAsia="ar-SA"/>
                        </w:rPr>
                      </w:pPr>
                      <w:sdt>
                        <w:sdtPr>
                          <w:alias w:val="Numeris"/>
                          <w:tag w:val="nr_7dd3ea688cb04d3dabd0844acd081bc7"/>
                          <w:lock w:val="sdtLocked"/>
                          <w:richText/>
                        </w:sdtPr>
                        <w:sdtContent>
                          <w:r>
                            <w:rPr>
                              <w:szCs w:val="24"/>
                              <w:lang w:eastAsia="ar-SA"/>
                            </w:rPr>
                            <w:t>10.7</w:t>
                          </w:r>
                        </w:sdtContent>
                      </w:sdt>
                      <w:r>
                        <w:rPr>
                          <w:szCs w:val="24"/>
                          <w:lang w:eastAsia="ar-SA"/>
                        </w:rPr>
                        <w:t>. biodegalų, pagamintų iš žaliavų, nurodytų Metodikos 12 ir 13 punktuose, dalis laikoma du kartus didesne už jų energetinę vertę;</w:t>
                      </w:r>
                    </w:p>
                  </w:sdtContent>
                </w:sdt>
                <w:sdt>
                  <w:sdtPr>
                    <w:alias w:val="10.8 pp."/>
                    <w:tag w:val="part_ffa813ca59c44021b8be11512c8a52aa"/>
                    <w:lock w:val="sdtLocked"/>
                    <w:richText/>
                  </w:sdtPr>
                  <w:sdtContent>
                    <w:p>
                      <w:pPr>
                        <w:ind w:firstLine="567"/>
                        <w:jc w:val="both"/>
                        <w:rPr>
                          <w:color w:val="000000"/>
                          <w:szCs w:val="24"/>
                        </w:rPr>
                      </w:pPr>
                      <w:sdt>
                        <w:sdtPr>
                          <w:alias w:val="Numeris"/>
                          <w:tag w:val="nr_ffa813ca59c44021b8be11512c8a52aa"/>
                          <w:lock w:val="sdtLocked"/>
                          <w:richText/>
                        </w:sdtPr>
                        <w:sdtContent>
                          <w:r>
                            <w:rPr>
                              <w:szCs w:val="24"/>
                              <w:lang w:eastAsia="ar-SA"/>
                            </w:rPr>
                            <w:t>10.8</w:t>
                          </w:r>
                        </w:sdtContent>
                      </w:sdt>
                      <w:r>
                        <w:rPr>
                          <w:szCs w:val="24"/>
                          <w:lang w:eastAsia="ar-SA"/>
                        </w:rPr>
                        <w:t>.</w:t>
                      </w:r>
                      <w:r>
                        <w:rPr>
                          <w:sz w:val="22"/>
                          <w:szCs w:val="22"/>
                        </w:rPr>
                        <w:t xml:space="preserve"> </w:t>
                      </w:r>
                      <w:r>
                        <w:rPr>
                          <w:szCs w:val="24"/>
                        </w:rPr>
                        <w:t>a</w:t>
                      </w:r>
                      <w:r>
                        <w:rPr>
                          <w:szCs w:val="24"/>
                          <w:lang w:eastAsia="ar-SA"/>
                        </w:rPr>
                        <w:t xml:space="preserve">pskaičiuojant biodegalų, pagamintų iš žaliavų, nurodytų Metodikos 12 ir 13 punktuose, ir kitų žaliavų, kurių dalis nėra laikoma du kartus didesne už jų energetinę vertę, energijos dalį taikomas proporcingumo principas ir energijos dalis apskaičiuojama proporcingai sunaudotų žaliavų kiekiams. </w:t>
                      </w:r>
                    </w:p>
                  </w:sdtContent>
                </w:sdt>
              </w:sdtContent>
            </w:sdt>
            <w:sdt>
              <w:sdtPr>
                <w:alias w:val="11 p."/>
                <w:tag w:val="part_7bda5e8d68a945e69dfe6d0f1be0b596"/>
                <w:lock w:val="sdtLocked"/>
                <w:richText/>
              </w:sdtPr>
              <w:sdtContent>
                <w:p>
                  <w:pPr>
                    <w:ind w:firstLine="567"/>
                    <w:jc w:val="both"/>
                    <w:rPr>
                      <w:szCs w:val="24"/>
                    </w:rPr>
                  </w:pPr>
                  <w:sdt>
                    <w:sdtPr>
                      <w:alias w:val="Numeris"/>
                      <w:tag w:val="nr_7bda5e8d68a945e69dfe6d0f1be0b596"/>
                      <w:lock w:val="sdtLocked"/>
                      <w:richText/>
                    </w:sdtPr>
                    <w:sdtContent>
                      <w:r>
                        <w:rPr>
                          <w:szCs w:val="24"/>
                        </w:rPr>
                        <w:t>11</w:t>
                      </w:r>
                    </w:sdtContent>
                  </w:sdt>
                  <w:r>
                    <w:rPr>
                      <w:szCs w:val="24"/>
                    </w:rPr>
                    <w:t xml:space="preserve">. Transporto kuro energetinė vertė nustatoma pagal šioje lentelėje nurodytus duomenis: </w:t>
                  </w:r>
                </w:p>
                <w:p>
                  <w:pPr>
                    <w:rPr>
                      <w:color w:val="000000"/>
                      <w:szCs w:val="24"/>
                    </w:rPr>
                  </w:pPr>
                </w:p>
                <w:tbl>
                  <w:tblPr>
                    <w:tblW w:w="99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04"/>
                    <w:gridCol w:w="4893"/>
                    <w:gridCol w:w="2183"/>
                    <w:gridCol w:w="2182"/>
                  </w:tblGrid>
                  <w:tr>
                    <w:trPr>
                      <w:trHeight w:val="20"/>
                      <w:tblHeader/>
                    </w:trPr>
                    <w:tc>
                      <w:tcPr>
                        <w:tcW w:w="704" w:type="dxa"/>
                      </w:tcPr>
                      <w:p>
                        <w:pPr>
                          <w:jc w:val="center"/>
                          <w:rPr>
                            <w:color w:val="000000"/>
                            <w:szCs w:val="24"/>
                          </w:rPr>
                        </w:pPr>
                        <w:r>
                          <w:rPr>
                            <w:color w:val="000000"/>
                            <w:szCs w:val="24"/>
                          </w:rPr>
                          <w:t>Eil.</w:t>
                        </w:r>
                      </w:p>
                      <w:p>
                        <w:pPr>
                          <w:jc w:val="center"/>
                          <w:rPr>
                            <w:color w:val="000000"/>
                            <w:szCs w:val="24"/>
                          </w:rPr>
                        </w:pPr>
                        <w:r>
                          <w:rPr>
                            <w:color w:val="000000"/>
                            <w:szCs w:val="24"/>
                          </w:rPr>
                          <w:t>Nr.</w:t>
                        </w:r>
                      </w:p>
                    </w:tc>
                    <w:tc>
                      <w:tcPr>
                        <w:tcW w:w="4893" w:type="dxa"/>
                        <w:vAlign w:val="center"/>
                      </w:tcPr>
                      <w:p>
                        <w:pPr>
                          <w:jc w:val="center"/>
                          <w:rPr>
                            <w:bCs/>
                            <w:color w:val="000000"/>
                            <w:szCs w:val="24"/>
                          </w:rPr>
                        </w:pPr>
                        <w:r>
                          <w:rPr>
                            <w:color w:val="000000"/>
                            <w:szCs w:val="24"/>
                          </w:rPr>
                          <w:t>Kuras</w:t>
                        </w:r>
                      </w:p>
                    </w:tc>
                    <w:tc>
                      <w:tcPr>
                        <w:tcW w:w="2183" w:type="dxa"/>
                        <w:vAlign w:val="center"/>
                      </w:tcPr>
                      <w:p>
                        <w:pPr>
                          <w:jc w:val="center"/>
                          <w:rPr>
                            <w:color w:val="000000"/>
                            <w:szCs w:val="24"/>
                          </w:rPr>
                        </w:pPr>
                        <w:r>
                          <w:rPr>
                            <w:color w:val="000000"/>
                            <w:szCs w:val="24"/>
                          </w:rPr>
                          <w:t>Energetinė vertė pagal masę (žemutinė kuro degimo šiluma, MJ/kg)</w:t>
                        </w:r>
                      </w:p>
                    </w:tc>
                    <w:tc>
                      <w:tcPr>
                        <w:tcW w:w="2182" w:type="dxa"/>
                        <w:vAlign w:val="center"/>
                      </w:tcPr>
                      <w:p>
                        <w:pPr>
                          <w:jc w:val="center"/>
                          <w:rPr>
                            <w:color w:val="000000"/>
                            <w:szCs w:val="24"/>
                          </w:rPr>
                        </w:pPr>
                        <w:r>
                          <w:rPr>
                            <w:color w:val="000000"/>
                            <w:szCs w:val="24"/>
                          </w:rPr>
                          <w:t>Energetinė vertė pagal tūrį (žemutinė kuro degimo šiluma, MJ/l)</w:t>
                        </w:r>
                      </w:p>
                    </w:tc>
                  </w:tr>
                  <w:tr>
                    <w:trPr>
                      <w:trHeight w:val="20"/>
                    </w:trPr>
                    <w:tc>
                      <w:tcPr>
                        <w:tcW w:w="704" w:type="dxa"/>
                      </w:tcPr>
                      <w:p>
                        <w:pPr>
                          <w:rPr>
                            <w:color w:val="000000"/>
                            <w:szCs w:val="24"/>
                          </w:rPr>
                        </w:pPr>
                        <w:r>
                          <w:rPr>
                            <w:color w:val="000000"/>
                            <w:szCs w:val="24"/>
                          </w:rPr>
                          <w:t>1</w:t>
                        </w:r>
                      </w:p>
                    </w:tc>
                    <w:tc>
                      <w:tcPr>
                        <w:tcW w:w="4893" w:type="dxa"/>
                      </w:tcPr>
                      <w:p>
                        <w:pPr>
                          <w:rPr>
                            <w:color w:val="000000"/>
                            <w:szCs w:val="24"/>
                          </w:rPr>
                        </w:pPr>
                        <w:r>
                          <w:rPr>
                            <w:color w:val="000000"/>
                            <w:szCs w:val="24"/>
                          </w:rPr>
                          <w:t>Bioetanolis (iš biomasės pagamintas etanolis)</w:t>
                        </w:r>
                      </w:p>
                    </w:tc>
                    <w:tc>
                      <w:tcPr>
                        <w:tcW w:w="2183" w:type="dxa"/>
                      </w:tcPr>
                      <w:p>
                        <w:pPr>
                          <w:jc w:val="center"/>
                          <w:rPr>
                            <w:color w:val="000000"/>
                            <w:szCs w:val="24"/>
                          </w:rPr>
                        </w:pPr>
                        <w:r>
                          <w:rPr>
                            <w:color w:val="000000"/>
                            <w:szCs w:val="24"/>
                          </w:rPr>
                          <w:t>27</w:t>
                        </w:r>
                      </w:p>
                    </w:tc>
                    <w:tc>
                      <w:tcPr>
                        <w:tcW w:w="2182" w:type="dxa"/>
                      </w:tcPr>
                      <w:p>
                        <w:pPr>
                          <w:jc w:val="center"/>
                          <w:rPr>
                            <w:color w:val="000000"/>
                            <w:szCs w:val="24"/>
                          </w:rPr>
                        </w:pPr>
                        <w:r>
                          <w:rPr>
                            <w:color w:val="000000"/>
                            <w:szCs w:val="24"/>
                          </w:rPr>
                          <w:t>21</w:t>
                        </w:r>
                      </w:p>
                    </w:tc>
                  </w:tr>
                  <w:tr>
                    <w:trPr>
                      <w:trHeight w:val="20"/>
                    </w:trPr>
                    <w:tc>
                      <w:tcPr>
                        <w:tcW w:w="704" w:type="dxa"/>
                      </w:tcPr>
                      <w:p>
                        <w:pPr>
                          <w:rPr>
                            <w:color w:val="000000"/>
                            <w:szCs w:val="24"/>
                          </w:rPr>
                        </w:pPr>
                        <w:r>
                          <w:rPr>
                            <w:color w:val="000000"/>
                            <w:szCs w:val="24"/>
                          </w:rPr>
                          <w:t>2</w:t>
                        </w:r>
                      </w:p>
                    </w:tc>
                    <w:tc>
                      <w:tcPr>
                        <w:tcW w:w="4893" w:type="dxa"/>
                      </w:tcPr>
                      <w:p>
                        <w:pPr>
                          <w:rPr>
                            <w:color w:val="000000"/>
                            <w:szCs w:val="24"/>
                          </w:rPr>
                        </w:pPr>
                        <w:r>
                          <w:rPr>
                            <w:color w:val="000000"/>
                            <w:szCs w:val="24"/>
                          </w:rPr>
                          <w:t>Bio-ETBE (etil-tret-butileteris, pagamintas iš bioetanolio)</w:t>
                        </w:r>
                      </w:p>
                    </w:tc>
                    <w:tc>
                      <w:tcPr>
                        <w:tcW w:w="2183" w:type="dxa"/>
                      </w:tcPr>
                      <w:p>
                        <w:pPr>
                          <w:jc w:val="center"/>
                          <w:rPr>
                            <w:color w:val="000000"/>
                            <w:szCs w:val="24"/>
                          </w:rPr>
                        </w:pPr>
                        <w:r>
                          <w:rPr>
                            <w:color w:val="000000"/>
                            <w:szCs w:val="24"/>
                          </w:rPr>
                          <w:t>36 (iš kurių 37 procentai iš atsinaujinančių išteklių)</w:t>
                        </w:r>
                      </w:p>
                    </w:tc>
                    <w:tc>
                      <w:tcPr>
                        <w:tcW w:w="2182" w:type="dxa"/>
                      </w:tcPr>
                      <w:p>
                        <w:pPr>
                          <w:jc w:val="center"/>
                          <w:rPr>
                            <w:color w:val="000000"/>
                            <w:szCs w:val="24"/>
                          </w:rPr>
                        </w:pPr>
                        <w:r>
                          <w:rPr>
                            <w:color w:val="000000"/>
                            <w:szCs w:val="24"/>
                          </w:rPr>
                          <w:t>27 (iš kurių 37 procentai iš atsinaujinančių išteklių)</w:t>
                        </w:r>
                      </w:p>
                    </w:tc>
                  </w:tr>
                  <w:tr>
                    <w:trPr>
                      <w:trHeight w:val="20"/>
                    </w:trPr>
                    <w:tc>
                      <w:tcPr>
                        <w:tcW w:w="704" w:type="dxa"/>
                      </w:tcPr>
                      <w:p>
                        <w:pPr>
                          <w:rPr>
                            <w:color w:val="000000"/>
                            <w:szCs w:val="24"/>
                          </w:rPr>
                        </w:pPr>
                        <w:r>
                          <w:rPr>
                            <w:color w:val="000000"/>
                            <w:szCs w:val="24"/>
                          </w:rPr>
                          <w:t>3</w:t>
                        </w:r>
                      </w:p>
                    </w:tc>
                    <w:tc>
                      <w:tcPr>
                        <w:tcW w:w="4893" w:type="dxa"/>
                      </w:tcPr>
                      <w:p>
                        <w:pPr>
                          <w:rPr>
                            <w:color w:val="000000"/>
                            <w:szCs w:val="24"/>
                          </w:rPr>
                        </w:pPr>
                        <w:r>
                          <w:rPr>
                            <w:color w:val="000000"/>
                            <w:szCs w:val="24"/>
                          </w:rPr>
                          <w:t>Biometanolis (iš biomasės pagamintas metanolis, naudotinas kaip biodegalai)</w:t>
                        </w:r>
                      </w:p>
                    </w:tc>
                    <w:tc>
                      <w:tcPr>
                        <w:tcW w:w="2183" w:type="dxa"/>
                      </w:tcPr>
                      <w:p>
                        <w:pPr>
                          <w:jc w:val="center"/>
                          <w:rPr>
                            <w:color w:val="000000"/>
                            <w:szCs w:val="24"/>
                          </w:rPr>
                        </w:pPr>
                        <w:r>
                          <w:rPr>
                            <w:color w:val="000000"/>
                            <w:szCs w:val="24"/>
                          </w:rPr>
                          <w:t>20</w:t>
                        </w:r>
                      </w:p>
                    </w:tc>
                    <w:tc>
                      <w:tcPr>
                        <w:tcW w:w="2182" w:type="dxa"/>
                      </w:tcPr>
                      <w:p>
                        <w:pPr>
                          <w:jc w:val="center"/>
                          <w:rPr>
                            <w:color w:val="000000"/>
                            <w:szCs w:val="24"/>
                          </w:rPr>
                        </w:pPr>
                        <w:r>
                          <w:rPr>
                            <w:color w:val="000000"/>
                            <w:szCs w:val="24"/>
                          </w:rPr>
                          <w:t>16</w:t>
                        </w:r>
                      </w:p>
                    </w:tc>
                  </w:tr>
                  <w:tr>
                    <w:trPr>
                      <w:trHeight w:val="20"/>
                    </w:trPr>
                    <w:tc>
                      <w:tcPr>
                        <w:tcW w:w="704" w:type="dxa"/>
                      </w:tcPr>
                      <w:p>
                        <w:pPr>
                          <w:rPr>
                            <w:color w:val="000000"/>
                            <w:szCs w:val="24"/>
                          </w:rPr>
                        </w:pPr>
                        <w:r>
                          <w:rPr>
                            <w:color w:val="000000"/>
                            <w:szCs w:val="24"/>
                          </w:rPr>
                          <w:t>4</w:t>
                        </w:r>
                      </w:p>
                    </w:tc>
                    <w:tc>
                      <w:tcPr>
                        <w:tcW w:w="4893" w:type="dxa"/>
                      </w:tcPr>
                      <w:p>
                        <w:pPr>
                          <w:rPr>
                            <w:color w:val="000000"/>
                            <w:szCs w:val="24"/>
                          </w:rPr>
                        </w:pPr>
                        <w:r>
                          <w:rPr>
                            <w:color w:val="000000"/>
                            <w:szCs w:val="24"/>
                          </w:rPr>
                          <w:t>Bio-MTBE (metil-tret-butileteris, pagamintas iš biometanolio)</w:t>
                        </w:r>
                      </w:p>
                    </w:tc>
                    <w:tc>
                      <w:tcPr>
                        <w:tcW w:w="2183" w:type="dxa"/>
                      </w:tcPr>
                      <w:p>
                        <w:pPr>
                          <w:jc w:val="center"/>
                          <w:rPr>
                            <w:color w:val="000000"/>
                            <w:szCs w:val="24"/>
                          </w:rPr>
                        </w:pPr>
                        <w:r>
                          <w:rPr>
                            <w:color w:val="000000"/>
                            <w:szCs w:val="24"/>
                          </w:rPr>
                          <w:t>35 (iš kurių 22 procentai iš atsinaujinančių išteklių)</w:t>
                        </w:r>
                      </w:p>
                    </w:tc>
                    <w:tc>
                      <w:tcPr>
                        <w:tcW w:w="2182" w:type="dxa"/>
                      </w:tcPr>
                      <w:p>
                        <w:pPr>
                          <w:jc w:val="center"/>
                          <w:rPr>
                            <w:color w:val="000000"/>
                            <w:szCs w:val="24"/>
                          </w:rPr>
                        </w:pPr>
                        <w:r>
                          <w:rPr>
                            <w:color w:val="000000"/>
                            <w:szCs w:val="24"/>
                          </w:rPr>
                          <w:t>26 (iš kurių 22 procentai iš atsinaujinančių išteklių)</w:t>
                        </w:r>
                      </w:p>
                    </w:tc>
                  </w:tr>
                  <w:tr>
                    <w:trPr>
                      <w:trHeight w:val="20"/>
                    </w:trPr>
                    <w:tc>
                      <w:tcPr>
                        <w:tcW w:w="704" w:type="dxa"/>
                      </w:tcPr>
                      <w:p>
                        <w:pPr>
                          <w:rPr>
                            <w:color w:val="000000"/>
                            <w:szCs w:val="24"/>
                          </w:rPr>
                        </w:pPr>
                        <w:r>
                          <w:rPr>
                            <w:color w:val="000000"/>
                            <w:szCs w:val="24"/>
                          </w:rPr>
                          <w:t>5</w:t>
                        </w:r>
                      </w:p>
                    </w:tc>
                    <w:tc>
                      <w:tcPr>
                        <w:tcW w:w="4893" w:type="dxa"/>
                      </w:tcPr>
                      <w:p>
                        <w:pPr>
                          <w:rPr>
                            <w:color w:val="000000"/>
                            <w:szCs w:val="24"/>
                          </w:rPr>
                        </w:pPr>
                        <w:r>
                          <w:rPr>
                            <w:color w:val="000000"/>
                            <w:szCs w:val="24"/>
                          </w:rPr>
                          <w:t>Bio-DME (iš biomasės pagamintas dimetileteris, naudotinas kaip biodegalai)</w:t>
                        </w:r>
                      </w:p>
                    </w:tc>
                    <w:tc>
                      <w:tcPr>
                        <w:tcW w:w="2183" w:type="dxa"/>
                      </w:tcPr>
                      <w:p>
                        <w:pPr>
                          <w:jc w:val="center"/>
                          <w:rPr>
                            <w:color w:val="000000"/>
                            <w:szCs w:val="24"/>
                          </w:rPr>
                        </w:pPr>
                        <w:r>
                          <w:rPr>
                            <w:color w:val="000000"/>
                            <w:szCs w:val="24"/>
                          </w:rPr>
                          <w:t>28</w:t>
                        </w:r>
                      </w:p>
                    </w:tc>
                    <w:tc>
                      <w:tcPr>
                        <w:tcW w:w="2182" w:type="dxa"/>
                      </w:tcPr>
                      <w:p>
                        <w:pPr>
                          <w:jc w:val="center"/>
                          <w:rPr>
                            <w:color w:val="000000"/>
                            <w:szCs w:val="24"/>
                          </w:rPr>
                        </w:pPr>
                        <w:r>
                          <w:rPr>
                            <w:color w:val="000000"/>
                            <w:szCs w:val="24"/>
                          </w:rPr>
                          <w:t>19</w:t>
                        </w:r>
                      </w:p>
                    </w:tc>
                  </w:tr>
                  <w:tr>
                    <w:trPr>
                      <w:trHeight w:val="20"/>
                    </w:trPr>
                    <w:tc>
                      <w:tcPr>
                        <w:tcW w:w="704" w:type="dxa"/>
                      </w:tcPr>
                      <w:p>
                        <w:pPr>
                          <w:rPr>
                            <w:color w:val="000000"/>
                            <w:szCs w:val="24"/>
                          </w:rPr>
                        </w:pPr>
                        <w:r>
                          <w:rPr>
                            <w:color w:val="000000"/>
                            <w:szCs w:val="24"/>
                          </w:rPr>
                          <w:t>6</w:t>
                        </w:r>
                      </w:p>
                    </w:tc>
                    <w:tc>
                      <w:tcPr>
                        <w:tcW w:w="4893" w:type="dxa"/>
                      </w:tcPr>
                      <w:p>
                        <w:pPr>
                          <w:rPr>
                            <w:color w:val="000000"/>
                            <w:szCs w:val="24"/>
                          </w:rPr>
                        </w:pPr>
                        <w:r>
                          <w:rPr>
                            <w:color w:val="000000"/>
                            <w:szCs w:val="24"/>
                          </w:rPr>
                          <w:t>Bio-TAEE (tret-amiletileteris, pagamintas iš bioetanolio)</w:t>
                        </w:r>
                      </w:p>
                    </w:tc>
                    <w:tc>
                      <w:tcPr>
                        <w:tcW w:w="2183" w:type="dxa"/>
                      </w:tcPr>
                      <w:p>
                        <w:pPr>
                          <w:jc w:val="center"/>
                          <w:rPr>
                            <w:color w:val="000000"/>
                            <w:szCs w:val="24"/>
                          </w:rPr>
                        </w:pPr>
                        <w:r>
                          <w:rPr>
                            <w:color w:val="000000"/>
                            <w:szCs w:val="24"/>
                          </w:rPr>
                          <w:t>38 (iš kurių 29 procentai iš atsinaujinančių išteklių)</w:t>
                        </w:r>
                      </w:p>
                    </w:tc>
                    <w:tc>
                      <w:tcPr>
                        <w:tcW w:w="2182" w:type="dxa"/>
                      </w:tcPr>
                      <w:p>
                        <w:pPr>
                          <w:jc w:val="center"/>
                          <w:rPr>
                            <w:color w:val="000000"/>
                            <w:szCs w:val="24"/>
                          </w:rPr>
                        </w:pPr>
                        <w:r>
                          <w:rPr>
                            <w:color w:val="000000"/>
                            <w:szCs w:val="24"/>
                          </w:rPr>
                          <w:t>29 (iš kurių 29 procentai iš atsinaujinančių išteklių)</w:t>
                        </w:r>
                      </w:p>
                    </w:tc>
                  </w:tr>
                  <w:tr>
                    <w:trPr>
                      <w:trHeight w:val="20"/>
                    </w:trPr>
                    <w:tc>
                      <w:tcPr>
                        <w:tcW w:w="704" w:type="dxa"/>
                      </w:tcPr>
                      <w:p>
                        <w:pPr>
                          <w:rPr>
                            <w:color w:val="000000"/>
                            <w:szCs w:val="24"/>
                          </w:rPr>
                        </w:pPr>
                        <w:r>
                          <w:rPr>
                            <w:color w:val="000000"/>
                            <w:szCs w:val="24"/>
                          </w:rPr>
                          <w:t>7</w:t>
                        </w:r>
                      </w:p>
                    </w:tc>
                    <w:tc>
                      <w:tcPr>
                        <w:tcW w:w="4893" w:type="dxa"/>
                      </w:tcPr>
                      <w:p>
                        <w:pPr>
                          <w:rPr>
                            <w:color w:val="000000"/>
                            <w:szCs w:val="24"/>
                          </w:rPr>
                        </w:pPr>
                        <w:r>
                          <w:rPr>
                            <w:color w:val="000000"/>
                            <w:szCs w:val="24"/>
                          </w:rPr>
                          <w:t>Biobutanolis (iš biomasės pagamintas butanolis, naudotinas kaip biodegalai)</w:t>
                        </w:r>
                      </w:p>
                    </w:tc>
                    <w:tc>
                      <w:tcPr>
                        <w:tcW w:w="2183" w:type="dxa"/>
                      </w:tcPr>
                      <w:p>
                        <w:pPr>
                          <w:jc w:val="center"/>
                          <w:rPr>
                            <w:color w:val="000000"/>
                            <w:szCs w:val="24"/>
                          </w:rPr>
                        </w:pPr>
                        <w:r>
                          <w:rPr>
                            <w:color w:val="000000"/>
                            <w:szCs w:val="24"/>
                          </w:rPr>
                          <w:t>33</w:t>
                        </w:r>
                      </w:p>
                    </w:tc>
                    <w:tc>
                      <w:tcPr>
                        <w:tcW w:w="2182" w:type="dxa"/>
                      </w:tcPr>
                      <w:p>
                        <w:pPr>
                          <w:jc w:val="center"/>
                          <w:rPr>
                            <w:color w:val="000000"/>
                            <w:szCs w:val="24"/>
                          </w:rPr>
                        </w:pPr>
                        <w:r>
                          <w:rPr>
                            <w:color w:val="000000"/>
                            <w:szCs w:val="24"/>
                          </w:rPr>
                          <w:t>27</w:t>
                        </w:r>
                      </w:p>
                    </w:tc>
                  </w:tr>
                  <w:tr>
                    <w:trPr>
                      <w:trHeight w:val="20"/>
                    </w:trPr>
                    <w:tc>
                      <w:tcPr>
                        <w:tcW w:w="704" w:type="dxa"/>
                      </w:tcPr>
                      <w:p>
                        <w:pPr>
                          <w:rPr>
                            <w:color w:val="000000"/>
                            <w:szCs w:val="24"/>
                          </w:rPr>
                        </w:pPr>
                        <w:r>
                          <w:rPr>
                            <w:color w:val="000000"/>
                            <w:szCs w:val="24"/>
                          </w:rPr>
                          <w:t>8</w:t>
                        </w:r>
                      </w:p>
                    </w:tc>
                    <w:tc>
                      <w:tcPr>
                        <w:tcW w:w="4893" w:type="dxa"/>
                      </w:tcPr>
                      <w:p>
                        <w:pPr>
                          <w:rPr>
                            <w:color w:val="000000"/>
                            <w:szCs w:val="24"/>
                          </w:rPr>
                        </w:pPr>
                        <w:r>
                          <w:rPr>
                            <w:color w:val="000000"/>
                            <w:szCs w:val="24"/>
                          </w:rPr>
                          <w:t>Biodyzelinas (metilesteris, pagamintas iš dyzelino kokybės augalinių arba gyvūninių aliejų, naudotinas kaip biodegalai)</w:t>
                        </w:r>
                      </w:p>
                    </w:tc>
                    <w:tc>
                      <w:tcPr>
                        <w:tcW w:w="2183" w:type="dxa"/>
                      </w:tcPr>
                      <w:p>
                        <w:pPr>
                          <w:jc w:val="center"/>
                          <w:rPr>
                            <w:color w:val="000000"/>
                            <w:szCs w:val="24"/>
                          </w:rPr>
                        </w:pPr>
                        <w:r>
                          <w:rPr>
                            <w:color w:val="000000"/>
                            <w:szCs w:val="24"/>
                          </w:rPr>
                          <w:t>37</w:t>
                        </w:r>
                      </w:p>
                    </w:tc>
                    <w:tc>
                      <w:tcPr>
                        <w:tcW w:w="2182" w:type="dxa"/>
                      </w:tcPr>
                      <w:p>
                        <w:pPr>
                          <w:jc w:val="center"/>
                          <w:rPr>
                            <w:color w:val="000000"/>
                            <w:szCs w:val="24"/>
                          </w:rPr>
                        </w:pPr>
                        <w:r>
                          <w:rPr>
                            <w:color w:val="000000"/>
                            <w:szCs w:val="24"/>
                          </w:rPr>
                          <w:t>33</w:t>
                        </w:r>
                      </w:p>
                    </w:tc>
                  </w:tr>
                  <w:tr>
                    <w:trPr>
                      <w:trHeight w:val="20"/>
                    </w:trPr>
                    <w:tc>
                      <w:tcPr>
                        <w:tcW w:w="704" w:type="dxa"/>
                      </w:tcPr>
                      <w:p>
                        <w:pPr>
                          <w:rPr>
                            <w:color w:val="000000"/>
                            <w:szCs w:val="24"/>
                          </w:rPr>
                        </w:pPr>
                        <w:r>
                          <w:rPr>
                            <w:color w:val="000000"/>
                            <w:szCs w:val="24"/>
                          </w:rPr>
                          <w:t>9</w:t>
                        </w:r>
                      </w:p>
                    </w:tc>
                    <w:tc>
                      <w:tcPr>
                        <w:tcW w:w="4893" w:type="dxa"/>
                      </w:tcPr>
                      <w:p>
                        <w:pPr>
                          <w:rPr>
                            <w:color w:val="000000"/>
                            <w:szCs w:val="24"/>
                          </w:rPr>
                        </w:pPr>
                        <w:r>
                          <w:rPr>
                            <w:color w:val="000000"/>
                            <w:szCs w:val="24"/>
                          </w:rPr>
                          <w:t>Fišerio-Tropšo biodyzelinas (iš biomasės pagamintas sintetinis angliavandenilis arba sintetinių angliavandenilių mišinys)</w:t>
                        </w:r>
                      </w:p>
                    </w:tc>
                    <w:tc>
                      <w:tcPr>
                        <w:tcW w:w="2183" w:type="dxa"/>
                      </w:tcPr>
                      <w:p>
                        <w:pPr>
                          <w:jc w:val="center"/>
                          <w:rPr>
                            <w:color w:val="000000"/>
                            <w:szCs w:val="24"/>
                          </w:rPr>
                        </w:pPr>
                        <w:r>
                          <w:rPr>
                            <w:color w:val="000000"/>
                            <w:szCs w:val="24"/>
                          </w:rPr>
                          <w:t>44</w:t>
                        </w:r>
                      </w:p>
                    </w:tc>
                    <w:tc>
                      <w:tcPr>
                        <w:tcW w:w="2182" w:type="dxa"/>
                      </w:tcPr>
                      <w:p>
                        <w:pPr>
                          <w:jc w:val="center"/>
                          <w:rPr>
                            <w:color w:val="000000"/>
                            <w:szCs w:val="24"/>
                          </w:rPr>
                        </w:pPr>
                        <w:r>
                          <w:rPr>
                            <w:color w:val="000000"/>
                            <w:szCs w:val="24"/>
                          </w:rPr>
                          <w:t>34</w:t>
                        </w:r>
                      </w:p>
                    </w:tc>
                  </w:tr>
                  <w:tr>
                    <w:trPr>
                      <w:trHeight w:val="20"/>
                    </w:trPr>
                    <w:tc>
                      <w:tcPr>
                        <w:tcW w:w="704" w:type="dxa"/>
                      </w:tcPr>
                      <w:p>
                        <w:pPr>
                          <w:rPr>
                            <w:color w:val="000000"/>
                            <w:szCs w:val="24"/>
                          </w:rPr>
                        </w:pPr>
                        <w:r>
                          <w:rPr>
                            <w:color w:val="000000"/>
                            <w:szCs w:val="24"/>
                          </w:rPr>
                          <w:t>10</w:t>
                        </w:r>
                      </w:p>
                    </w:tc>
                    <w:tc>
                      <w:tcPr>
                        <w:tcW w:w="4893" w:type="dxa"/>
                      </w:tcPr>
                      <w:p>
                        <w:pPr>
                          <w:rPr>
                            <w:color w:val="000000"/>
                            <w:szCs w:val="24"/>
                          </w:rPr>
                        </w:pPr>
                        <w:r>
                          <w:rPr>
                            <w:color w:val="000000"/>
                            <w:szCs w:val="24"/>
                          </w:rPr>
                          <w:t>Hidrinimu valytas augalinis aliejus (augalinis aliejus, termocheminiu būdu apdorotas vandeniliu)</w:t>
                        </w:r>
                      </w:p>
                    </w:tc>
                    <w:tc>
                      <w:tcPr>
                        <w:tcW w:w="2183" w:type="dxa"/>
                      </w:tcPr>
                      <w:p>
                        <w:pPr>
                          <w:jc w:val="center"/>
                          <w:rPr>
                            <w:color w:val="000000"/>
                            <w:szCs w:val="24"/>
                          </w:rPr>
                        </w:pPr>
                        <w:r>
                          <w:rPr>
                            <w:color w:val="000000"/>
                            <w:szCs w:val="24"/>
                          </w:rPr>
                          <w:t>44</w:t>
                        </w:r>
                      </w:p>
                    </w:tc>
                    <w:tc>
                      <w:tcPr>
                        <w:tcW w:w="2182" w:type="dxa"/>
                      </w:tcPr>
                      <w:p>
                        <w:pPr>
                          <w:jc w:val="center"/>
                          <w:rPr>
                            <w:color w:val="000000"/>
                            <w:szCs w:val="24"/>
                          </w:rPr>
                        </w:pPr>
                        <w:r>
                          <w:rPr>
                            <w:color w:val="000000"/>
                            <w:szCs w:val="24"/>
                          </w:rPr>
                          <w:t>34</w:t>
                        </w:r>
                      </w:p>
                    </w:tc>
                  </w:tr>
                  <w:tr>
                    <w:trPr>
                      <w:trHeight w:val="20"/>
                    </w:trPr>
                    <w:tc>
                      <w:tcPr>
                        <w:tcW w:w="704" w:type="dxa"/>
                      </w:tcPr>
                      <w:p>
                        <w:pPr>
                          <w:rPr>
                            <w:color w:val="000000"/>
                            <w:szCs w:val="24"/>
                          </w:rPr>
                        </w:pPr>
                        <w:r>
                          <w:rPr>
                            <w:color w:val="000000"/>
                            <w:szCs w:val="24"/>
                          </w:rPr>
                          <w:t>11</w:t>
                        </w:r>
                      </w:p>
                    </w:tc>
                    <w:tc>
                      <w:tcPr>
                        <w:tcW w:w="4893" w:type="dxa"/>
                      </w:tcPr>
                      <w:p>
                        <w:pPr>
                          <w:rPr>
                            <w:color w:val="000000"/>
                            <w:szCs w:val="24"/>
                          </w:rPr>
                        </w:pPr>
                        <w:r>
                          <w:rPr>
                            <w:color w:val="000000"/>
                            <w:szCs w:val="24"/>
                          </w:rPr>
                          <w:t>Grynas augalinis aliejus (aliejus, pagamintas iš aliejingų augalų taikant spaudimo, ekstrahavimo ar kitas palyginamas procedūras, žalias arba valytas, bet chemiškai nemodifikuotas, kai jis suderinamas su nagrinėjamais variklių tipais ir atitinkamais išmetimo reikalavimais)</w:t>
                        </w:r>
                      </w:p>
                    </w:tc>
                    <w:tc>
                      <w:tcPr>
                        <w:tcW w:w="2183" w:type="dxa"/>
                      </w:tcPr>
                      <w:p>
                        <w:pPr>
                          <w:jc w:val="center"/>
                          <w:rPr>
                            <w:color w:val="000000"/>
                            <w:szCs w:val="24"/>
                          </w:rPr>
                        </w:pPr>
                        <w:r>
                          <w:rPr>
                            <w:color w:val="000000"/>
                            <w:szCs w:val="24"/>
                          </w:rPr>
                          <w:t>37</w:t>
                        </w:r>
                      </w:p>
                    </w:tc>
                    <w:tc>
                      <w:tcPr>
                        <w:tcW w:w="2182" w:type="dxa"/>
                      </w:tcPr>
                      <w:p>
                        <w:pPr>
                          <w:jc w:val="center"/>
                          <w:rPr>
                            <w:color w:val="000000"/>
                            <w:szCs w:val="24"/>
                          </w:rPr>
                        </w:pPr>
                        <w:r>
                          <w:rPr>
                            <w:color w:val="000000"/>
                            <w:szCs w:val="24"/>
                          </w:rPr>
                          <w:t>34</w:t>
                        </w:r>
                      </w:p>
                    </w:tc>
                  </w:tr>
                  <w:tr>
                    <w:trPr>
                      <w:trHeight w:val="20"/>
                    </w:trPr>
                    <w:tc>
                      <w:tcPr>
                        <w:tcW w:w="704" w:type="dxa"/>
                      </w:tcPr>
                      <w:p>
                        <w:pPr>
                          <w:rPr>
                            <w:color w:val="000000"/>
                            <w:szCs w:val="24"/>
                          </w:rPr>
                        </w:pPr>
                        <w:r>
                          <w:rPr>
                            <w:color w:val="000000"/>
                            <w:szCs w:val="24"/>
                          </w:rPr>
                          <w:t>12</w:t>
                        </w:r>
                      </w:p>
                    </w:tc>
                    <w:tc>
                      <w:tcPr>
                        <w:tcW w:w="4893" w:type="dxa"/>
                      </w:tcPr>
                      <w:p>
                        <w:pPr>
                          <w:rPr>
                            <w:color w:val="000000"/>
                            <w:szCs w:val="24"/>
                          </w:rPr>
                        </w:pPr>
                        <w:r>
                          <w:rPr>
                            <w:color w:val="000000"/>
                            <w:szCs w:val="24"/>
                          </w:rPr>
                          <w:t>Biodujos (iš biomasės ir (arba) biologiškai skaidžios atliekų dalies pagamintas dujinis kuras, kuris gali būti išvalytas iki gamtinių dujų kokybės, naudotinas kaip biodegalai arba generatorinės dujos)</w:t>
                        </w:r>
                      </w:p>
                    </w:tc>
                    <w:tc>
                      <w:tcPr>
                        <w:tcW w:w="2183" w:type="dxa"/>
                      </w:tcPr>
                      <w:p>
                        <w:pPr>
                          <w:jc w:val="center"/>
                          <w:rPr>
                            <w:color w:val="000000"/>
                            <w:szCs w:val="24"/>
                          </w:rPr>
                        </w:pPr>
                        <w:r>
                          <w:rPr>
                            <w:color w:val="000000"/>
                            <w:szCs w:val="24"/>
                          </w:rPr>
                          <w:t>50</w:t>
                        </w:r>
                      </w:p>
                    </w:tc>
                    <w:tc>
                      <w:tcPr>
                        <w:tcW w:w="2182" w:type="dxa"/>
                      </w:tcPr>
                      <w:p>
                        <w:pPr>
                          <w:jc w:val="center"/>
                          <w:rPr>
                            <w:color w:val="000000"/>
                            <w:szCs w:val="24"/>
                          </w:rPr>
                        </w:pPr>
                        <w:r>
                          <w:rPr>
                            <w:color w:val="000000"/>
                            <w:szCs w:val="24"/>
                          </w:rPr>
                          <w:t>–</w:t>
                        </w:r>
                      </w:p>
                    </w:tc>
                  </w:tr>
                  <w:tr>
                    <w:trPr>
                      <w:trHeight w:val="20"/>
                    </w:trPr>
                    <w:tc>
                      <w:tcPr>
                        <w:tcW w:w="704" w:type="dxa"/>
                      </w:tcPr>
                      <w:p>
                        <w:pPr>
                          <w:rPr>
                            <w:color w:val="000000"/>
                            <w:szCs w:val="24"/>
                          </w:rPr>
                        </w:pPr>
                        <w:r>
                          <w:rPr>
                            <w:color w:val="000000"/>
                            <w:szCs w:val="24"/>
                          </w:rPr>
                          <w:t>13</w:t>
                        </w:r>
                      </w:p>
                    </w:tc>
                    <w:tc>
                      <w:tcPr>
                        <w:tcW w:w="4893" w:type="dxa"/>
                      </w:tcPr>
                      <w:p>
                        <w:pPr>
                          <w:rPr>
                            <w:color w:val="000000"/>
                            <w:szCs w:val="24"/>
                          </w:rPr>
                        </w:pPr>
                        <w:r>
                          <w:rPr>
                            <w:color w:val="000000"/>
                            <w:szCs w:val="24"/>
                          </w:rPr>
                          <w:t>Benzinas</w:t>
                        </w:r>
                      </w:p>
                    </w:tc>
                    <w:tc>
                      <w:tcPr>
                        <w:tcW w:w="2183" w:type="dxa"/>
                      </w:tcPr>
                      <w:p>
                        <w:pPr>
                          <w:jc w:val="center"/>
                          <w:rPr>
                            <w:color w:val="000000"/>
                            <w:szCs w:val="24"/>
                          </w:rPr>
                        </w:pPr>
                        <w:r>
                          <w:rPr>
                            <w:color w:val="000000"/>
                            <w:szCs w:val="24"/>
                          </w:rPr>
                          <w:t>43</w:t>
                        </w:r>
                      </w:p>
                    </w:tc>
                    <w:tc>
                      <w:tcPr>
                        <w:tcW w:w="2182" w:type="dxa"/>
                      </w:tcPr>
                      <w:p>
                        <w:pPr>
                          <w:jc w:val="center"/>
                          <w:rPr>
                            <w:color w:val="000000"/>
                            <w:szCs w:val="24"/>
                          </w:rPr>
                        </w:pPr>
                        <w:r>
                          <w:rPr>
                            <w:color w:val="000000"/>
                            <w:szCs w:val="24"/>
                          </w:rPr>
                          <w:t>32</w:t>
                        </w:r>
                      </w:p>
                    </w:tc>
                  </w:tr>
                  <w:tr>
                    <w:trPr>
                      <w:trHeight w:val="20"/>
                    </w:trPr>
                    <w:tc>
                      <w:tcPr>
                        <w:tcW w:w="704" w:type="dxa"/>
                      </w:tcPr>
                      <w:p>
                        <w:pPr>
                          <w:rPr>
                            <w:color w:val="000000"/>
                            <w:szCs w:val="24"/>
                          </w:rPr>
                        </w:pPr>
                        <w:r>
                          <w:rPr>
                            <w:color w:val="000000"/>
                            <w:szCs w:val="24"/>
                          </w:rPr>
                          <w:t>14</w:t>
                        </w:r>
                      </w:p>
                    </w:tc>
                    <w:tc>
                      <w:tcPr>
                        <w:tcW w:w="4893" w:type="dxa"/>
                      </w:tcPr>
                      <w:p>
                        <w:pPr>
                          <w:rPr>
                            <w:color w:val="000000"/>
                            <w:szCs w:val="24"/>
                          </w:rPr>
                        </w:pPr>
                        <w:r>
                          <w:rPr>
                            <w:color w:val="000000"/>
                            <w:szCs w:val="24"/>
                          </w:rPr>
                          <w:t>Dyzelinas</w:t>
                        </w:r>
                      </w:p>
                    </w:tc>
                    <w:tc>
                      <w:tcPr>
                        <w:tcW w:w="2183" w:type="dxa"/>
                      </w:tcPr>
                      <w:p>
                        <w:pPr>
                          <w:jc w:val="center"/>
                          <w:rPr>
                            <w:color w:val="000000"/>
                            <w:szCs w:val="24"/>
                          </w:rPr>
                        </w:pPr>
                        <w:r>
                          <w:rPr>
                            <w:color w:val="000000"/>
                            <w:szCs w:val="24"/>
                          </w:rPr>
                          <w:t>43</w:t>
                        </w:r>
                      </w:p>
                    </w:tc>
                    <w:tc>
                      <w:tcPr>
                        <w:tcW w:w="2182" w:type="dxa"/>
                      </w:tcPr>
                      <w:p>
                        <w:pPr>
                          <w:jc w:val="center"/>
                          <w:rPr>
                            <w:color w:val="000000"/>
                            <w:szCs w:val="24"/>
                          </w:rPr>
                        </w:pPr>
                        <w:r>
                          <w:rPr>
                            <w:color w:val="000000"/>
                            <w:szCs w:val="24"/>
                          </w:rPr>
                          <w:t>36</w:t>
                        </w:r>
                      </w:p>
                    </w:tc>
                  </w:tr>
                </w:tbl>
                <w:p>
                  <w:pPr>
                    <w:jc w:val="both"/>
                    <w:rPr>
                      <w:color w:val="000000"/>
                      <w:szCs w:val="24"/>
                    </w:rPr>
                  </w:pPr>
                </w:p>
                <w:p>
                  <w:pPr>
                    <w:rPr>
                      <w:sz w:val="10"/>
                      <w:szCs w:val="10"/>
                    </w:rPr>
                  </w:pPr>
                </w:p>
              </w:sdtContent>
            </w:sdt>
            <w:sdt>
              <w:sdtPr>
                <w:alias w:val="12 p."/>
                <w:tag w:val="part_a6bad82016ba4363836e3400b9f7da6f"/>
                <w:lock w:val="sdtLocked"/>
                <w:richText/>
              </w:sdtPr>
              <w:sdtContent>
                <w:p>
                  <w:pPr>
                    <w:spacing w:line="259" w:lineRule="auto"/>
                    <w:ind w:firstLine="709"/>
                    <w:contextualSpacing/>
                    <w:jc w:val="both"/>
                    <w:rPr>
                      <w:sz w:val="10"/>
                      <w:szCs w:val="10"/>
                    </w:rPr>
                  </w:pPr>
                  <w:sdt>
                    <w:sdtPr>
                      <w:alias w:val="Numeris"/>
                      <w:tag w:val="nr_a6bad82016ba4363836e3400b9f7da6f"/>
                      <w:lock w:val="sdtLocked"/>
                      <w:richText/>
                    </w:sdtPr>
                    <w:sdtContent>
                      <w:r>
                        <w:rPr>
                          <w:szCs w:val="24"/>
                          <w:lang w:eastAsia="lt-LT"/>
                        </w:rPr>
                        <w:t>12</w:t>
                      </w:r>
                    </w:sdtContent>
                  </w:sdt>
                  <w:r>
                    <w:rPr>
                      <w:szCs w:val="24"/>
                      <w:lang w:eastAsia="lt-LT"/>
                    </w:rPr>
                    <w:t>. Žaliavos ir degalai, kurių dalis siekiant Atsinaujinančių išteklių energetikos įstatymo 1 straipsnio 5 dalies 1 punkte nustatyto ne mažesnio kaip 0,5 procentų rodiklio laikoma du kartus didesne už jų energetinę vertę:</w:t>
                  </w:r>
                </w:p>
                <w:sdt>
                  <w:sdtPr>
                    <w:alias w:val="12.1 pp."/>
                    <w:tag w:val="part_63e8c220ca9e4ff39ed668f634446fe7"/>
                    <w:lock w:val="sdtLocked"/>
                    <w:richText/>
                  </w:sdtPr>
                  <w:sdtContent>
                    <w:p>
                      <w:pPr>
                        <w:spacing w:line="259" w:lineRule="auto"/>
                        <w:ind w:firstLine="709"/>
                        <w:contextualSpacing/>
                        <w:jc w:val="both"/>
                        <w:rPr>
                          <w:sz w:val="10"/>
                          <w:szCs w:val="10"/>
                        </w:rPr>
                      </w:pPr>
                      <w:sdt>
                        <w:sdtPr>
                          <w:alias w:val="Numeris"/>
                          <w:tag w:val="nr_63e8c220ca9e4ff39ed668f634446fe7"/>
                          <w:lock w:val="sdtLocked"/>
                          <w:richText/>
                        </w:sdtPr>
                        <w:sdtContent>
                          <w:r>
                            <w:rPr>
                              <w:szCs w:val="24"/>
                              <w:lang w:eastAsia="lt-LT"/>
                            </w:rPr>
                            <w:t>12.1</w:t>
                          </w:r>
                        </w:sdtContent>
                      </w:sdt>
                      <w:r>
                        <w:rPr>
                          <w:szCs w:val="24"/>
                          <w:lang w:eastAsia="lt-LT"/>
                        </w:rPr>
                        <w:t>. dumbliai, jeigu jie auginami sausumoje esančiuose vandens telkiniuose ar fotobioreaktoriuose;</w:t>
                      </w:r>
                    </w:p>
                  </w:sdtContent>
                </w:sdt>
                <w:sdt>
                  <w:sdtPr>
                    <w:alias w:val="12.2 pp."/>
                    <w:tag w:val="part_e3ae9c8ec7d54091a8e2fde7281b8f21"/>
                    <w:lock w:val="sdtLocked"/>
                    <w:richText/>
                  </w:sdtPr>
                  <w:sdtContent>
                    <w:p>
                      <w:pPr>
                        <w:spacing w:line="259" w:lineRule="auto"/>
                        <w:ind w:firstLine="709"/>
                        <w:contextualSpacing/>
                        <w:jc w:val="both"/>
                        <w:rPr>
                          <w:sz w:val="10"/>
                          <w:szCs w:val="10"/>
                        </w:rPr>
                      </w:pPr>
                      <w:sdt>
                        <w:sdtPr>
                          <w:alias w:val="Numeris"/>
                          <w:tag w:val="nr_e3ae9c8ec7d54091a8e2fde7281b8f21"/>
                          <w:lock w:val="sdtLocked"/>
                          <w:richText/>
                        </w:sdtPr>
                        <w:sdtContent>
                          <w:r>
                            <w:rPr>
                              <w:szCs w:val="24"/>
                              <w:lang w:eastAsia="lt-LT"/>
                            </w:rPr>
                            <w:t>12.2</w:t>
                          </w:r>
                        </w:sdtContent>
                      </w:sdt>
                      <w:r>
                        <w:rPr>
                          <w:szCs w:val="24"/>
                          <w:lang w:eastAsia="lt-LT"/>
                        </w:rPr>
                        <w:t>. nerūšiuotų komunalinių atliekų (išskyrus rūšiuotas namų ūkių atliekas, kurioms taikomi perdirbimo planiniai rodikliai</w:t>
                      </w:r>
                      <w:r>
                        <w:rPr>
                          <w:szCs w:val="24"/>
                        </w:rPr>
                        <w:t xml:space="preserve"> </w:t>
                      </w:r>
                      <w:r>
                        <w:rPr>
                          <w:szCs w:val="24"/>
                          <w:lang w:eastAsia="lt-LT"/>
                        </w:rPr>
                        <w:t>2008 m. lapkričio 19 d. Europos Parlamento ir Tarybos direktyvos 2008/98/EB dėl atliekų, panaikinančios kai kurias direktyvas, 11 straipsnio 2 dalies a punktą (OL 2008, L 312, p. 3) (toliau – Direktyva 2008/98/EB), biomasės dalis;</w:t>
                      </w:r>
                    </w:p>
                  </w:sdtContent>
                </w:sdt>
                <w:sdt>
                  <w:sdtPr>
                    <w:alias w:val="12.3 pp."/>
                    <w:tag w:val="part_4d3d6e4be0ac47d29537889dc316b2cb"/>
                    <w:lock w:val="sdtLocked"/>
                    <w:richText/>
                  </w:sdtPr>
                  <w:sdtContent>
                    <w:p>
                      <w:pPr>
                        <w:spacing w:line="259" w:lineRule="auto"/>
                        <w:ind w:firstLine="709"/>
                        <w:contextualSpacing/>
                        <w:jc w:val="both"/>
                        <w:rPr>
                          <w:sz w:val="10"/>
                          <w:szCs w:val="10"/>
                        </w:rPr>
                      </w:pPr>
                      <w:sdt>
                        <w:sdtPr>
                          <w:alias w:val="Numeris"/>
                          <w:tag w:val="nr_4d3d6e4be0ac47d29537889dc316b2cb"/>
                          <w:lock w:val="sdtLocked"/>
                          <w:richText/>
                        </w:sdtPr>
                        <w:sdtContent>
                          <w:r>
                            <w:rPr>
                              <w:szCs w:val="24"/>
                              <w:lang w:eastAsia="lt-LT"/>
                            </w:rPr>
                            <w:t>12.3</w:t>
                          </w:r>
                        </w:sdtContent>
                      </w:sdt>
                      <w:r>
                        <w:rPr>
                          <w:szCs w:val="24"/>
                          <w:lang w:eastAsia="lt-LT"/>
                        </w:rPr>
                        <w:t>. Direktyvos 2008/98/EB 3 straipsnio 4 punkte apibrėžtos biologinės atliekos iš privačių namų ūkių, kurioms turi būti taikomas atskiras surinkimas, kaip apibrėžta šios Direktyvos 3 straipsnio 11 punkte;</w:t>
                      </w:r>
                    </w:p>
                  </w:sdtContent>
                </w:sdt>
                <w:sdt>
                  <w:sdtPr>
                    <w:alias w:val="12.4 pp."/>
                    <w:tag w:val="part_a9c75b8ebb7f494b8d593af83d39b6b4"/>
                    <w:lock w:val="sdtLocked"/>
                    <w:richText/>
                  </w:sdtPr>
                  <w:sdtContent>
                    <w:p>
                      <w:pPr>
                        <w:spacing w:line="259" w:lineRule="auto"/>
                        <w:ind w:firstLine="709"/>
                        <w:contextualSpacing/>
                        <w:jc w:val="both"/>
                        <w:rPr>
                          <w:sz w:val="10"/>
                          <w:szCs w:val="10"/>
                        </w:rPr>
                      </w:pPr>
                      <w:sdt>
                        <w:sdtPr>
                          <w:alias w:val="Numeris"/>
                          <w:tag w:val="nr_a9c75b8ebb7f494b8d593af83d39b6b4"/>
                          <w:lock w:val="sdtLocked"/>
                          <w:richText/>
                        </w:sdtPr>
                        <w:sdtContent>
                          <w:r>
                            <w:rPr>
                              <w:szCs w:val="24"/>
                              <w:lang w:eastAsia="lt-LT"/>
                            </w:rPr>
                            <w:t>12.4</w:t>
                          </w:r>
                        </w:sdtContent>
                      </w:sdt>
                      <w:r>
                        <w:rPr>
                          <w:szCs w:val="24"/>
                          <w:lang w:eastAsia="lt-LT"/>
                        </w:rPr>
                        <w:t>. maisto ar pašarų tiekimo grandinėje netinkama naudoti pramoninių atliekų (pavyzdžiui, mėsos, žuvies, pieno, vaisių ir daržovių, grūdų, duonos, konditerijos, alkoholinių gėrimų pramonės atliekų), įskaitant mažmeninės bei didmeninės prekybos ir žemės ūkio produktų perdirbimo ir žuvies bei akvakultūros pramonės medžiagas, išskyrus Metodikos 13 punkte nurodytas žaliavas, biomasės dalis;</w:t>
                      </w:r>
                    </w:p>
                  </w:sdtContent>
                </w:sdt>
                <w:sdt>
                  <w:sdtPr>
                    <w:alias w:val="12.5 pp."/>
                    <w:tag w:val="part_4110c3845c744c1c8734bdcf6cb98416"/>
                    <w:lock w:val="sdtLocked"/>
                    <w:richText/>
                  </w:sdtPr>
                  <w:sdtContent>
                    <w:p>
                      <w:pPr>
                        <w:spacing w:line="259" w:lineRule="auto"/>
                        <w:ind w:firstLine="709"/>
                        <w:contextualSpacing/>
                        <w:jc w:val="both"/>
                        <w:rPr>
                          <w:sz w:val="10"/>
                          <w:szCs w:val="10"/>
                        </w:rPr>
                      </w:pPr>
                      <w:sdt>
                        <w:sdtPr>
                          <w:alias w:val="Numeris"/>
                          <w:tag w:val="nr_4110c3845c744c1c8734bdcf6cb98416"/>
                          <w:lock w:val="sdtLocked"/>
                          <w:richText/>
                        </w:sdtPr>
                        <w:sdtContent>
                          <w:r>
                            <w:rPr>
                              <w:szCs w:val="24"/>
                              <w:lang w:eastAsia="lt-LT"/>
                            </w:rPr>
                            <w:t>12.5</w:t>
                          </w:r>
                        </w:sdtContent>
                      </w:sdt>
                      <w:r>
                        <w:rPr>
                          <w:szCs w:val="24"/>
                          <w:lang w:eastAsia="lt-LT"/>
                        </w:rPr>
                        <w:t>. šiaudai;</w:t>
                      </w:r>
                    </w:p>
                  </w:sdtContent>
                </w:sdt>
                <w:sdt>
                  <w:sdtPr>
                    <w:alias w:val="12.6 pp."/>
                    <w:tag w:val="part_5f7ca9a58ff74b4aad261a1a98808409"/>
                    <w:lock w:val="sdtLocked"/>
                    <w:richText/>
                  </w:sdtPr>
                  <w:sdtContent>
                    <w:p>
                      <w:pPr>
                        <w:spacing w:line="259" w:lineRule="auto"/>
                        <w:ind w:firstLine="709"/>
                        <w:contextualSpacing/>
                        <w:jc w:val="both"/>
                        <w:rPr>
                          <w:sz w:val="10"/>
                          <w:szCs w:val="10"/>
                        </w:rPr>
                      </w:pPr>
                      <w:sdt>
                        <w:sdtPr>
                          <w:alias w:val="Numeris"/>
                          <w:tag w:val="nr_5f7ca9a58ff74b4aad261a1a98808409"/>
                          <w:lock w:val="sdtLocked"/>
                          <w:richText/>
                        </w:sdtPr>
                        <w:sdtContent>
                          <w:r>
                            <w:rPr>
                              <w:szCs w:val="24"/>
                              <w:lang w:eastAsia="lt-LT"/>
                            </w:rPr>
                            <w:t>12.6</w:t>
                          </w:r>
                        </w:sdtContent>
                      </w:sdt>
                      <w:r>
                        <w:rPr>
                          <w:szCs w:val="24"/>
                          <w:lang w:eastAsia="lt-LT"/>
                        </w:rPr>
                        <w:t>. gyvulių mėšlas ir nuotekų šlamas (dumblas);</w:t>
                      </w:r>
                    </w:p>
                  </w:sdtContent>
                </w:sdt>
                <w:sdt>
                  <w:sdtPr>
                    <w:alias w:val="12.7 pp."/>
                    <w:tag w:val="part_fcf902a803a94e44a25b219c80fafea7"/>
                    <w:lock w:val="sdtLocked"/>
                    <w:richText/>
                  </w:sdtPr>
                  <w:sdtContent>
                    <w:p>
                      <w:pPr>
                        <w:spacing w:line="259" w:lineRule="auto"/>
                        <w:ind w:firstLine="709"/>
                        <w:contextualSpacing/>
                        <w:jc w:val="both"/>
                        <w:rPr>
                          <w:sz w:val="10"/>
                          <w:szCs w:val="10"/>
                        </w:rPr>
                      </w:pPr>
                      <w:sdt>
                        <w:sdtPr>
                          <w:alias w:val="Numeris"/>
                          <w:tag w:val="nr_fcf902a803a94e44a25b219c80fafea7"/>
                          <w:lock w:val="sdtLocked"/>
                          <w:richText/>
                        </w:sdtPr>
                        <w:sdtContent>
                          <w:r>
                            <w:rPr>
                              <w:szCs w:val="24"/>
                              <w:lang w:eastAsia="lt-LT"/>
                            </w:rPr>
                            <w:t>12.7</w:t>
                          </w:r>
                        </w:sdtContent>
                      </w:sdt>
                      <w:r>
                        <w:rPr>
                          <w:szCs w:val="24"/>
                          <w:lang w:eastAsia="lt-LT"/>
                        </w:rPr>
                        <w:t>.</w:t>
                      </w:r>
                      <w:r>
                        <w:rPr>
                          <w:szCs w:val="24"/>
                        </w:rPr>
                        <w:t xml:space="preserve"> </w:t>
                      </w:r>
                      <w:r>
                        <w:rPr>
                          <w:szCs w:val="24"/>
                          <w:lang w:eastAsia="lt-LT"/>
                        </w:rPr>
                        <w:t>alyvpalmių aliejaus gamyklų nuotekos ir tuščios alyvpalmių vaisių kekės;</w:t>
                      </w:r>
                    </w:p>
                  </w:sdtContent>
                </w:sdt>
                <w:sdt>
                  <w:sdtPr>
                    <w:alias w:val="12.8 pp."/>
                    <w:tag w:val="part_284a650370224244a54761e67a83c8d1"/>
                    <w:lock w:val="sdtLocked"/>
                    <w:richText/>
                  </w:sdtPr>
                  <w:sdtContent>
                    <w:p>
                      <w:pPr>
                        <w:spacing w:line="259" w:lineRule="auto"/>
                        <w:ind w:firstLine="709"/>
                        <w:contextualSpacing/>
                        <w:jc w:val="both"/>
                        <w:rPr>
                          <w:sz w:val="10"/>
                          <w:szCs w:val="10"/>
                        </w:rPr>
                      </w:pPr>
                      <w:sdt>
                        <w:sdtPr>
                          <w:alias w:val="Numeris"/>
                          <w:tag w:val="nr_284a650370224244a54761e67a83c8d1"/>
                          <w:lock w:val="sdtLocked"/>
                          <w:richText/>
                        </w:sdtPr>
                        <w:sdtContent>
                          <w:r>
                            <w:rPr>
                              <w:szCs w:val="24"/>
                              <w:lang w:eastAsia="lt-LT"/>
                            </w:rPr>
                            <w:t>12.8</w:t>
                          </w:r>
                        </w:sdtContent>
                      </w:sdt>
                      <w:r>
                        <w:rPr>
                          <w:szCs w:val="24"/>
                          <w:lang w:eastAsia="lt-LT"/>
                        </w:rPr>
                        <w:t>. talo alyvos derva.</w:t>
                      </w:r>
                    </w:p>
                  </w:sdtContent>
                </w:sdt>
                <w:sdt>
                  <w:sdtPr>
                    <w:alias w:val="12.9 pp."/>
                    <w:tag w:val="part_a52ab4e9560640bc98e9a6716254db50"/>
                    <w:lock w:val="sdtLocked"/>
                    <w:richText/>
                  </w:sdtPr>
                  <w:sdtContent>
                    <w:p>
                      <w:pPr>
                        <w:spacing w:line="259" w:lineRule="auto"/>
                        <w:ind w:firstLine="709"/>
                        <w:contextualSpacing/>
                        <w:jc w:val="both"/>
                        <w:rPr>
                          <w:sz w:val="10"/>
                          <w:szCs w:val="10"/>
                        </w:rPr>
                      </w:pPr>
                      <w:sdt>
                        <w:sdtPr>
                          <w:alias w:val="Numeris"/>
                          <w:tag w:val="nr_a52ab4e9560640bc98e9a6716254db50"/>
                          <w:lock w:val="sdtLocked"/>
                          <w:richText/>
                        </w:sdtPr>
                        <w:sdtContent>
                          <w:r>
                            <w:rPr>
                              <w:szCs w:val="24"/>
                              <w:lang w:eastAsia="lt-LT"/>
                            </w:rPr>
                            <w:t>12.9</w:t>
                          </w:r>
                        </w:sdtContent>
                      </w:sdt>
                      <w:r>
                        <w:rPr>
                          <w:szCs w:val="24"/>
                          <w:lang w:eastAsia="lt-LT"/>
                        </w:rPr>
                        <w:t>. neapdorotas glicerinas;</w:t>
                      </w:r>
                    </w:p>
                  </w:sdtContent>
                </w:sdt>
                <w:sdt>
                  <w:sdtPr>
                    <w:alias w:val="12.10 pp."/>
                    <w:tag w:val="part_c905b2de06ab4f229ebd1578dc516668"/>
                    <w:lock w:val="sdtLocked"/>
                    <w:richText/>
                  </w:sdtPr>
                  <w:sdtContent>
                    <w:p>
                      <w:pPr>
                        <w:spacing w:line="259" w:lineRule="auto"/>
                        <w:ind w:firstLine="709"/>
                        <w:contextualSpacing/>
                        <w:jc w:val="both"/>
                        <w:rPr>
                          <w:sz w:val="10"/>
                          <w:szCs w:val="10"/>
                        </w:rPr>
                      </w:pPr>
                      <w:sdt>
                        <w:sdtPr>
                          <w:alias w:val="Numeris"/>
                          <w:tag w:val="nr_c905b2de06ab4f229ebd1578dc516668"/>
                          <w:lock w:val="sdtLocked"/>
                          <w:richText/>
                        </w:sdtPr>
                        <w:sdtContent>
                          <w:r>
                            <w:rPr>
                              <w:szCs w:val="24"/>
                              <w:lang w:eastAsia="lt-LT"/>
                            </w:rPr>
                            <w:t>12.10</w:t>
                          </w:r>
                        </w:sdtContent>
                      </w:sdt>
                      <w:r>
                        <w:rPr>
                          <w:szCs w:val="24"/>
                          <w:lang w:eastAsia="lt-LT"/>
                        </w:rPr>
                        <w:t>. cukranendrių išspaudos;</w:t>
                      </w:r>
                    </w:p>
                  </w:sdtContent>
                </w:sdt>
                <w:sdt>
                  <w:sdtPr>
                    <w:alias w:val="12.11 pp."/>
                    <w:tag w:val="part_0121cc1021f545608ee8d0ace03e9ec1"/>
                    <w:lock w:val="sdtLocked"/>
                    <w:richText/>
                  </w:sdtPr>
                  <w:sdtContent>
                    <w:p>
                      <w:pPr>
                        <w:spacing w:line="259" w:lineRule="auto"/>
                        <w:ind w:firstLine="709"/>
                        <w:contextualSpacing/>
                        <w:jc w:val="both"/>
                        <w:rPr>
                          <w:sz w:val="10"/>
                          <w:szCs w:val="10"/>
                        </w:rPr>
                      </w:pPr>
                      <w:sdt>
                        <w:sdtPr>
                          <w:alias w:val="Numeris"/>
                          <w:tag w:val="nr_0121cc1021f545608ee8d0ace03e9ec1"/>
                          <w:lock w:val="sdtLocked"/>
                          <w:richText/>
                        </w:sdtPr>
                        <w:sdtContent>
                          <w:r>
                            <w:rPr>
                              <w:szCs w:val="24"/>
                              <w:lang w:eastAsia="lt-LT"/>
                            </w:rPr>
                            <w:t>12.11</w:t>
                          </w:r>
                        </w:sdtContent>
                      </w:sdt>
                      <w:r>
                        <w:rPr>
                          <w:szCs w:val="24"/>
                          <w:lang w:eastAsia="lt-LT"/>
                        </w:rPr>
                        <w:t>. vynuogių išspaudos ir vyno nuosėdos;</w:t>
                      </w:r>
                    </w:p>
                  </w:sdtContent>
                </w:sdt>
                <w:sdt>
                  <w:sdtPr>
                    <w:alias w:val="12.12 pp."/>
                    <w:tag w:val="part_86805fc10809470eaec7ea3cbd207437"/>
                    <w:lock w:val="sdtLocked"/>
                    <w:richText/>
                  </w:sdtPr>
                  <w:sdtContent>
                    <w:p>
                      <w:pPr>
                        <w:spacing w:line="259" w:lineRule="auto"/>
                        <w:ind w:firstLine="709"/>
                        <w:contextualSpacing/>
                        <w:jc w:val="both"/>
                        <w:rPr>
                          <w:sz w:val="10"/>
                          <w:szCs w:val="10"/>
                        </w:rPr>
                      </w:pPr>
                      <w:sdt>
                        <w:sdtPr>
                          <w:alias w:val="Numeris"/>
                          <w:tag w:val="nr_86805fc10809470eaec7ea3cbd207437"/>
                          <w:lock w:val="sdtLocked"/>
                          <w:richText/>
                        </w:sdtPr>
                        <w:sdtContent>
                          <w:r>
                            <w:rPr>
                              <w:szCs w:val="24"/>
                              <w:lang w:eastAsia="lt-LT"/>
                            </w:rPr>
                            <w:t>12.12</w:t>
                          </w:r>
                        </w:sdtContent>
                      </w:sdt>
                      <w:r>
                        <w:rPr>
                          <w:szCs w:val="24"/>
                          <w:lang w:eastAsia="lt-LT"/>
                        </w:rPr>
                        <w:t>. riešutų kevalai;</w:t>
                      </w:r>
                    </w:p>
                  </w:sdtContent>
                </w:sdt>
                <w:sdt>
                  <w:sdtPr>
                    <w:alias w:val="12.13 pp."/>
                    <w:tag w:val="part_e66a886a58194d0292a60f48316e3874"/>
                    <w:lock w:val="sdtLocked"/>
                    <w:richText/>
                  </w:sdtPr>
                  <w:sdtContent>
                    <w:p>
                      <w:pPr>
                        <w:spacing w:line="259" w:lineRule="auto"/>
                        <w:ind w:firstLine="709"/>
                        <w:contextualSpacing/>
                        <w:jc w:val="both"/>
                        <w:rPr>
                          <w:sz w:val="10"/>
                          <w:szCs w:val="10"/>
                        </w:rPr>
                      </w:pPr>
                      <w:sdt>
                        <w:sdtPr>
                          <w:alias w:val="Numeris"/>
                          <w:tag w:val="nr_e66a886a58194d0292a60f48316e3874"/>
                          <w:lock w:val="sdtLocked"/>
                          <w:richText/>
                        </w:sdtPr>
                        <w:sdtContent>
                          <w:r>
                            <w:rPr>
                              <w:szCs w:val="24"/>
                              <w:lang w:eastAsia="lt-LT"/>
                            </w:rPr>
                            <w:t>12.13</w:t>
                          </w:r>
                        </w:sdtContent>
                      </w:sdt>
                      <w:r>
                        <w:rPr>
                          <w:szCs w:val="24"/>
                          <w:lang w:eastAsia="lt-LT"/>
                        </w:rPr>
                        <w:t>. išaižos;</w:t>
                      </w:r>
                    </w:p>
                  </w:sdtContent>
                </w:sdt>
                <w:sdt>
                  <w:sdtPr>
                    <w:alias w:val="12.14 pp."/>
                    <w:tag w:val="part_30250cef3d6443f38a40a963d0be1c80"/>
                    <w:lock w:val="sdtLocked"/>
                    <w:richText/>
                  </w:sdtPr>
                  <w:sdtContent>
                    <w:p>
                      <w:pPr>
                        <w:spacing w:line="259" w:lineRule="auto"/>
                        <w:ind w:firstLine="709"/>
                        <w:contextualSpacing/>
                        <w:jc w:val="both"/>
                        <w:rPr>
                          <w:sz w:val="10"/>
                          <w:szCs w:val="10"/>
                        </w:rPr>
                      </w:pPr>
                      <w:sdt>
                        <w:sdtPr>
                          <w:alias w:val="Numeris"/>
                          <w:tag w:val="nr_30250cef3d6443f38a40a963d0be1c80"/>
                          <w:lock w:val="sdtLocked"/>
                          <w:richText/>
                        </w:sdtPr>
                        <w:sdtContent>
                          <w:r>
                            <w:rPr>
                              <w:szCs w:val="24"/>
                              <w:lang w:eastAsia="lt-LT"/>
                            </w:rPr>
                            <w:t>12.14</w:t>
                          </w:r>
                        </w:sdtContent>
                      </w:sdt>
                      <w:r>
                        <w:rPr>
                          <w:szCs w:val="24"/>
                          <w:lang w:eastAsia="lt-LT"/>
                        </w:rPr>
                        <w:t>.</w:t>
                      </w:r>
                      <w:r>
                        <w:rPr>
                          <w:szCs w:val="24"/>
                        </w:rPr>
                        <w:t xml:space="preserve"> </w:t>
                      </w:r>
                      <w:r>
                        <w:rPr>
                          <w:szCs w:val="24"/>
                          <w:lang w:eastAsia="lt-LT"/>
                        </w:rPr>
                        <w:t>burbuolių kotai, nuo kurių pašalintos kukurūzų sėklos;</w:t>
                      </w:r>
                    </w:p>
                  </w:sdtContent>
                </w:sdt>
                <w:sdt>
                  <w:sdtPr>
                    <w:alias w:val="12.15 pp."/>
                    <w:tag w:val="part_23a9fdef2e184d0693e9f853ea1ab7a5"/>
                    <w:lock w:val="sdtLocked"/>
                    <w:richText/>
                  </w:sdtPr>
                  <w:sdtContent>
                    <w:p>
                      <w:pPr>
                        <w:spacing w:line="259" w:lineRule="auto"/>
                        <w:ind w:firstLine="709"/>
                        <w:contextualSpacing/>
                        <w:jc w:val="both"/>
                        <w:rPr>
                          <w:sz w:val="10"/>
                          <w:szCs w:val="10"/>
                        </w:rPr>
                      </w:pPr>
                      <w:sdt>
                        <w:sdtPr>
                          <w:alias w:val="Numeris"/>
                          <w:tag w:val="nr_23a9fdef2e184d0693e9f853ea1ab7a5"/>
                          <w:lock w:val="sdtLocked"/>
                          <w:richText/>
                        </w:sdtPr>
                        <w:sdtContent>
                          <w:r>
                            <w:rPr>
                              <w:szCs w:val="24"/>
                              <w:lang w:eastAsia="lt-LT"/>
                            </w:rPr>
                            <w:t>12.15</w:t>
                          </w:r>
                        </w:sdtContent>
                      </w:sdt>
                      <w:r>
                        <w:rPr>
                          <w:szCs w:val="24"/>
                          <w:lang w:eastAsia="lt-LT"/>
                        </w:rPr>
                        <w:t>.</w:t>
                      </w:r>
                      <w:r>
                        <w:rPr>
                          <w:szCs w:val="24"/>
                        </w:rPr>
                        <w:t xml:space="preserve"> </w:t>
                      </w:r>
                      <w:r>
                        <w:rPr>
                          <w:szCs w:val="24"/>
                          <w:lang w:eastAsia="lt-LT"/>
                        </w:rPr>
                        <w:t>miškininkystės ir miškininkystės pramonės atliekų ir liekanų, t. y. žievių, šakų, nekomercinio retinimo kirtimų medienos, lapų, spyglių, medžių viršūnių, pjuvenų, medienos drožlių, juodųjų nuovirų, rudųjų nuovirų, pluošto atliekų, lignino ir talo alyvos, biomasės dalis;</w:t>
                      </w:r>
                    </w:p>
                  </w:sdtContent>
                </w:sdt>
                <w:sdt>
                  <w:sdtPr>
                    <w:alias w:val="12.16 pp."/>
                    <w:tag w:val="part_cb3c2dd601a0414b9ebc3889a3acc2e5"/>
                    <w:lock w:val="sdtLocked"/>
                    <w:richText/>
                  </w:sdtPr>
                  <w:sdtContent>
                    <w:p>
                      <w:pPr>
                        <w:ind w:firstLine="709"/>
                        <w:jc w:val="both"/>
                        <w:rPr>
                          <w:sz w:val="10"/>
                          <w:szCs w:val="10"/>
                        </w:rPr>
                      </w:pPr>
                      <w:sdt>
                        <w:sdtPr>
                          <w:alias w:val="Numeris"/>
                          <w:tag w:val="nr_cb3c2dd601a0414b9ebc3889a3acc2e5"/>
                          <w:lock w:val="sdtLocked"/>
                          <w:richText/>
                        </w:sdtPr>
                        <w:sdtContent>
                          <w:r>
                            <w:rPr>
                              <w:color w:val="000000"/>
                              <w:szCs w:val="24"/>
                              <w:lang w:eastAsia="lt-LT"/>
                            </w:rPr>
                            <w:t>12.16</w:t>
                          </w:r>
                        </w:sdtContent>
                      </w:sdt>
                      <w:r>
                        <w:rPr>
                          <w:color w:val="000000"/>
                          <w:szCs w:val="24"/>
                          <w:lang w:eastAsia="lt-LT"/>
                        </w:rPr>
                        <w:t>. kita nemaistinė celiuliozė, kaip apibrėžta Metodikos 2.5 papunktyje;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d06a00732711eabee4a336e7e6fdab">
                        <w:r w:rsidRPr="00532B9F">
                          <w:rPr>
                            <w:rFonts w:ascii="Times New Roman" w:eastAsia="MS Mincho" w:hAnsi="Times New Roman"/>
                            <w:sz w:val="20"/>
                            <w:i/>
                            <w:iCs/>
                            <w:color w:val="0000FF" w:themeColor="hyperlink"/>
                            <w:u w:val="single"/>
                          </w:rPr>
                          <w:t>1-82</w:t>
                        </w:r>
                      </w:fldSimple>
                      <w:r>
                        <w:rPr>
                          <w:rFonts w:ascii="Times New Roman" w:eastAsia="MS Mincho" w:hAnsi="Times New Roman"/>
                          <w:sz w:val="20"/>
                          <w:i/>
                          <w:iCs/>
                        </w:rPr>
                        <w:t>,
2020-03-31,
paskelbta TAR 2020-03-31, i. k. 2020-06669            </w:t>
                      </w:r>
                    </w:p>
                    <w:p/>
                  </w:sdtContent>
                </w:sdt>
                <w:sdt>
                  <w:sdtPr>
                    <w:alias w:val="12.17 pp."/>
                    <w:tag w:val="part_0265fcc1b8df41c7a1ac97b7b727d098"/>
                    <w:lock w:val="sdtLocked"/>
                    <w:richText/>
                  </w:sdtPr>
                  <w:sdtContent>
                    <w:p>
                      <w:pPr>
                        <w:ind w:firstLine="709"/>
                        <w:jc w:val="both"/>
                        <w:rPr>
                          <w:sz w:val="10"/>
                          <w:szCs w:val="10"/>
                        </w:rPr>
                      </w:pPr>
                      <w:sdt>
                        <w:sdtPr>
                          <w:alias w:val="Numeris"/>
                          <w:tag w:val="nr_0265fcc1b8df41c7a1ac97b7b727d098"/>
                          <w:lock w:val="sdtLocked"/>
                          <w:richText/>
                        </w:sdtPr>
                        <w:sdtContent>
                          <w:r>
                            <w:rPr>
                              <w:color w:val="000000"/>
                              <w:szCs w:val="24"/>
                              <w:lang w:eastAsia="lt-LT"/>
                            </w:rPr>
                            <w:t>12.17</w:t>
                          </w:r>
                        </w:sdtContent>
                      </w:sdt>
                      <w:r>
                        <w:rPr>
                          <w:color w:val="000000"/>
                          <w:szCs w:val="24"/>
                          <w:lang w:eastAsia="lt-LT"/>
                        </w:rPr>
                        <w:t>. kita lignoceliuliozė, kaip apibrėžta Metodikos 2.4 papunktyje, išskyrus pjaustytinus rąstus ir fanermedį;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d06a00732711eabee4a336e7e6fdab">
                        <w:r w:rsidRPr="00532B9F">
                          <w:rPr>
                            <w:rFonts w:ascii="Times New Roman" w:eastAsia="MS Mincho" w:hAnsi="Times New Roman"/>
                            <w:sz w:val="20"/>
                            <w:i/>
                            <w:iCs/>
                            <w:color w:val="0000FF" w:themeColor="hyperlink"/>
                            <w:u w:val="single"/>
                          </w:rPr>
                          <w:t>1-82</w:t>
                        </w:r>
                      </w:fldSimple>
                      <w:r>
                        <w:rPr>
                          <w:rFonts w:ascii="Times New Roman" w:eastAsia="MS Mincho" w:hAnsi="Times New Roman"/>
                          <w:sz w:val="20"/>
                          <w:i/>
                          <w:iCs/>
                        </w:rPr>
                        <w:t>,
2020-03-31,
paskelbta TAR 2020-03-31, i. k. 2020-06669            </w:t>
                      </w:r>
                    </w:p>
                    <w:p/>
                  </w:sdtContent>
                </w:sdt>
                <w:sdt>
                  <w:sdtPr>
                    <w:alias w:val="12.18 pp."/>
                    <w:tag w:val="part_a72d962d018b497baea6cfb4301f119c"/>
                    <w:lock w:val="sdtLocked"/>
                    <w:richText/>
                  </w:sdtPr>
                  <w:sdtContent>
                    <w:p>
                      <w:pPr>
                        <w:spacing w:line="259" w:lineRule="auto"/>
                        <w:ind w:firstLine="709"/>
                        <w:contextualSpacing/>
                        <w:jc w:val="both"/>
                        <w:rPr>
                          <w:sz w:val="10"/>
                          <w:szCs w:val="10"/>
                        </w:rPr>
                      </w:pPr>
                      <w:sdt>
                        <w:sdtPr>
                          <w:alias w:val="Numeris"/>
                          <w:tag w:val="nr_a72d962d018b497baea6cfb4301f119c"/>
                          <w:lock w:val="sdtLocked"/>
                          <w:richText/>
                        </w:sdtPr>
                        <w:sdtContent>
                          <w:r>
                            <w:rPr>
                              <w:szCs w:val="24"/>
                              <w:lang w:eastAsia="lt-LT"/>
                            </w:rPr>
                            <w:t>12.18</w:t>
                          </w:r>
                        </w:sdtContent>
                      </w:sdt>
                      <w:r>
                        <w:rPr>
                          <w:szCs w:val="24"/>
                          <w:lang w:eastAsia="lt-LT"/>
                        </w:rPr>
                        <w:t>.</w:t>
                      </w:r>
                      <w:r>
                        <w:rPr>
                          <w:szCs w:val="24"/>
                          <w:lang w:val="en-US"/>
                        </w:rPr>
                        <w:t xml:space="preserve"> </w:t>
                      </w:r>
                      <w:r>
                        <w:rPr>
                          <w:szCs w:val="24"/>
                          <w:lang w:eastAsia="lt-LT"/>
                        </w:rPr>
                        <w:t>iš atsinaujinančių išteklių pagaminti nebiologiniai skystieji ir dujiniai degalai;</w:t>
                      </w:r>
                    </w:p>
                  </w:sdtContent>
                </w:sdt>
                <w:sdt>
                  <w:sdtPr>
                    <w:alias w:val="12.19 pp."/>
                    <w:tag w:val="part_ebfff53eb3284fb592bed7dfe2ab8c9f"/>
                    <w:lock w:val="sdtLocked"/>
                    <w:richText/>
                  </w:sdtPr>
                  <w:sdtContent>
                    <w:p>
                      <w:pPr>
                        <w:spacing w:line="259" w:lineRule="auto"/>
                        <w:ind w:firstLine="709"/>
                        <w:contextualSpacing/>
                        <w:jc w:val="both"/>
                        <w:rPr>
                          <w:sz w:val="10"/>
                          <w:szCs w:val="10"/>
                        </w:rPr>
                      </w:pPr>
                      <w:sdt>
                        <w:sdtPr>
                          <w:alias w:val="Numeris"/>
                          <w:tag w:val="nr_ebfff53eb3284fb592bed7dfe2ab8c9f"/>
                          <w:lock w:val="sdtLocked"/>
                          <w:richText/>
                        </w:sdtPr>
                        <w:sdtContent>
                          <w:r>
                            <w:rPr>
                              <w:szCs w:val="24"/>
                              <w:lang w:eastAsia="lt-LT"/>
                            </w:rPr>
                            <w:t>12.19</w:t>
                          </w:r>
                        </w:sdtContent>
                      </w:sdt>
                      <w:r>
                        <w:rPr>
                          <w:szCs w:val="24"/>
                          <w:lang w:eastAsia="lt-LT"/>
                        </w:rPr>
                        <w:t>.</w:t>
                      </w:r>
                      <w:r>
                        <w:rPr>
                          <w:szCs w:val="24"/>
                        </w:rPr>
                        <w:t xml:space="preserve"> </w:t>
                      </w:r>
                      <w:r>
                        <w:rPr>
                          <w:szCs w:val="24"/>
                          <w:lang w:eastAsia="lt-LT"/>
                        </w:rPr>
                        <w:t>anglies dioksido surinkimas ir panaudojimas transporto tikslais, jei energijos išteklius yra atsinaujinantis pagal Atsinaujinančių išteklių energetikos įstatymo 2 straipsnio 2 dalį;</w:t>
                      </w:r>
                    </w:p>
                  </w:sdtContent>
                </w:sdt>
                <w:sdt>
                  <w:sdtPr>
                    <w:alias w:val="12.20 pp."/>
                    <w:tag w:val="part_f245aed2df8a43da8f4f316d541f3405"/>
                    <w:lock w:val="sdtLocked"/>
                    <w:richText/>
                  </w:sdtPr>
                  <w:sdtContent>
                    <w:p>
                      <w:pPr>
                        <w:spacing w:line="259" w:lineRule="auto"/>
                        <w:ind w:firstLine="709"/>
                        <w:contextualSpacing/>
                        <w:jc w:val="both"/>
                        <w:rPr>
                          <w:sz w:val="10"/>
                          <w:szCs w:val="10"/>
                        </w:rPr>
                      </w:pPr>
                      <w:sdt>
                        <w:sdtPr>
                          <w:alias w:val="Numeris"/>
                          <w:tag w:val="nr_f245aed2df8a43da8f4f316d541f3405"/>
                          <w:lock w:val="sdtLocked"/>
                          <w:richText/>
                        </w:sdtPr>
                        <w:sdtContent>
                          <w:r>
                            <w:rPr>
                              <w:szCs w:val="24"/>
                              <w:lang w:eastAsia="lt-LT"/>
                            </w:rPr>
                            <w:t>12.20</w:t>
                          </w:r>
                        </w:sdtContent>
                      </w:sdt>
                      <w:r>
                        <w:rPr>
                          <w:szCs w:val="24"/>
                          <w:lang w:eastAsia="lt-LT"/>
                        </w:rPr>
                        <w:t>. bakterijos, jei energijos išteklius yra atsinaujinantis pagal Atsinaujinančių išteklių energetikos įstatymo 2 straipsnio 2 dalį.</w:t>
                      </w:r>
                    </w:p>
                  </w:sdtContent>
                </w:sdt>
              </w:sdtContent>
            </w:sdt>
            <w:sdt>
              <w:sdtPr>
                <w:alias w:val="13 p."/>
                <w:tag w:val="part_a32fd41fef0e4896aad7264580f05723"/>
                <w:lock w:val="sdtLocked"/>
                <w:richText/>
              </w:sdtPr>
              <w:sdtContent>
                <w:p>
                  <w:pPr>
                    <w:spacing w:line="259" w:lineRule="auto"/>
                    <w:ind w:firstLine="709"/>
                    <w:contextualSpacing/>
                    <w:jc w:val="both"/>
                    <w:rPr>
                      <w:sz w:val="10"/>
                      <w:szCs w:val="10"/>
                    </w:rPr>
                  </w:pPr>
                  <w:sdt>
                    <w:sdtPr>
                      <w:alias w:val="Numeris"/>
                      <w:tag w:val="nr_a32fd41fef0e4896aad7264580f05723"/>
                      <w:lock w:val="sdtLocked"/>
                      <w:richText/>
                    </w:sdtPr>
                    <w:sdtContent>
                      <w:r>
                        <w:rPr>
                          <w:szCs w:val="24"/>
                          <w:lang w:eastAsia="lt-LT"/>
                        </w:rPr>
                        <w:t>13</w:t>
                      </w:r>
                    </w:sdtContent>
                  </w:sdt>
                  <w:r>
                    <w:rPr>
                      <w:szCs w:val="24"/>
                      <w:lang w:eastAsia="lt-LT"/>
                    </w:rPr>
                    <w:t>.</w:t>
                  </w:r>
                  <w:r>
                    <w:rPr>
                      <w:szCs w:val="24"/>
                    </w:rPr>
                    <w:t xml:space="preserve"> </w:t>
                  </w:r>
                  <w:r>
                    <w:rPr>
                      <w:szCs w:val="24"/>
                      <w:lang w:eastAsia="lt-LT"/>
                    </w:rPr>
                    <w:t>Žaliavos, kurių dalis, siekiant Atsinaujinančių išteklių energetikos įstatymo 1 straipsnio 5 dalies 1 punkte nurodyto 10 procentų rodiklio, tačiau neįskaičiuojant į Atsinaujinančių išteklių energetikos įstatymo 1 straipsnio 5 dalies 1 punkte nustatytą 0,5 procentų rodiklį, turi būti laikoma du kartus didesne už jų energetinę vertę:</w:t>
                  </w:r>
                </w:p>
                <w:sdt>
                  <w:sdtPr>
                    <w:alias w:val="13.1 pp."/>
                    <w:tag w:val="part_b638a1476427496a9f0502bcaf70801e"/>
                    <w:lock w:val="sdtLocked"/>
                    <w:richText/>
                  </w:sdtPr>
                  <w:sdtContent>
                    <w:p>
                      <w:pPr>
                        <w:spacing w:line="259" w:lineRule="auto"/>
                        <w:ind w:firstLine="709"/>
                        <w:contextualSpacing/>
                        <w:jc w:val="both"/>
                        <w:rPr>
                          <w:sz w:val="10"/>
                          <w:szCs w:val="10"/>
                        </w:rPr>
                      </w:pPr>
                      <w:sdt>
                        <w:sdtPr>
                          <w:alias w:val="Numeris"/>
                          <w:tag w:val="nr_b638a1476427496a9f0502bcaf70801e"/>
                          <w:lock w:val="sdtLocked"/>
                          <w:richText/>
                        </w:sdtPr>
                        <w:sdtContent>
                          <w:r>
                            <w:rPr>
                              <w:szCs w:val="24"/>
                              <w:lang w:eastAsia="lt-LT"/>
                            </w:rPr>
                            <w:t>13.1</w:t>
                          </w:r>
                        </w:sdtContent>
                      </w:sdt>
                      <w:r>
                        <w:rPr>
                          <w:szCs w:val="24"/>
                          <w:lang w:eastAsia="lt-LT"/>
                        </w:rPr>
                        <w:t>.</w:t>
                      </w:r>
                      <w:r>
                        <w:rPr>
                          <w:szCs w:val="24"/>
                        </w:rPr>
                        <w:t xml:space="preserve"> </w:t>
                      </w:r>
                      <w:r>
                        <w:rPr>
                          <w:szCs w:val="24"/>
                          <w:lang w:eastAsia="lt-LT"/>
                        </w:rPr>
                        <w:t>naudotas kepimo aliejus;</w:t>
                      </w:r>
                    </w:p>
                  </w:sdtContent>
                </w:sdt>
                <w:sdt>
                  <w:sdtPr>
                    <w:alias w:val="13.2 pp."/>
                    <w:tag w:val="part_7c549d14dc18472f9b65fe3d069c0bb2"/>
                    <w:lock w:val="sdtLocked"/>
                    <w:richText/>
                  </w:sdtPr>
                  <w:sdtContent>
                    <w:p>
                      <w:pPr>
                        <w:spacing w:line="259" w:lineRule="auto"/>
                        <w:ind w:firstLine="709"/>
                        <w:contextualSpacing/>
                        <w:jc w:val="both"/>
                        <w:rPr>
                          <w:sz w:val="10"/>
                          <w:szCs w:val="10"/>
                        </w:rPr>
                      </w:pPr>
                      <w:sdt>
                        <w:sdtPr>
                          <w:alias w:val="Numeris"/>
                          <w:tag w:val="nr_7c549d14dc18472f9b65fe3d069c0bb2"/>
                          <w:lock w:val="sdtLocked"/>
                          <w:richText/>
                        </w:sdtPr>
                        <w:sdtContent>
                          <w:r>
                            <w:rPr>
                              <w:szCs w:val="24"/>
                              <w:lang w:eastAsia="lt-LT"/>
                            </w:rPr>
                            <w:t>13.2</w:t>
                          </w:r>
                        </w:sdtContent>
                      </w:sdt>
                      <w:r>
                        <w:rPr>
                          <w:szCs w:val="24"/>
                          <w:lang w:eastAsia="lt-LT"/>
                        </w:rPr>
                        <w:t>.</w:t>
                      </w:r>
                      <w:r>
                        <w:rPr>
                          <w:color w:val="000000"/>
                          <w:szCs w:val="24"/>
                        </w:rPr>
                        <w:t xml:space="preserve"> 1 ir 2 kategorijų gyvūniniai riebalai pagal 2009 m. spalio 21 d. Europos Parlamento ir Tarybos reglamentą (EB) Nr. 1069/2009, kuriuo nustatomos žmonėms vartoti neskirtų šalutinių gyvūninių produktų ir jų gaminių sveikumo taisyklės ir panaikinamas Reglamentas (EB) Nr. 1774/2002 (Šalutinių gyvūninių produktų reglamentas) (OL 2009, L 300, p. 1).</w:t>
                      </w:r>
                    </w:p>
                  </w:sdtContent>
                </w:sdt>
              </w:sdtContent>
            </w:sdt>
            <w:sdt>
              <w:sdtPr>
                <w:alias w:val="14 p."/>
                <w:tag w:val="part_9d29c93bc0a0482f9cabb48d7bd2ba74"/>
                <w:lock w:val="sdtLocked"/>
                <w:richText/>
              </w:sdtPr>
              <w:sdtContent>
                <w:p>
                  <w:pPr>
                    <w:spacing w:line="259" w:lineRule="auto"/>
                    <w:ind w:firstLine="709"/>
                    <w:contextualSpacing/>
                    <w:jc w:val="both"/>
                    <w:rPr>
                      <w:color w:val="000000"/>
                      <w:szCs w:val="24"/>
                    </w:rPr>
                  </w:pPr>
                  <w:sdt>
                    <w:sdtPr>
                      <w:alias w:val="Numeris"/>
                      <w:tag w:val="nr_9d29c93bc0a0482f9cabb48d7bd2ba74"/>
                      <w:lock w:val="sdtLocked"/>
                      <w:richText/>
                    </w:sdtPr>
                    <w:sdtContent>
                      <w:r>
                        <w:rPr>
                          <w:color w:val="000000"/>
                          <w:szCs w:val="24"/>
                        </w:rPr>
                        <w:t>14</w:t>
                      </w:r>
                    </w:sdtContent>
                  </w:sdt>
                  <w:r>
                    <w:rPr>
                      <w:color w:val="000000"/>
                      <w:szCs w:val="24"/>
                    </w:rPr>
                    <w:t>. Biodegalai, pagaminti iš Metodikos 12 ir 13 punktuose nurodytų žaliavų, turi atitikti Atsinaujinančių išteklių energetikos įstatymo 38 straipsnyje nustatytus tvarumo kriterijus.</w:t>
                  </w:r>
                </w:p>
                <w:p>
                  <w:pPr>
                    <w:spacing w:line="259" w:lineRule="auto"/>
                    <w:ind w:firstLine="709"/>
                    <w:contextualSpacing/>
                    <w:jc w:val="both"/>
                    <w:rPr>
                      <w:szCs w:val="24"/>
                    </w:rPr>
                  </w:pPr>
                </w:p>
              </w:sdtContent>
            </w:sdt>
          </w:sdtContent>
        </w:sdt>
        <w:sdt>
          <w:sdtPr>
            <w:alias w:val="skyrius"/>
            <w:tag w:val="part_1a1ccd98ef9c4e26bdcac965765bb82a"/>
            <w:lock w:val="sdtLocked"/>
            <w:richText/>
          </w:sdtPr>
          <w:sdtContent>
            <w:p>
              <w:pPr>
                <w:ind w:firstLine="709"/>
                <w:jc w:val="center"/>
                <w:rPr>
                  <w:b/>
                  <w:szCs w:val="24"/>
                </w:rPr>
              </w:pPr>
              <w:sdt>
                <w:sdtPr>
                  <w:alias w:val="Numeris"/>
                  <w:tag w:val="nr_1a1ccd98ef9c4e26bdcac965765bb82a"/>
                  <w:lock w:val="sdtLocked"/>
                  <w:richText/>
                </w:sdtPr>
                <w:sdtContent>
                  <w:r>
                    <w:rPr>
                      <w:b/>
                      <w:szCs w:val="24"/>
                    </w:rPr>
                    <w:t>III</w:t>
                  </w:r>
                </w:sdtContent>
              </w:sdt>
              <w:r>
                <w:rPr>
                  <w:b/>
                  <w:szCs w:val="24"/>
                </w:rPr>
                <w:t xml:space="preserve"> SKYRIUS</w:t>
              </w:r>
            </w:p>
            <w:p>
              <w:pPr>
                <w:ind w:firstLine="709"/>
                <w:jc w:val="center"/>
                <w:rPr>
                  <w:b/>
                  <w:szCs w:val="24"/>
                </w:rPr>
              </w:pPr>
              <w:sdt>
                <w:sdtPr>
                  <w:alias w:val="Pavadinimas"/>
                  <w:tag w:val="title_1a1ccd98ef9c4e26bdcac965765bb82a"/>
                  <w:lock w:val="sdtLocked"/>
                  <w:richText/>
                </w:sdtPr>
                <w:sdtContent>
                  <w:r>
                    <w:rPr>
                      <w:b/>
                      <w:szCs w:val="24"/>
                    </w:rPr>
                    <w:t>BAIGIAMOSIOS NUOSTATOS</w:t>
                  </w:r>
                </w:sdtContent>
              </w:sdt>
            </w:p>
            <w:p>
              <w:pPr>
                <w:rPr>
                  <w:b/>
                  <w:szCs w:val="24"/>
                </w:rPr>
              </w:pPr>
            </w:p>
            <w:sdt>
              <w:sdtPr>
                <w:alias w:val="15 p."/>
                <w:tag w:val="part_5b70bc1f50f64cca809fc185468870e4"/>
                <w:lock w:val="sdtLocked"/>
                <w:richText/>
              </w:sdtPr>
              <w:sdtContent>
                <w:p>
                  <w:pPr>
                    <w:ind w:firstLine="709"/>
                    <w:rPr>
                      <w:szCs w:val="24"/>
                    </w:rPr>
                  </w:pPr>
                  <w:sdt>
                    <w:sdtPr>
                      <w:alias w:val="Numeris"/>
                      <w:tag w:val="nr_5b70bc1f50f64cca809fc185468870e4"/>
                      <w:lock w:val="sdtLocked"/>
                      <w:richText/>
                    </w:sdtPr>
                    <w:sdtContent>
                      <w:r>
                        <w:rPr>
                          <w:szCs w:val="24"/>
                        </w:rPr>
                        <w:t>15</w:t>
                      </w:r>
                    </w:sdtContent>
                  </w:sdt>
                  <w:r>
                    <w:rPr>
                      <w:szCs w:val="24"/>
                    </w:rPr>
                    <w:t xml:space="preserve">. Pasikeitus teisės aktams, minimiems Metodikos 1 ir 2 punktuose, Metodika gali būti peržiūrima ir keičiama. </w:t>
                  </w:r>
                </w:p>
                <w:p>
                  <w:pPr>
                    <w:rPr>
                      <w:szCs w:val="24"/>
                    </w:rPr>
                  </w:pPr>
                </w:p>
              </w:sdtContent>
            </w:sdt>
          </w:sdtContent>
        </w:sdt>
        <w:sdt>
          <w:sdtPr>
            <w:alias w:val="pabaiga"/>
            <w:tag w:val="part_e54e9f01420042538608624635f5f4af"/>
            <w:lock w:val="sdtLocked"/>
            <w:richText/>
          </w:sdtPr>
          <w:sdtContent>
            <w:p>
              <w:pPr>
                <w:jc w:val="center"/>
                <w:rPr>
                  <w:szCs w:val="24"/>
                </w:rPr>
              </w:pPr>
              <w:r>
                <w:rPr>
                  <w:szCs w:val="24"/>
                </w:rPr>
                <w:t>_________________</w:t>
              </w:r>
            </w:p>
            <w:p>
              <w:pPr>
                <w:jc w:val="center"/>
                <w:rPr>
                  <w:szCs w:val="24"/>
                  <w:lang w:val="en-US"/>
                </w:rPr>
              </w:pP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energetikos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cd06a00732711eabee4a336e7e6fdab">
            <w:r w:rsidRPr="00532B9F">
              <w:rPr>
                <w:rFonts w:ascii="Times New Roman" w:eastAsia="MS Mincho" w:hAnsi="Times New Roman"/>
                <w:sz w:val="20"/>
                <w:iCs/>
                <w:color w:val="0000FF" w:themeColor="hyperlink"/>
                <w:u w:val="single"/>
              </w:rPr>
              <w:t>1-82</w:t>
            </w:r>
          </w:fldSimple>
          <w:r>
            <w:rPr>
              <w:rFonts w:ascii="Times New Roman" w:eastAsia="MS Mincho" w:hAnsi="Times New Roman"/>
              <w:sz w:val="20"/>
              <w:iCs/>
            </w:rPr>
            <w:t>,
2020-03-31,
paskelbta TAR 2020-03-31, i. k. 2020-06669                </w:t>
          </w:r>
        </w:p>
        <w:p>
          <w:pPr>
            <w:jc w:val="both"/>
            <w:rPr>
              <w:rFonts w:ascii="Times New Roman" w:hAnsi="Times New Roman"/>
            </w:rPr>
          </w:pPr>
          <w:r>
            <w:rPr>
              <w:rFonts w:ascii="Times New Roman" w:hAnsi="Times New Roman"/>
              <w:sz w:val="20"/>
            </w:rPr>
            <w:t>Dėl Lietuvos Respublikos energetikos ministro 2017 m. birželio 28 d. įsakymo Nr. 1-170 „Dėl Atsinaujinančių energijos išteklių dalies, palyginti su bendruoju galutiniu energijos suvartojimu, apskaičiavimo metodikos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2240" w:h="15840"/>
      <w:pgMar w:top="1134" w:right="567" w:bottom="1134" w:left="1701" w:header="709" w:footer="709" w:gutter="0"/>
      <w:pgNumType w:start="1"/>
      <w:cols w:space="708"/>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endnote w:type="separator" w:id="-1">
    <w:p>
      <w:pPr>
        <w:rPr>
          <w:sz w:val="22"/>
          <w:szCs w:val="22"/>
          <w:lang w:val="en-US"/>
        </w:rPr>
      </w:pPr>
      <w:r>
        <w:rPr>
          <w:sz w:val="22"/>
          <w:szCs w:val="22"/>
          <w:lang w:val="en-US"/>
        </w:rPr>
        <w:separator/>
      </w:r>
    </w:p>
  </w:endnote>
  <w:endnote w:type="continuationSeparator" w:id="0">
    <w:p>
      <w:pPr>
        <w:rPr>
          <w:sz w:val="22"/>
          <w:szCs w:val="22"/>
          <w:lang w:val="en-US"/>
        </w:rPr>
      </w:pPr>
      <w:r>
        <w:rPr>
          <w:sz w:val="22"/>
          <w:szCs w:val="22"/>
          <w:lang w:val="en-US"/>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libri Light">
    <w:panose1 w:val="020F0302020204030204"/>
    <w:charset w:val="BA"/>
    <w:family w:val="swiss"/>
    <w:pitch w:val="variable"/>
    <w:sig w:usb0="E0002AFF" w:usb1="C000247B" w:usb2="00000009" w:usb3="00000000" w:csb0="000001FF" w:csb1="00000000"/>
  </w:font>
  <w:font w:name="Calibri">
    <w:panose1 w:val="020F0502020204030204"/>
    <w:charset w:val="BA"/>
    <w:family w:val="swiss"/>
    <w:pitch w:val="variable"/>
    <w:sig w:usb0="E0002EFF" w:usb1="C0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footnote w:type="separator" w:id="-1">
    <w:p>
      <w:pPr>
        <w:rPr>
          <w:sz w:val="22"/>
          <w:szCs w:val="22"/>
          <w:lang w:val="en-US"/>
        </w:rPr>
      </w:pPr>
      <w:r>
        <w:rPr>
          <w:sz w:val="22"/>
          <w:szCs w:val="22"/>
          <w:lang w:val="en-US"/>
        </w:rPr>
        <w:separator/>
      </w:r>
    </w:p>
  </w:footnote>
  <w:footnote w:type="continuationSeparator" w:id="0">
    <w:p>
      <w:pPr>
        <w:rPr>
          <w:sz w:val="22"/>
          <w:szCs w:val="22"/>
          <w:lang w:val="en-US"/>
        </w:rPr>
      </w:pPr>
      <w:r>
        <w:rPr>
          <w:sz w:val="22"/>
          <w:szCs w:val="22"/>
          <w:lang w:val="en-US"/>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2</w:t>
    </w:r>
    <w:r>
      <w:fldChar w:fldCharType="end"/>
    </w: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pStyle w:val="Antrat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sz w:val="22"/>
        <w:szCs w:val="22"/>
        <w:lang w:val="en-GB"/>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7</w:t>
    </w:r>
    <w:r>
      <w:fldChar w:fldCharType="end"/>
    </w:r>
  </w:p>
  <w:p>
    <w:pPr>
      <w:pStyle w:val="Antrat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after="160" w:line="259" w:lineRule="auto"/>
      <w:rPr>
        <w:sz w:val="22"/>
        <w:szCs w:val="22"/>
        <w:lang w:val="en-GB"/>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5</w:t>
    </w:r>
    <w:r>
      <w:fldChar w:fldCharType="end"/>
    </w:r>
  </w:p>
  <w:p>
    <w:pPr>
      <w:pStyle w:val="Antrats"/>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after="160" w:line="259" w:lineRule="auto"/>
      <w:rPr>
        <w:sz w:val="22"/>
        <w:szCs w:val="22"/>
        <w:lang w:val="en-GB"/>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percent="70"/>
  <w:defaultTabStop w:val="720"/>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46D4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F5A3493"/>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91585538">
      <w:bodyDiv w:val="1"/>
      <w:marLeft w:val="0"/>
      <w:marRight w:val="0"/>
      <w:marTop w:val="0"/>
      <w:marBottom w:val="0"/>
      <w:divBdr>
        <w:top w:val="none" w:sz="0" w:space="0" w:color="auto"/>
        <w:left w:val="none" w:sz="0" w:space="0" w:color="auto"/>
        <w:bottom w:val="none" w:sz="0" w:space="0" w:color="auto"/>
        <w:right w:val="none" w:sz="0" w:space="0" w:color="auto"/>
      </w:divBdr>
      <w:divsChild>
        <w:div w:id="499543378">
          <w:marLeft w:val="0"/>
          <w:marRight w:val="0"/>
          <w:marTop w:val="0"/>
          <w:marBottom w:val="0"/>
          <w:divBdr>
            <w:top w:val="none" w:sz="0" w:space="0" w:color="auto"/>
            <w:left w:val="none" w:sz="0" w:space="0" w:color="auto"/>
            <w:bottom w:val="none" w:sz="0" w:space="0" w:color="auto"/>
            <w:right w:val="none" w:sz="0" w:space="0" w:color="auto"/>
          </w:divBdr>
          <w:divsChild>
            <w:div w:id="482351837">
              <w:marLeft w:val="0"/>
              <w:marRight w:val="0"/>
              <w:marTop w:val="0"/>
              <w:marBottom w:val="0"/>
              <w:divBdr>
                <w:top w:val="none" w:sz="0" w:space="0" w:color="auto"/>
                <w:left w:val="none" w:sz="0" w:space="0" w:color="auto"/>
                <w:bottom w:val="none" w:sz="0" w:space="0" w:color="auto"/>
                <w:right w:val="none" w:sz="0" w:space="0" w:color="auto"/>
              </w:divBdr>
              <w:divsChild>
                <w:div w:id="2066753229">
                  <w:marLeft w:val="0"/>
                  <w:marRight w:val="0"/>
                  <w:marTop w:val="0"/>
                  <w:marBottom w:val="0"/>
                  <w:divBdr>
                    <w:top w:val="none" w:sz="0" w:space="0" w:color="auto"/>
                    <w:left w:val="none" w:sz="0" w:space="0" w:color="auto"/>
                    <w:bottom w:val="none" w:sz="0" w:space="0" w:color="auto"/>
                    <w:right w:val="none" w:sz="0" w:space="0" w:color="auto"/>
                  </w:divBdr>
                  <w:divsChild>
                    <w:div w:id="165217837">
                      <w:marLeft w:val="1"/>
                      <w:marRight w:val="1"/>
                      <w:marTop w:val="0"/>
                      <w:marBottom w:val="0"/>
                      <w:divBdr>
                        <w:top w:val="none" w:sz="0" w:space="0" w:color="auto"/>
                        <w:left w:val="none" w:sz="0" w:space="0" w:color="auto"/>
                        <w:bottom w:val="none" w:sz="0" w:space="0" w:color="auto"/>
                        <w:right w:val="none" w:sz="0" w:space="0" w:color="auto"/>
                      </w:divBdr>
                      <w:divsChild>
                        <w:div w:id="1024745556">
                          <w:marLeft w:val="0"/>
                          <w:marRight w:val="0"/>
                          <w:marTop w:val="0"/>
                          <w:marBottom w:val="0"/>
                          <w:divBdr>
                            <w:top w:val="none" w:sz="0" w:space="0" w:color="auto"/>
                            <w:left w:val="none" w:sz="0" w:space="0" w:color="auto"/>
                            <w:bottom w:val="none" w:sz="0" w:space="0" w:color="auto"/>
                            <w:right w:val="none" w:sz="0" w:space="0" w:color="auto"/>
                          </w:divBdr>
                          <w:divsChild>
                            <w:div w:id="133571518">
                              <w:marLeft w:val="0"/>
                              <w:marRight w:val="0"/>
                              <w:marTop w:val="0"/>
                              <w:marBottom w:val="360"/>
                              <w:divBdr>
                                <w:top w:val="none" w:sz="0" w:space="0" w:color="auto"/>
                                <w:left w:val="none" w:sz="0" w:space="0" w:color="auto"/>
                                <w:bottom w:val="none" w:sz="0" w:space="0" w:color="auto"/>
                                <w:right w:val="none" w:sz="0" w:space="0" w:color="auto"/>
                              </w:divBdr>
                              <w:divsChild>
                                <w:div w:id="1486775009">
                                  <w:marLeft w:val="0"/>
                                  <w:marRight w:val="0"/>
                                  <w:marTop w:val="0"/>
                                  <w:marBottom w:val="0"/>
                                  <w:divBdr>
                                    <w:top w:val="none" w:sz="0" w:space="0" w:color="auto"/>
                                    <w:left w:val="none" w:sz="0" w:space="0" w:color="auto"/>
                                    <w:bottom w:val="none" w:sz="0" w:space="0" w:color="auto"/>
                                    <w:right w:val="none" w:sz="0" w:space="0" w:color="auto"/>
                                  </w:divBdr>
                                  <w:divsChild>
                                    <w:div w:id="2125223904">
                                      <w:marLeft w:val="0"/>
                                      <w:marRight w:val="0"/>
                                      <w:marTop w:val="0"/>
                                      <w:marBottom w:val="0"/>
                                      <w:divBdr>
                                        <w:top w:val="none" w:sz="0" w:space="0" w:color="auto"/>
                                        <w:left w:val="none" w:sz="0" w:space="0" w:color="auto"/>
                                        <w:bottom w:val="none" w:sz="0" w:space="0" w:color="auto"/>
                                        <w:right w:val="none" w:sz="0" w:space="0" w:color="auto"/>
                                      </w:divBdr>
                                      <w:divsChild>
                                        <w:div w:id="363989580">
                                          <w:marLeft w:val="0"/>
                                          <w:marRight w:val="0"/>
                                          <w:marTop w:val="0"/>
                                          <w:marBottom w:val="0"/>
                                          <w:divBdr>
                                            <w:top w:val="none" w:sz="0" w:space="0" w:color="auto"/>
                                            <w:left w:val="none" w:sz="0" w:space="0" w:color="auto"/>
                                            <w:bottom w:val="none" w:sz="0" w:space="0" w:color="auto"/>
                                            <w:right w:val="none" w:sz="0" w:space="0" w:color="auto"/>
                                          </w:divBdr>
                                          <w:divsChild>
                                            <w:div w:id="1470977741">
                                              <w:marLeft w:val="0"/>
                                              <w:marRight w:val="0"/>
                                              <w:marTop w:val="0"/>
                                              <w:marBottom w:val="0"/>
                                              <w:divBdr>
                                                <w:top w:val="none" w:sz="0" w:space="0" w:color="auto"/>
                                                <w:left w:val="none" w:sz="0" w:space="0" w:color="auto"/>
                                                <w:bottom w:val="none" w:sz="0" w:space="0" w:color="auto"/>
                                                <w:right w:val="none" w:sz="0" w:space="0" w:color="auto"/>
                                              </w:divBdr>
                                              <w:divsChild>
                                                <w:div w:id="9120828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583833751">
      <w:bodyDiv w:val="1"/>
      <w:marLeft w:val="0"/>
      <w:marRight w:val="0"/>
      <w:marTop w:val="0"/>
      <w:marBottom w:val="0"/>
      <w:divBdr>
        <w:top w:val="none" w:sz="0" w:space="0" w:color="auto"/>
        <w:left w:val="none" w:sz="0" w:space="0" w:color="auto"/>
        <w:bottom w:val="none" w:sz="0" w:space="0" w:color="auto"/>
        <w:right w:val="none" w:sz="0" w:space="0" w:color="auto"/>
      </w:divBdr>
      <w:divsChild>
        <w:div w:id="1247374242">
          <w:marLeft w:val="0"/>
          <w:marRight w:val="0"/>
          <w:marTop w:val="0"/>
          <w:marBottom w:val="0"/>
          <w:divBdr>
            <w:top w:val="none" w:sz="0" w:space="0" w:color="auto"/>
            <w:left w:val="none" w:sz="0" w:space="0" w:color="auto"/>
            <w:bottom w:val="none" w:sz="0" w:space="0" w:color="auto"/>
            <w:right w:val="none" w:sz="0" w:space="0" w:color="auto"/>
          </w:divBdr>
          <w:divsChild>
            <w:div w:id="1083454453">
              <w:marLeft w:val="0"/>
              <w:marRight w:val="0"/>
              <w:marTop w:val="0"/>
              <w:marBottom w:val="0"/>
              <w:divBdr>
                <w:top w:val="none" w:sz="0" w:space="0" w:color="auto"/>
                <w:left w:val="none" w:sz="0" w:space="0" w:color="auto"/>
                <w:bottom w:val="none" w:sz="0" w:space="0" w:color="auto"/>
                <w:right w:val="none" w:sz="0" w:space="0" w:color="auto"/>
              </w:divBdr>
              <w:divsChild>
                <w:div w:id="1369795780">
                  <w:marLeft w:val="0"/>
                  <w:marRight w:val="0"/>
                  <w:marTop w:val="0"/>
                  <w:marBottom w:val="0"/>
                  <w:divBdr>
                    <w:top w:val="none" w:sz="0" w:space="0" w:color="auto"/>
                    <w:left w:val="none" w:sz="0" w:space="0" w:color="auto"/>
                    <w:bottom w:val="none" w:sz="0" w:space="0" w:color="auto"/>
                    <w:right w:val="none" w:sz="0" w:space="0" w:color="auto"/>
                  </w:divBdr>
                  <w:divsChild>
                    <w:div w:id="1712070120">
                      <w:marLeft w:val="1"/>
                      <w:marRight w:val="1"/>
                      <w:marTop w:val="0"/>
                      <w:marBottom w:val="0"/>
                      <w:divBdr>
                        <w:top w:val="none" w:sz="0" w:space="0" w:color="auto"/>
                        <w:left w:val="none" w:sz="0" w:space="0" w:color="auto"/>
                        <w:bottom w:val="none" w:sz="0" w:space="0" w:color="auto"/>
                        <w:right w:val="none" w:sz="0" w:space="0" w:color="auto"/>
                      </w:divBdr>
                      <w:divsChild>
                        <w:div w:id="324168000">
                          <w:marLeft w:val="0"/>
                          <w:marRight w:val="0"/>
                          <w:marTop w:val="0"/>
                          <w:marBottom w:val="0"/>
                          <w:divBdr>
                            <w:top w:val="none" w:sz="0" w:space="0" w:color="auto"/>
                            <w:left w:val="none" w:sz="0" w:space="0" w:color="auto"/>
                            <w:bottom w:val="none" w:sz="0" w:space="0" w:color="auto"/>
                            <w:right w:val="none" w:sz="0" w:space="0" w:color="auto"/>
                          </w:divBdr>
                          <w:divsChild>
                            <w:div w:id="778836844">
                              <w:marLeft w:val="0"/>
                              <w:marRight w:val="0"/>
                              <w:marTop w:val="0"/>
                              <w:marBottom w:val="360"/>
                              <w:divBdr>
                                <w:top w:val="none" w:sz="0" w:space="0" w:color="auto"/>
                                <w:left w:val="none" w:sz="0" w:space="0" w:color="auto"/>
                                <w:bottom w:val="none" w:sz="0" w:space="0" w:color="auto"/>
                                <w:right w:val="none" w:sz="0" w:space="0" w:color="auto"/>
                              </w:divBdr>
                              <w:divsChild>
                                <w:div w:id="1692998219">
                                  <w:marLeft w:val="0"/>
                                  <w:marRight w:val="0"/>
                                  <w:marTop w:val="0"/>
                                  <w:marBottom w:val="0"/>
                                  <w:divBdr>
                                    <w:top w:val="none" w:sz="0" w:space="0" w:color="auto"/>
                                    <w:left w:val="none" w:sz="0" w:space="0" w:color="auto"/>
                                    <w:bottom w:val="none" w:sz="0" w:space="0" w:color="auto"/>
                                    <w:right w:val="none" w:sz="0" w:space="0" w:color="auto"/>
                                  </w:divBdr>
                                  <w:divsChild>
                                    <w:div w:id="2111781584">
                                      <w:marLeft w:val="0"/>
                                      <w:marRight w:val="0"/>
                                      <w:marTop w:val="0"/>
                                      <w:marBottom w:val="0"/>
                                      <w:divBdr>
                                        <w:top w:val="none" w:sz="0" w:space="0" w:color="auto"/>
                                        <w:left w:val="none" w:sz="0" w:space="0" w:color="auto"/>
                                        <w:bottom w:val="none" w:sz="0" w:space="0" w:color="auto"/>
                                        <w:right w:val="none" w:sz="0" w:space="0" w:color="auto"/>
                                      </w:divBdr>
                                      <w:divsChild>
                                        <w:div w:id="1929120308">
                                          <w:marLeft w:val="0"/>
                                          <w:marRight w:val="0"/>
                                          <w:marTop w:val="0"/>
                                          <w:marBottom w:val="0"/>
                                          <w:divBdr>
                                            <w:top w:val="none" w:sz="0" w:space="0" w:color="auto"/>
                                            <w:left w:val="none" w:sz="0" w:space="0" w:color="auto"/>
                                            <w:bottom w:val="none" w:sz="0" w:space="0" w:color="auto"/>
                                            <w:right w:val="none" w:sz="0" w:space="0" w:color="auto"/>
                                          </w:divBdr>
                                          <w:divsChild>
                                            <w:div w:id="346641533">
                                              <w:marLeft w:val="0"/>
                                              <w:marRight w:val="0"/>
                                              <w:marTop w:val="0"/>
                                              <w:marBottom w:val="0"/>
                                              <w:divBdr>
                                                <w:top w:val="none" w:sz="0" w:space="0" w:color="auto"/>
                                                <w:left w:val="none" w:sz="0" w:space="0" w:color="auto"/>
                                                <w:bottom w:val="none" w:sz="0" w:space="0" w:color="auto"/>
                                                <w:right w:val="none" w:sz="0" w:space="0" w:color="auto"/>
                                              </w:divBdr>
                                              <w:divsChild>
                                                <w:div w:id="125333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837841752">
      <w:bodyDiv w:val="1"/>
      <w:marLeft w:val="0"/>
      <w:marRight w:val="0"/>
      <w:marTop w:val="0"/>
      <w:marBottom w:val="0"/>
      <w:divBdr>
        <w:top w:val="none" w:sz="0" w:space="0" w:color="auto"/>
        <w:left w:val="none" w:sz="0" w:space="0" w:color="auto"/>
        <w:bottom w:val="none" w:sz="0" w:space="0" w:color="auto"/>
        <w:right w:val="none" w:sz="0" w:space="0" w:color="auto"/>
      </w:divBdr>
    </w:div>
    <w:div w:id="1838301451">
      <w:bodyDiv w:val="1"/>
      <w:marLeft w:val="0"/>
      <w:marRight w:val="0"/>
      <w:marTop w:val="0"/>
      <w:marBottom w:val="0"/>
      <w:divBdr>
        <w:top w:val="none" w:sz="0" w:space="0" w:color="auto"/>
        <w:left w:val="none" w:sz="0" w:space="0" w:color="auto"/>
        <w:bottom w:val="none" w:sz="0" w:space="0" w:color="auto"/>
        <w:right w:val="none" w:sz="0" w:space="0" w:color="auto"/>
      </w:divBdr>
    </w:div>
    <w:div w:id="1848052764">
      <w:bodyDiv w:val="1"/>
      <w:marLeft w:val="0"/>
      <w:marRight w:val="0"/>
      <w:marTop w:val="0"/>
      <w:marBottom w:val="0"/>
      <w:divBdr>
        <w:top w:val="none" w:sz="0" w:space="0" w:color="auto"/>
        <w:left w:val="none" w:sz="0" w:space="0" w:color="auto"/>
        <w:bottom w:val="none" w:sz="0" w:space="0" w:color="auto"/>
        <w:right w:val="none" w:sz="0" w:space="0" w:color="auto"/>
      </w:divBdr>
    </w:div>
    <w:div w:id="2104952249">
      <w:bodyDiv w:val="1"/>
      <w:marLeft w:val="0"/>
      <w:marRight w:val="0"/>
      <w:marTop w:val="0"/>
      <w:marBottom w:val="0"/>
      <w:divBdr>
        <w:top w:val="none" w:sz="0" w:space="0" w:color="auto"/>
        <w:left w:val="none" w:sz="0" w:space="0" w:color="auto"/>
        <w:bottom w:val="none" w:sz="0" w:space="0" w:color="auto"/>
        <w:right w:val="none" w:sz="0" w:space="0" w:color="auto"/>
      </w:divBdr>
      <w:divsChild>
        <w:div w:id="39786254">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image" Target="media/image2.png"/>
  <Relationship Id="rId11" Type="http://schemas.openxmlformats.org/officeDocument/2006/relationships/header" Target="header7.xml"/>
  <Relationship Id="rId12" Type="http://schemas.openxmlformats.org/officeDocument/2006/relationships/header" Target="header8.xml"/>
  <Relationship Id="rId13" Type="http://schemas.openxmlformats.org/officeDocument/2006/relationships/footer" Target="footer7.xml"/>
  <Relationship Id="rId14" Type="http://schemas.openxmlformats.org/officeDocument/2006/relationships/footer" Target="footer8.xml"/>
  <Relationship Id="rId15" Type="http://schemas.openxmlformats.org/officeDocument/2006/relationships/header" Target="header9.xml"/>
  <Relationship Id="rId16" Type="http://schemas.openxmlformats.org/officeDocument/2006/relationships/footer" Target="footer9.xml"/>
  <Relationship Id="rId17" Type="http://schemas.openxmlformats.org/officeDocument/2006/relationships/image" Target="media/image3.png"/>
  <Relationship Id="rId18" Type="http://schemas.openxmlformats.org/officeDocument/2006/relationships/image" Target="media/image4.png"/>
  <Relationship Id="rId19" Type="http://schemas.openxmlformats.org/officeDocument/2006/relationships/image" Target="media/image5.png"/>
  <Relationship Id="rId2" Type="http://schemas.openxmlformats.org/officeDocument/2006/relationships/endnotes" Target="endnotes.xml"/>
  <Relationship Id="rId20" Type="http://schemas.openxmlformats.org/officeDocument/2006/relationships/image" Target="media/image6.png"/>
  <Relationship Id="rId21" Type="http://schemas.openxmlformats.org/officeDocument/2006/relationships/image" Target="media/image7.png"/>
  <Relationship Id="rId22" Type="http://schemas.openxmlformats.org/officeDocument/2006/relationships/customXml" Target="../customXml/item1.xml"/>
  <Relationship Id="rId3" Type="http://schemas.openxmlformats.org/officeDocument/2006/relationships/fontTable" Target="fontTable.xml"/>
  <Relationship Id="rId4" Type="http://schemas.openxmlformats.org/officeDocument/2006/relationships/footnotes" Target="footnotes.xml"/>
  <Relationship Id="rId5" Type="http://schemas.openxmlformats.org/officeDocument/2006/relationships/settings" Target="settings.xml"/>
  <Relationship Id="rId6" Type="http://schemas.openxmlformats.org/officeDocument/2006/relationships/styles" Target="styles.xml"/>
  <Relationship Id="rId7" Type="http://schemas.microsoft.com/office/2007/relationships/stylesWithEffects" Target="stylesWithEffects.xml"/>
  <Relationship Id="rId8" Type="http://schemas.openxmlformats.org/officeDocument/2006/relationships/theme" Target="theme/theme1.xml"/>
  <Relationship Id="rId9" Type="http://schemas.openxmlformats.org/officeDocument/2006/relationships/webSettings" Target="webSettings.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e0d9b74ffa04490581a4bd825fc325a0" PartId="d2330ea74dd9459c8c05a37b5a07b5e3">
    <Part Type="preambule" DocPartId="907f13ca36804ce79cecc859b74790cd" PartId="fd9ac39e04ab4cd498793d23d71de319"/>
    <Part Type="punktas" Nr="1" Abbr="1 p." DocPartId="fcda6cf0b1524a028162b67319854f79" PartId="27e0e971586347e09fa0f9c7c8a37d9d"/>
    <Part Type="punktas" Nr="2" Abbr="2 p." DocPartId="60d951eef89b43798d52a2476cd41e5e" PartId="74b4e86c8b35403a8a160439e224b325"/>
    <Part Type="signatura" DocPartId="2e4c3c0e538c473c848cf55a16fc1d15" PartId="0e397733009b4a5abfad90b021aff3dd"/>
  </Part>
  <Part Type="patvirtinta" Title="ATSINAUJINANČIŲ ENERGIJOS IŠTEKLIŲ DALIES, PALYGINTI SU BENDRUOJU GALUTINIU ENERGIJOS SUVARTOJIMU, APSKAIČIAVIMO METODIKA" DocPartId="02dd68d059694c3f9c22ec251029e9df" PartId="3d008532de404dabb05665a281080576">
    <Part Type="skyrius" Nr="1" Title="BENDROSIOS NUOSTATOS" DocPartId="6ec4917b684841399a5765e6242c0dcc" PartId="11e3c448a6a44936a6a3fda3a37dd3b7">
      <Part Type="punktas" Nr="1" Abbr="1 p." DocPartId="3f20abe6bc8c40e39cb0ae93dc9c3d2e" PartId="1308091a66aa44e69f55ad3136af56a6"/>
      <Part Type="punktas" Nr="2" Abbr="2 p." DocPartId="c12f4bba42e84b8aa36acec94359920f" PartId="b3279b88096e4e1eab57012b9c938526">
        <Part Type="papunktis" Nr="2.1" Abbr="2.1 pp." DocPartId="74f814caa7324b4fa5ee89af9f293182" PartId="85c5bf1fc05142c58c1aec4704767aa7"/>
        <Part Type="papunktis" Nr="2.2" Abbr="2.2 pp." DocPartId="99dc02b510d541219867e18a9bf05edc" PartId="6418819e3e5f4cd88b70d9050306f274"/>
        <Part Type="papunktis" Nr="2.3" Abbr="2.3 pp." DocPartId="d297631e7a2a4ec781669b5286272788" PartId="c5076b45928c4b769c95a10da264b225"/>
        <Part Type="papunktis" Nr="2.4" Abbr="2.4 pp." DocPartId="21f923b46d4544eba012df93e1f8ef10" PartId="a7619a86ebc34e86988e3a2253261d65"/>
        <Part Type="papunktis" Nr="2.5" Abbr="2.5 pp." DocPartId="63bb2df3c7944e65bb82dc5a8c26c83e" PartId="94dfb34dcdc9458d908b65131b0fb413"/>
        <Part Type="papunktis" Nr="2.6" Abbr="2.6 pp." DocPartId="2b0621e27da342f2b28fb7fc9b11269b" PartId="ec6104a36c1142a18872e7f3862c5d19"/>
        <Part Type="papunktis" Nr="2.7" Abbr="2.7 pp." DocPartId="1a76fa51c5e7410b9c0447c2013b97ab" PartId="d573b28239b84e139c8447e5763efc45"/>
        <Part Type="papunktis" Nr="2.8" Abbr="2.8 pp." DocPartId="f17497f59658429b9abcad53d0d6aced" PartId="08288dceff904c099c2d61eb96a584c0"/>
      </Part>
    </Part>
    <Part Type="skyrius" Nr="2" Title="APSKAIČIAVIMAI PAGAL METODIKĄ" DocPartId="f34c78211aa94287b72e7c72b41dc008" PartId="7eb15d520c494ba1b69b6848e2ceecda">
      <Part Type="punktas" Nr="3" Abbr="3 p." DocPartId="dfef3a4b3cb24fb9b0204a8df07b771c" PartId="bd0eee3b5d2147df82ec8d87ff0b33bb"/>
      <Part Type="punktas" Nr="4" Abbr="4 p." DocPartId="062ce3006cec43faab4e4abfb390f1cf" PartId="fede87d603024e1a91ad624125f06f6b">
        <Part Type="papunktis" Nr="4.1" Abbr="4.1 pp." DocPartId="9d9ee494299c454a86802d1b2826912a" PartId="ca84c99182b644ef9af37152b513603e"/>
        <Part Type="papunktis" Nr="4.2" Abbr="4.2 pp." DocPartId="477374cccd9d4ae69bd58e3d98b3eaa3" PartId="0ac4112329f44fc39c00cb6041f8ab83"/>
        <Part Type="papunktis" Nr="4.3" Abbr="4.3 pp." DocPartId="00e8bd06dc6243b5a266f58d734ef79a" PartId="ce315bb7230046d683e02885c7b070a5"/>
      </Part>
      <Part Type="punktas" Nr="5" Abbr="5 p." DocPartId="1a7de7a3d2ef4a7ba99583ff596b3579" PartId="a53fa1fcd9ba48fd883c0fe8105da50a"/>
      <Part Type="punktas" Nr="6" Abbr="6 p." DocPartId="7804fb2ce3c74ec4a25323724bd6aacc" PartId="027da47fd6a44b048f04f80a43a9093d">
        <Part Type="papunktis" Nr="6.1" Abbr="6.1 pp." DocPartId="487ca32da4c94bc1affe738d77dd2aad" PartId="8c6a842f348d472a858e86e85338e3a4"/>
        <Part Type="papunktis" Nr="6.2" Abbr="6.2 pp." DocPartId="a0484998bc924790a0201b31fb7ea9c8" PartId="c82ad90c96db4ad5bc987539add17049"/>
        <Part Type="papunktis" Nr="6.3" Abbr="6.3 pp." DocPartId="1d019875343c4f658a8c79ce99607537" PartId="d6a60da4fb9c4dd59fcc4b9057504f61"/>
      </Part>
      <Part Type="punktas" Nr="7" Abbr="7 p." DocPartId="6cf9d946d8634cca8bab6d843abe1d65" PartId="1803fb4ffca64f09aaa9d623565b5992"/>
      <Part Type="punktas" Nr="8" Abbr="8 p." DocPartId="055904bb11ca406289983dad8eaf7069" PartId="0b190764673141d7b9d5aa218d7a033c">
        <Part Type="papunktis" Nr="8.1" Abbr="8.1 pp." DocPartId="3c0b626bc42446bc899ea597182d92e5" PartId="5bfebd94fe0241acb14cdfecbf85b974"/>
        <Part Type="papunktis" Nr="8.2" Abbr="8.2 pp." DocPartId="01fed9b70faf4a418e0eb0d08909c32c" PartId="5c5bf9bd1fb346db8c18b4692abad16e"/>
        <Part Type="papunktis" Nr="8.3" Abbr="8.3 pp." DocPartId="93c6736b64f54615b3c75d6c728c818e" PartId="67544056fcb34da6b167109c0fcd9537">
          <Part Type="papunktis" Nr="8.3.1" Abbr="8.3.1 pp." DocPartId="83a819940d1b4816937de573bcac8efd" PartId="04d55cae580b42f29867aa33b28fd04c"/>
          <Part Type="papunktis" Nr="8.3.2" Abbr="8.3.2 pp." DocPartId="fa1e391e446e4889bc7ccc2710cb241e" PartId="28749d7eb9f847df843c1fded3b0292c"/>
        </Part>
      </Part>
      <Part Type="punktas" Nr="9" Abbr="9 p." DocPartId="bafb1c94359e42d19a75d39de615f4c3" PartId="04df33f76d0147d0b9525f530a4859e9">
        <Part Type="papunktis" Nr="9.1" Abbr="9.1 pp." DocPartId="f0588f80062f4e809c6a5d836c96e50c" PartId="9e2aff68e92242be8417e6c7a3e010e6"/>
        <Part Type="papunktis" Nr="9.2" Abbr="9.2 pp." DocPartId="23ae216f6cf94123a97397fe2c023edc" PartId="35a22dc1203b4ed78ac9478dc02a5e70"/>
        <Part Type="papunktis" Nr="9.3" Abbr="9.3 pp." DocPartId="f965e0ee6c274001a0586f709bf3463f" PartId="40179d1fda3a4387b36624b950816a92"/>
        <Part Type="papunktis" Nr="9.4" Abbr="9.4 pp." DocPartId="fae3198155e443afad628dfc6994fb3e" PartId="e6368528a21e41078ad978173f6c1bc3"/>
      </Part>
      <Part Type="punktas" Nr="10" Abbr="10 p." DocPartId="d75d65bace214006bfd4390af2b7324d" PartId="103efaeac0a647308aa4f2be55bed9a6">
        <Part Type="papunktis" Nr="10.1" Abbr="10.1 pp." DocPartId="99334374be444870813be4f3702a3089" PartId="c20e3b35b4304264a257c17acb819ba7"/>
        <Part Type="papunktis" Nr="10.2" Abbr="10.2 pp." DocPartId="9a7172b7c3c04abcac18d17490ce56e5" PartId="de4df1aa5d4949379fc71905dbd59ccf"/>
        <Part Type="papunktis" Nr="10.3" Abbr="10.3 pp." DocPartId="04e9e69c1a284979bceddf246dca2c90" PartId="d1191d52116243f28627411b65b95a46"/>
        <Part Type="papunktis" Nr="10.4" Abbr="10.4 pp." DocPartId="721d0a455057452eb243c4bce42eaf9f" PartId="6b0f22346e71470d8ab47634bcc0a346"/>
        <Part Type="papunktis" Nr="10.5" Abbr="10.5 pp." DocPartId="42279debdc9e433b85549ff7a9b872ea" PartId="2ba00e27cca646dcb627082967a67a47"/>
        <Part Type="papunktis" Nr="10.6" Abbr="10.6 pp." DocPartId="e04f7e19963a4076b6788cf6d246046f" PartId="7731520fd1ef4671b2d6fe3329db094a"/>
        <Part Type="papunktis" Nr="10.7" Abbr="10.7 pp." DocPartId="b2021fd255e44a2184e20a55d62771f0" PartId="7dd3ea688cb04d3dabd0844acd081bc7"/>
        <Part Type="papunktis" Nr="10.8" Abbr="10.8 pp." DocPartId="4186d5a306da4885afe6185886ad281b" PartId="ffa813ca59c44021b8be11512c8a52aa"/>
      </Part>
      <Part Type="punktas" Nr="11" Abbr="11 p." DocPartId="c32e0517f9554885b84a1fed590c7b62" PartId="7bda5e8d68a945e69dfe6d0f1be0b596"/>
      <Part Type="punktas" Nr="12" Abbr="12 p." DocPartId="5269044f3f3a485da8e9b48e6c2a3558" PartId="a6bad82016ba4363836e3400b9f7da6f">
        <Part Type="papunktis" Nr="12.1" Abbr="12.1 pp." DocPartId="04d89ae5f5ad4d67ba125d8f758a8b9a" PartId="63e8c220ca9e4ff39ed668f634446fe7"/>
        <Part Type="papunktis" Nr="12.2" Abbr="12.2 pp." DocPartId="46c38dcbd4084be6b1ddcd607a3b1490" PartId="e3ae9c8ec7d54091a8e2fde7281b8f21"/>
        <Part Type="papunktis" Nr="12.3" Abbr="12.3 pp." DocPartId="4cc889d75b844936b8f87297e80fa190" PartId="4d3d6e4be0ac47d29537889dc316b2cb"/>
        <Part Type="papunktis" Nr="12.4" Abbr="12.4 pp." DocPartId="e02a17ab79e44a6a8b308be5f06d749e" PartId="a9c75b8ebb7f494b8d593af83d39b6b4"/>
        <Part Type="papunktis" Nr="12.5" Abbr="12.5 pp." DocPartId="80e99a66fe7f4110a83a623354527552" PartId="4110c3845c744c1c8734bdcf6cb98416"/>
        <Part Type="papunktis" Nr="12.6" Abbr="12.6 pp." DocPartId="eb5b704d61074fc2bb066f9b426ac758" PartId="5f7ca9a58ff74b4aad261a1a98808409"/>
        <Part Type="papunktis" Nr="12.7" Abbr="12.7 pp." DocPartId="d552d91ed1234a7c8963a5b2adaf0950" PartId="fcf902a803a94e44a25b219c80fafea7"/>
        <Part Type="papunktis" Nr="12.8" Abbr="12.8 pp." DocPartId="aae8307e683c472eb0dc22f4de54d98d" PartId="284a650370224244a54761e67a83c8d1"/>
        <Part Type="papunktis" Nr="12.9" Abbr="12.9 pp." DocPartId="7e5602df516741a4a81e26a1d665fad8" PartId="a52ab4e9560640bc98e9a6716254db50"/>
        <Part Type="papunktis" Nr="12.10" Abbr="12.10 pp." DocPartId="c7a5642d912848a4bd43f0c6104e2231" PartId="c905b2de06ab4f229ebd1578dc516668"/>
        <Part Type="papunktis" Nr="12.11" Abbr="12.11 pp." DocPartId="622b8c37d57c420dad4f7890711ecd07" PartId="0121cc1021f545608ee8d0ace03e9ec1"/>
        <Part Type="papunktis" Nr="12.12" Abbr="12.12 pp." DocPartId="a45491bd83e14e9daad524cc27f25217" PartId="86805fc10809470eaec7ea3cbd207437"/>
        <Part Type="papunktis" Nr="12.13" Abbr="12.13 pp." DocPartId="fc00be857cb046db91e3f26c4f867f16" PartId="e66a886a58194d0292a60f48316e3874"/>
        <Part Type="papunktis" Nr="12.14" Abbr="12.14 pp." DocPartId="cbf112ab75a64b11bafab02bb65fab17" PartId="30250cef3d6443f38a40a963d0be1c80"/>
        <Part Type="papunktis" Nr="12.15" Abbr="12.15 pp." DocPartId="9336b74e27f3494598c27184b9eb5df4" PartId="23a9fdef2e184d0693e9f853ea1ab7a5"/>
        <Part Type="papunktis" Nr="12.16" Abbr="12.16 pp." DocPartId="82400e6e2ec04029879e1a1155ca95ba" PartId="cb3c2dd601a0414b9ebc3889a3acc2e5"/>
        <Part Type="papunktis" Nr="12.17" Abbr="12.17 pp." DocPartId="82613517acc14cfb82960aff281843e4" PartId="0265fcc1b8df41c7a1ac97b7b727d098"/>
        <Part Type="papunktis" Nr="12.18" Abbr="12.18 pp." DocPartId="381b551cf5c44f7da542ac37fcd11f59" PartId="a72d962d018b497baea6cfb4301f119c"/>
        <Part Type="papunktis" Nr="12.19" Abbr="12.19 pp." DocPartId="0be6744ceafd498e9d903089885bdab2" PartId="ebfff53eb3284fb592bed7dfe2ab8c9f"/>
        <Part Type="papunktis" Nr="12.20" Abbr="12.20 pp." DocPartId="146c4656884d4cda810fc1433139ac5e" PartId="f245aed2df8a43da8f4f316d541f3405"/>
      </Part>
      <Part Type="punktas" Nr="13" Abbr="13 p." DocPartId="f487f85484a54b818a2fccf32f296dac" PartId="a32fd41fef0e4896aad7264580f05723">
        <Part Type="papunktis" Nr="13.1" Abbr="13.1 pp." DocPartId="fc058ae9e3f64e9f9191b4c029e8977f" PartId="b638a1476427496a9f0502bcaf70801e"/>
        <Part Type="papunktis" Nr="13.2" Abbr="13.2 pp." DocPartId="44a3c2883d3541c59c533fcb1a5c216f" PartId="7c549d14dc18472f9b65fe3d069c0bb2"/>
      </Part>
      <Part Type="punktas" Nr="14" Abbr="14 p." DocPartId="47c7459aceec426399e4f3f08072fcf5" PartId="9d29c93bc0a0482f9cabb48d7bd2ba74"/>
    </Part>
    <Part Type="skyrius" Nr="3" Title="BAIGIAMOSIOS NUOSTATOS" DocPartId="2f1a41d9e8774ad886915f474196feb2" PartId="1a1ccd98ef9c4e26bdcac965765bb82a">
      <Part Type="punktas" Nr="15" Abbr="15 p." DocPartId="ad80c4eaa3624652853f0b02c16efa8a" PartId="5b70bc1f50f64cca809fc185468870e4"/>
    </Part>
    <Part Type="pabaiga" DocPartId="3d0c8a44254d48058ba0d9ea29c5bef9" PartId="e54e9f01420042538608624635f5f4af"/>
  </Part>
</Parts>
</file>

<file path=customXml/item2.xml><?xml version="1.0" encoding="utf-8"?>
<b:Sources xmlns:b="http://schemas.openxmlformats.org/officeDocument/2006/bibliography" SelectedStyle="\APASixthEditionOfficeOnline.xsl" StyleName="APA" Version="6"/>
</file>

<file path=customXml/item3.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0042FE09-44D2-488C-8692-E144FEA53157}">
  <ds:schemaRefs>
    <ds:schemaRef ds:uri="http://lrs.lt/TAIS/DocParts"/>
  </ds:schemaRefs>
</ds:datastoreItem>
</file>

<file path=customXml/itemProps2.xml><?xml version="1.0" encoding="utf-8"?>
<ds:datastoreItem xmlns:ds="http://schemas.openxmlformats.org/officeDocument/2006/customXml" ds:itemID="{8D01D5B6-842C-43E2-8B5C-A14798993C17}">
  <ds:schemaRefs>
    <ds:schemaRef ds:uri="http://schemas.openxmlformats.org/officeDocument/2006/bibliography"/>
  </ds:schemaRefs>
</ds:datastoreItem>
</file>

<file path=customXml/itemProps3.xml><?xml version="1.0" encoding="utf-8"?>
<ds:datastoreItem xmlns:ds="http://schemas.openxmlformats.org/officeDocument/2006/customXml" ds:itemID="{E7577C0A-001B-4551-9E64-A0FC23241078}">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3</TotalTime>
  <Pages>8</Pages>
  <Words>12478</Words>
  <Characters>7114</Characters>
  <Application>Microsoft Office Word</Application>
  <DocSecurity>0</DocSecurity>
  <Lines>59</Lines>
  <Paragraphs>39</Paragraphs>
  <ScaleCrop>false</ScaleCrop>
  <HeadingPairs>
    <vt:vector xmlns:vt="http://schemas.openxmlformats.org/officeDocument/2006/docPropsVTypes" size="2" baseType="variant">
      <vt:variant>
        <vt:lpstr>Title</vt:lpstr>
      </vt:variant>
      <vt:variant>
        <vt:i4>1</vt:i4>
      </vt:variant>
    </vt:vector>
  </HeadingPairs>
  <TitlesOfParts>
    <vt:vector xmlns:vt="http://schemas.openxmlformats.org/officeDocument/2006/docPropsVTypes" size="1" baseType="lpstr">
      <vt:lpstr/>
    </vt:vector>
  </TitlesOfParts>
  <Company/>
  <LinksUpToDate>false</LinksUpToDate>
  <CharactersWithSpaces>19553</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2017-06-29T08:24:00Z</dcterms:created>
  <dc:creator>Jevgenija Jankevič</dc:creator>
  <lastModifiedBy>JUOSPONIENĖ Karolina</lastModifiedBy>
  <lastPrinted>2017-06-15T07:10:00Z</lastPrinted>
  <dcterms:modified xsi:type="dcterms:W3CDTF">2020-04-02T07:05:00Z</dcterms:modified>
  <revision>5</revision>
</coreProperties>
</file>