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2021-01-07 iki 2021-01-13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9ab6279e4d1d4378b759d0ee774f5dc2"/>
                    <w:lock w:val="sdtLocked"/>
                    <w:richText/>
                  </w:sdtPr>
                  <w:sdtContent>
                    <w:p>
                      <w:pPr>
                        <w:tabs>
                          <w:tab w:val="left" w:pos="1134"/>
                        </w:tabs>
                        <w:ind w:firstLine="720"/>
                        <w:jc w:val="both"/>
                      </w:pPr>
                      <w:sdt>
                        <w:sdtPr>
                          <w:alias w:val="Numeris"/>
                          <w:tag w:val="nr_9ab6279e4d1d4378b759d0ee774f5dc2"/>
                          <w:lock w:val="sdtLocked"/>
                          <w:richText/>
                        </w:sdtPr>
                        <w:sdtContent>
                          <w:r>
                            <w:rPr>
                              <w:szCs w:val="24"/>
                              <w:lang w:eastAsia="lt-LT"/>
                            </w:rPr>
                            <w:t>2.1.7</w:t>
                          </w:r>
                        </w:sdtContent>
                      </w:sdt>
                      <w:r>
                        <w:rPr>
                          <w:szCs w:val="24"/>
                          <w:lang w:eastAsia="lt-LT"/>
                        </w:rPr>
                        <w:t>. Nuo 2020 m. gruodžio 16 d. 00:00 val. iki 2021 m. sausio 31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9600da41cb8843dfa9a49dc9edd0640f"/>
                        <w:lock w:val="sdtLocked"/>
                        <w:richText/>
                      </w:sdtPr>
                      <w:sdtContent>
                        <w:p>
                          <w:pPr>
                            <w:ind w:firstLine="720"/>
                            <w:jc w:val="both"/>
                            <w:rPr>
                              <w:szCs w:val="24"/>
                              <w:shd w:val="clear" w:color="auto" w:fill="FFFFFF"/>
                              <w:lang w:eastAsia="lt-LT"/>
                            </w:rPr>
                          </w:pPr>
                          <w:sdt>
                            <w:sdtPr>
                              <w:alias w:val="Numeris"/>
                              <w:tag w:val="nr_9600da41cb8843dfa9a49dc9edd0640f"/>
                              <w:lock w:val="sdtLocked"/>
                              <w:richText/>
                            </w:sdtPr>
                            <w:sdtContent>
                              <w:r>
                                <w:rPr>
                                  <w:color w:val="000000"/>
                                  <w:szCs w:val="24"/>
                                  <w:lang w:eastAsia="lt-LT"/>
                                </w:rPr>
                                <w:t>2.1.8.1</w:t>
                              </w:r>
                            </w:sdtContent>
                          </w:sdt>
                          <w:r>
                            <w:rPr>
                              <w:color w:val="000000"/>
                              <w:szCs w:val="24"/>
                              <w:lang w:eastAsia="lt-LT"/>
                            </w:rPr>
                            <w:t>. daugiau nei vienos šeimos ir (ar) vieno namų ūkio artimi kontaktai, išskyrus neatidėliotinus atvejus, kai reikia suteikti pagalbą, prižiūrėti sergančius ar negalinčius savimi pasirūpinti asmenis, taip pat 2.1.5.1 papunktyje nustatytus</w:t>
                          </w:r>
                          <w:r>
                            <w:rPr>
                              <w:b/>
                              <w:bCs/>
                              <w:color w:val="000000"/>
                              <w:szCs w:val="24"/>
                              <w:lang w:eastAsia="lt-LT"/>
                            </w:rPr>
                            <w:t xml:space="preserve"> </w:t>
                          </w:r>
                          <w:r>
                            <w:rPr>
                              <w:color w:val="000000"/>
                              <w:szCs w:val="24"/>
                              <w:lang w:eastAsia="lt-LT"/>
                            </w:rPr>
                            <w:t>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13704fab11004d41ba19a0bc6847ac26"/>
                        <w:lock w:val="sdtLocked"/>
                        <w:richText/>
                      </w:sdtPr>
                      <w:sdtContent>
                        <w:p>
                          <w:pPr>
                            <w:ind w:firstLine="720"/>
                            <w:jc w:val="both"/>
                            <w:rPr>
                              <w:rFonts w:eastAsia="Calibri"/>
                              <w:szCs w:val="24"/>
                              <w:lang w:eastAsia="lt-LT"/>
                            </w:rPr>
                          </w:pPr>
                          <w:sdt>
                            <w:sdtPr>
                              <w:alias w:val="Numeris"/>
                              <w:tag w:val="nr_13704fab11004d41ba19a0bc6847ac26"/>
                              <w:lock w:val="sdtLocked"/>
                              <w:richText/>
                            </w:sdtPr>
                            <w:sdtContent>
                              <w:r>
                                <w:rPr>
                                  <w:color w:val="000000"/>
                                  <w:szCs w:val="24"/>
                                  <w:lang w:eastAsia="lt-LT"/>
                                </w:rPr>
                                <w:t>2.2.9.9</w:t>
                              </w:r>
                            </w:sdtContent>
                          </w:sdt>
                          <w:r>
                            <w:rPr>
                              <w:color w:val="000000"/>
                              <w:szCs w:val="24"/>
                              <w:lang w:eastAsia="lt-LT"/>
                            </w:rPr>
                            <w:t>. savivaldybių administracijos užtikrina vaikų, ugdomų pagal pradinio ugdymo programą,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 tėvai, įtėviai, globėjai, atstovai pagal įstatymą darbo funkcijas (darbus) privalo atlikti darbo vietoje ir negali užtikrinti vaikų priežiūros namuose.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d1d9729cea0e4ff695dba447e9b62eac"/>
                <w:lock w:val="sdtLocked"/>
                <w:richText/>
              </w:sdtPr>
              <w:sdtContent>
                <w:p>
                  <w:pPr>
                    <w:ind w:firstLine="720"/>
                    <w:jc w:val="both"/>
                    <w:rPr>
                      <w:szCs w:val="24"/>
                      <w:lang w:eastAsia="lt-LT"/>
                    </w:rPr>
                  </w:pPr>
                  <w:sdt>
                    <w:sdtPr>
                      <w:alias w:val="Numeris"/>
                      <w:tag w:val="nr_d1d9729cea0e4ff695dba447e9b62eac"/>
                      <w:lock w:val="sdtLocked"/>
                      <w:richText/>
                    </w:sdtPr>
                    <w:sdtContent>
                      <w:r>
                        <w:rPr>
                          <w:szCs w:val="24"/>
                          <w:lang w:eastAsia="lt-LT"/>
                        </w:rPr>
                        <w:t>6.1</w:t>
                      </w:r>
                    </w:sdtContent>
                  </w:sdt>
                  <w:r>
                    <w:rPr>
                      <w:szCs w:val="24"/>
                      <w:lang w:eastAsia="lt-LT"/>
                    </w:rPr>
                    <w:t xml:space="preserve">.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uždrausta po 2020 m. lapkričio 30 d., pajamų sumažėjimo, palyginti su </w:t>
                    <w:br/>
                    <w:t>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6b13be2fd29b447d8ecb2122fd503689"/>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6b13be2fd29b447d8ecb2122fd503689"/>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3.xml"/>
  <Relationship Id="rId11" Type="http://schemas.openxmlformats.org/officeDocument/2006/relationships/header" Target="header44.xml"/>
  <Relationship Id="rId12" Type="http://schemas.openxmlformats.org/officeDocument/2006/relationships/footer" Target="footer43.xml"/>
  <Relationship Id="rId13" Type="http://schemas.openxmlformats.org/officeDocument/2006/relationships/footer" Target="footer44.xml"/>
  <Relationship Id="rId14" Type="http://schemas.openxmlformats.org/officeDocument/2006/relationships/header" Target="header45.xml"/>
  <Relationship Id="rId15" Type="http://schemas.openxmlformats.org/officeDocument/2006/relationships/footer" Target="footer4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9ab6279e4d1d4378b759d0ee774f5dc2"/>
        <Part Type="papunktis" Nr="2.1.8" Abbr="2.1.8 pp." DocPartId="03ed9f9233b1464e9c619f99ef7da538" PartId="5ee9d364cd0044e0a99d99dcb8a99672">
          <Part Type="papunktis" Nr="2.1.8.1" Abbr="2.1.8.1 pp." DocPartId="161b3ccdd90d4554b6a6adf8e2e555d6" PartId="9600da41cb8843dfa9a49dc9edd0640f"/>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13704fab11004d41ba19a0bc6847ac26"/>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117a40fb43df4394bff8f4686e3e9f9e">
      <Part Type="papunktis" Nr="6.1" Abbr="6.1 pp." DocPartId="ffb170051d83440fb4323a2ce8c1749f" PartId="d1d9729cea0e4ff695dba447e9b62eac"/>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6b13be2fd29b447d8ecb2122fd503689">
    <Part Type="pabaiga" DocPartId="8aa7d51d84b848debd65b12b26547c89" PartId="eeabe54f6d92436eb4751102dd485d22"/>
  </Part>
</Parts>
</file>

<file path=customXml/itemProps1.xml><?xml version="1.0" encoding="utf-8"?>
<ds:datastoreItem xmlns:ds="http://schemas.openxmlformats.org/officeDocument/2006/customXml" ds:itemID="{46AD001C-67F5-4B53-B1EB-A4D9CEB5FDC4}">
  <ds:schemaRefs>
    <ds:schemaRef ds:uri="http://lrs.lt/TAIS/DocParts"/>
  </ds:schemaRefs>
</ds:datastoreItem>
</file>

<file path=docProps/app.xml><?xml version="1.0" encoding="utf-8"?>
<Properties xmlns="http://schemas.openxmlformats.org/officeDocument/2006/extended-properties">
  <Template>Normal.dotm</Template>
  <TotalTime>41</TotalTime>
  <Pages>12</Pages>
  <Words>4686</Words>
  <Characters>35456</Characters>
  <Application>Microsoft Office Word</Application>
  <DocSecurity>0</DocSecurity>
  <Lines>295</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40062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2021-01-07T07:09:00Z</dcterms:modified>
  <revision>19</revision>
</coreProperties>
</file>