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2021-04-19 iki 2021-04-21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dfc685fb90e84bdfbc1072c3fa177468"/>
                        <w:lock w:val="sdtLocked"/>
                        <w:richText/>
                      </w:sdtPr>
                      <w:sdtContent>
                        <w:p>
                          <w:pPr>
                            <w:tabs>
                              <w:tab w:val="left" w:pos="1134"/>
                            </w:tabs>
                            <w:ind w:firstLine="709"/>
                            <w:jc w:val="both"/>
                          </w:pPr>
                          <w:sdt>
                            <w:sdtPr>
                              <w:alias w:val="Numeris"/>
                              <w:tag w:val="nr_dfc685fb90e84bdfbc1072c3fa177468"/>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w:t>
                          </w:r>
                          <w:r>
                            <w:rPr>
                              <w:color w:val="000000"/>
                              <w:szCs w:val="24"/>
                              <w:lang w:eastAsia="lt-LT"/>
                            </w:rPr>
                            <w:t xml:space="preserve"> bei į vakcinacijos nuo </w:t>
                            <w:br/>
                            <w:t>COVID-19 ligos (koronaviruso infekcijos) vietą ar iš jos</w:t>
                          </w:r>
                          <w:r>
                            <w:rPr>
                              <w:szCs w:val="24"/>
                              <w:lang w:eastAsia="lt-LT"/>
                            </w:rPr>
                            <w:t>,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8 pp."/>
                        <w:tag w:val="part_bb2bfeb263b748d086450243836c32d3"/>
                        <w:lock w:val="sdtLocked"/>
                        <w:richText/>
                      </w:sdtPr>
                      <w:sdtContent>
                        <w:p>
                          <w:pPr>
                            <w:tabs>
                              <w:tab w:val="left" w:pos="1134"/>
                            </w:tabs>
                            <w:ind w:firstLine="720"/>
                            <w:jc w:val="both"/>
                          </w:pPr>
                          <w:sdt>
                            <w:sdtPr>
                              <w:alias w:val="Numeris"/>
                              <w:tag w:val="nr_bb2bfeb263b748d086450243836c32d3"/>
                              <w:lock w:val="sdtLocked"/>
                              <w:richText/>
                            </w:sdtPr>
                            <w:sdtContent>
                              <w:r>
                                <w:rPr>
                                  <w:szCs w:val="24"/>
                                  <w:lang w:eastAsia="lt-LT"/>
                                </w:rPr>
                                <w:t>2.2.2.8</w:t>
                              </w:r>
                            </w:sdtContent>
                          </w:sdt>
                          <w:r>
                            <w:rPr>
                              <w:szCs w:val="24"/>
                              <w:lang w:eastAsia="lt-LT"/>
                            </w:rPr>
                            <w:t>. parduotuvėms ir prekybos vietoms, veikiančioms oro ir jūrų uostų keleivių išvykimo terminaluose;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9 pp."/>
                        <w:tag w:val="part_da6f033361b54de4beea5d9d8f75f4e1"/>
                        <w:lock w:val="sdtLocked"/>
                        <w:richText/>
                      </w:sdtPr>
                      <w:sdtContent>
                        <w:p>
                          <w:pPr>
                            <w:tabs>
                              <w:tab w:val="left" w:pos="1134"/>
                            </w:tabs>
                            <w:ind w:firstLine="720"/>
                            <w:jc w:val="both"/>
                          </w:pPr>
                          <w:sdt>
                            <w:sdtPr>
                              <w:alias w:val="Numeris"/>
                              <w:tag w:val="nr_da6f033361b54de4beea5d9d8f75f4e1"/>
                              <w:lock w:val="sdtLocked"/>
                              <w:richText/>
                            </w:sdtPr>
                            <w:sdtContent>
                              <w:r>
                                <w:rPr>
                                  <w:szCs w:val="24"/>
                                  <w:shd w:val="clear" w:color="auto" w:fill="FFFFFF"/>
                                  <w:lang w:eastAsia="lt-LT"/>
                                </w:rPr>
                                <w:t>2.2.2.9</w:t>
                              </w:r>
                            </w:sdtContent>
                          </w:sdt>
                          <w:r>
                            <w:rPr>
                              <w:szCs w:val="24"/>
                              <w:shd w:val="clear" w:color="auto" w:fill="FFFFFF"/>
                              <w:lang w:eastAsia="lt-LT"/>
                            </w:rPr>
                            <w:t>. nuo pirmadienio iki penktadienio veiklą ne turgavietėse vykdančioms visoms kitoms šio nutarimo 2.2.2.1–2.2.2.8 papunkčiuose nenurodytoms parduotuvėms ir prekybos vietoms.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1a8979393f194ebb8091e19ec4f56344"/>
                    <w:lock w:val="sdtLocked"/>
                    <w:richText/>
                  </w:sdtPr>
                  <w:sdtContent>
                    <w:p>
                      <w:pPr>
                        <w:tabs>
                          <w:tab w:val="left" w:pos="1134"/>
                        </w:tabs>
                        <w:ind w:firstLine="720"/>
                        <w:jc w:val="both"/>
                      </w:pPr>
                      <w:sdt>
                        <w:sdtPr>
                          <w:alias w:val="Numeris"/>
                          <w:tag w:val="nr_1a8979393f194ebb8091e19ec4f56344"/>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Parduotuvėse, įskaitant parduotuves prekybos ir (arba) pramogų centruose, turgavietėse ir kitose viešose prekybos vietose, kurių veikla nedraudžiama, turi būti užtikrinamas 15 m</w:t>
                      </w:r>
                      <w:r>
                        <w:rPr>
                          <w:szCs w:val="24"/>
                          <w:shd w:val="clear" w:color="auto" w:fill="FFFFFF"/>
                          <w:vertAlign w:val="superscript"/>
                          <w:lang w:eastAsia="lt-LT"/>
                        </w:rPr>
                        <w:t>2 </w:t>
                      </w:r>
                      <w:r>
                        <w:rPr>
                          <w:szCs w:val="24"/>
                          <w:shd w:val="clear" w:color="auto" w:fill="FFFFFF"/>
                          <w:lang w:eastAsia="lt-LT"/>
                        </w:rPr>
                        <w:t>prekybos plotas vienam lankytojui arba vienu metu aptarnaujamas ne daugiau kaip vienas asmuo, o parduotuvėse ir prekybos vietose, nurodytose šio nutarimo 2.2.2.6–2.2.2.9 papunkčiuose, – 20 m</w:t>
                      </w:r>
                      <w:r>
                        <w:rPr>
                          <w:szCs w:val="24"/>
                          <w:shd w:val="clear" w:color="auto" w:fill="FFFFFF"/>
                          <w:vertAlign w:val="superscript"/>
                          <w:lang w:eastAsia="lt-LT"/>
                        </w:rPr>
                        <w:t>2</w:t>
                      </w:r>
                      <w:r>
                        <w:rPr>
                          <w:szCs w:val="24"/>
                          <w:shd w:val="clear" w:color="auto" w:fill="FFFFFF"/>
                          <w:lang w:eastAsia="lt-LT"/>
                        </w:rPr>
                        <w:t>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804369b029d04c5bb64cce8589ad4406"/>
                    <w:lock w:val="sdtLocked"/>
                    <w:richText/>
                  </w:sdtPr>
                  <w:sdtContent>
                    <w:p>
                      <w:pPr>
                        <w:tabs>
                          <w:tab w:val="left" w:pos="1134"/>
                        </w:tabs>
                        <w:ind w:firstLine="720"/>
                        <w:jc w:val="both"/>
                        <w:rPr>
                          <w:szCs w:val="24"/>
                          <w:lang w:eastAsia="lt-LT"/>
                        </w:rPr>
                      </w:pPr>
                      <w:sdt>
                        <w:sdtPr>
                          <w:alias w:val="Numeris"/>
                          <w:tag w:val="nr_804369b029d04c5bb64cce8589ad4406"/>
                          <w:lock w:val="sdtLocked"/>
                          <w:richText/>
                        </w:sdtPr>
                        <w:sdtContent>
                          <w:r>
                            <w:rPr>
                              <w:szCs w:val="24"/>
                              <w:shd w:val="clear" w:color="auto" w:fill="FFFFFF"/>
                              <w:lang w:eastAsia="lt-LT"/>
                            </w:rPr>
                            <w:t>2.2.2</w:t>
                          </w:r>
                          <w:r>
                            <w:rPr>
                              <w:szCs w:val="24"/>
                              <w:shd w:val="clear" w:color="auto" w:fill="FFFFFF"/>
                              <w:vertAlign w:val="superscript"/>
                              <w:lang w:eastAsia="lt-LT"/>
                            </w:rPr>
                            <w:t>2</w:t>
                          </w:r>
                        </w:sdtContent>
                      </w:sdt>
                      <w:r>
                        <w:rPr>
                          <w:szCs w:val="24"/>
                          <w:shd w:val="clear" w:color="auto" w:fill="FFFFFF"/>
                          <w:lang w:eastAsia="lt-LT"/>
                        </w:rPr>
                        <w:t>. Prekybos centruose, turgavietėse ar kitose prekybos vietose, kuriuose veiklą vykdo daugiau nei viena parduotuvė ar vienas prekybininkas ir kuriuose šio nutarimo 2.2.2.1, 2.2.2.2, 2.2.2.5 ir 2.2.2.6 papunkčiuose nurodytų parduotuvių (prekybos vietų)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e3e19ea0f6b545cd82ba9058ccda5962"/>
                        <w:lock w:val="sdtLocked"/>
                        <w:richText/>
                      </w:sdtPr>
                      <w:sdtContent>
                        <w:p>
                          <w:pPr>
                            <w:ind w:firstLine="720"/>
                            <w:jc w:val="both"/>
                          </w:pPr>
                          <w:sdt>
                            <w:sdtPr>
                              <w:alias w:val="Numeris"/>
                              <w:tag w:val="nr_e3e19ea0f6b545cd82ba9058ccda5962"/>
                              <w:lock w:val="sdtLocked"/>
                              <w:richText/>
                            </w:sdtPr>
                            <w:sdtContent>
                              <w:r>
                                <w:rPr>
                                  <w:szCs w:val="24"/>
                                  <w:lang w:eastAsia="lt-LT"/>
                                </w:rPr>
                                <w:t>2.2.6.3</w:t>
                              </w:r>
                            </w:sdtContent>
                          </w:sdt>
                          <w:r>
                            <w:rPr>
                              <w:szCs w:val="24"/>
                              <w:lang w:eastAsia="lt-LT"/>
                            </w:rPr>
                            <w:t>. sporto, laisvalaikio ir pramogų paslaugas atvirose erdvėse, vienu metu teikiamas ne daugiau kaip 10 asmenų, išskyrus dviejų šeimų ir (ar) dviejų namų ūkių narius,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3a42c75252b44ccb9bdafaf8aac78c05"/>
                        <w:lock w:val="sdtLocked"/>
                        <w:richText/>
                      </w:sdtPr>
                      <w:sdtContent>
                        <w:p>
                          <w:pPr>
                            <w:tabs>
                              <w:tab w:val="left" w:pos="1134"/>
                            </w:tabs>
                            <w:ind w:firstLine="720"/>
                            <w:jc w:val="both"/>
                            <w:rPr>
                              <w:bCs/>
                              <w:szCs w:val="24"/>
                              <w:lang w:eastAsia="lt-LT"/>
                            </w:rPr>
                          </w:pPr>
                          <w:sdt>
                            <w:sdtPr>
                              <w:alias w:val="Numeris"/>
                              <w:tag w:val="nr_3a42c75252b44ccb9bdafaf8aac78c05"/>
                              <w:lock w:val="sdtLocked"/>
                              <w:richText/>
                            </w:sdtPr>
                            <w:sdtContent>
                              <w:r>
                                <w:rPr>
                                  <w:szCs w:val="24"/>
                                  <w:shd w:val="clear" w:color="auto" w:fill="FFFFFF"/>
                                  <w:lang w:eastAsia="lt-LT"/>
                                </w:rPr>
                                <w:t>2.2.8.1</w:t>
                              </w:r>
                            </w:sdtContent>
                          </w:sdt>
                          <w:r>
                            <w:rPr>
                              <w:szCs w:val="24"/>
                              <w:shd w:val="clear" w:color="auto" w:fill="FFFFFF"/>
                              <w:lang w:eastAsia="lt-LT"/>
                            </w:rPr>
                            <w:t>. renginius atvirose ir uždarose erdvėse, kai renginyje dalyvauja ne daugiau nei 150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sėdimųjų vietų, vyresniems nei 6 metų žiūrovams ir (ar) dalyviams viso renginio metu dėvint kaukes, išskyrus šio nutarimo 2.1.5.2 papunktyje numatytas išimtis, bei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sėdimųjų vietų. Prekiauti maistu ir gėrimais bei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b825e15ca7d4240a402fc6b43426ee7"/>
                        <w:lock w:val="sdtLocked"/>
                        <w:richText/>
                      </w:sdtPr>
                      <w:sdtContent>
                        <w:p>
                          <w:pPr>
                            <w:tabs>
                              <w:tab w:val="left" w:pos="1134"/>
                            </w:tabs>
                            <w:ind w:firstLine="720"/>
                            <w:jc w:val="both"/>
                          </w:pPr>
                          <w:sdt>
                            <w:sdtPr>
                              <w:alias w:val="Numeris"/>
                              <w:tag w:val="nr_ab825e15ca7d4240a402fc6b43426ee7"/>
                              <w:lock w:val="sdtLocked"/>
                              <w:richText/>
                            </w:sdtPr>
                            <w:sdtContent>
                              <w:r>
                                <w:rPr>
                                  <w:szCs w:val="24"/>
                                  <w:shd w:val="clear" w:color="auto" w:fill="FFFFFF"/>
                                  <w:lang w:eastAsia="lt-LT"/>
                                </w:rPr>
                                <w:t>2.2.9.2</w:t>
                              </w:r>
                            </w:sdtContent>
                          </w:sdt>
                          <w:r>
                            <w:rPr>
                              <w:szCs w:val="24"/>
                              <w:shd w:val="clear" w:color="auto" w:fill="FFFFFF"/>
                              <w:lang w:eastAsia="lt-LT"/>
                            </w:rPr>
                            <w:t>. 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10 vidurinio ugdymo programos baigiamosios klasės mokinių, taip pat egzaminus mokiniams, kurie baigia ugdymo programą pagal užsienio valstybių ir tarptautinių organizacijų švietimo programas, kai egzamine vienoje patalpoje dalyvauja ne daugiau kaip 10 mokinių,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197e5c15aa334d4198be184cd5a6cf7d"/>
            <w:lock w:val="sdtLocked"/>
            <w:richText/>
          </w:sdtPr>
          <w:sdtContent>
            <w:p>
              <w:pPr>
                <w:tabs>
                  <w:tab w:val="left" w:pos="1134"/>
                </w:tabs>
                <w:ind w:firstLine="720"/>
                <w:jc w:val="both"/>
              </w:pPr>
              <w:sdt>
                <w:sdtPr>
                  <w:alias w:val="Numeris"/>
                  <w:tag w:val="nr_197e5c15aa334d4198be184cd5a6cf7d"/>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miesto, Klaipėdos rajono, Kretingos rajono, Kupiškio rajono, Lazdijų rajono, Mažeikių rajono, Molėtų rajono, Neringos,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Utenos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965a65da749a4ff2b6ea0aeda21a225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965a65da749a4ff2b6ea0aeda21a225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46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2.xml"/>
  <Relationship Id="rId11" Type="http://schemas.openxmlformats.org/officeDocument/2006/relationships/header" Target="header83.xml"/>
  <Relationship Id="rId12" Type="http://schemas.openxmlformats.org/officeDocument/2006/relationships/footer" Target="footer82.xml"/>
  <Relationship Id="rId13" Type="http://schemas.openxmlformats.org/officeDocument/2006/relationships/footer" Target="footer83.xml"/>
  <Relationship Id="rId14" Type="http://schemas.openxmlformats.org/officeDocument/2006/relationships/header" Target="header84.xml"/>
  <Relationship Id="rId15" Type="http://schemas.openxmlformats.org/officeDocument/2006/relationships/footer" Target="footer8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dfc685fb90e84bdfbc1072c3fa177468"/>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Type="papunktis" Nr="2.2.2.8" Abbr="2.2.2.8 pp." DocPartId="089c9f381c7542bc885673ec4ef5fde7" PartId="bb2bfeb263b748d086450243836c32d3"/>
          <Part Type="papunktis" Nr="2.2.2.9" Abbr="2.2.2.9 pp." DocPartId="5c5b9d20bba84d56a9bb0d09938b1b2d" PartId="da6f033361b54de4beea5d9d8f75f4e1"/>
        </Part>
        <Part Type="papunktis" Nr="2.2.2-1" Abbr="2.2.2-1 pp." DocPartId="47e35d3d85f7486aa5428c0b13523d40" PartId="1a8979393f194ebb8091e19ec4f56344"/>
        <Part Type="papunktis" Nr="2.2.2-2" Abbr="2.2.2-2 pp." DocPartId="b38fa12dde3c47d9b907d7f4b8bb7ccd" PartId="804369b029d04c5bb64cce8589ad4406"/>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e3e19ea0f6b545cd82ba9058ccda5962"/>
          <Part Type="papunktis" Nr="2.2.6.4" Abbr="2.2.6.4 pp." DocPartId="a94f5eec04b24d1598c405e176f4d11a" PartId="73f33e3883fe47e19c66697ad1d18d7d"/>
          <Part Type="papunktis" Nr="2.2.6.6" Abbr="2.2.6.6 pp." DocPartId="ff2bc85031cc4913b60037a4e7a0a59c" PartId="bacd5d340efc409eaf92cd79b06520f6"/>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Type="papunktis" Nr="2.2.6-1.5" Abbr="2.2.6-1.5 pp." DocPartId="9d9bd8719461413d893e83ff3d3f77ec" PartId="fdd28dedd77746a3b54aca85f6632745"/>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3a42c75252b44ccb9bdafaf8aac78c05"/>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b825e15ca7d4240a402fc6b43426ee7"/>
          <Part Type="papunktis" Nr="2.2.9.2-1" Abbr="2.2.9.2-1 pp." DocPartId="fa2ec9dd8ed74ee69a876d344670664a" PartId="d23d12b0e1234180a63c59915d59b243"/>
          <Part Type="papunktis" Nr="2.2.9.2-2" Abbr="2.2.9.2-2 pp." DocPartId="63b3190add554ad4b19caa8e5440d9f5" PartId="78d906b8f3ba476e89412363b1c8b3c3"/>
          <Part Type="papunktis" Nr="2.2.9.2-4" Abbr="2.2.9.2-4 pp." DocPartId="5d85737880974e739e278eaee8f9329d" PartId="04875454e5814fa9ab9ef55f55c50a3d"/>
          <Part Type="papunktis" Nr="2.2.9.2-5" Abbr="2.2.9.2-5 pp." DocPartId="666cb85214a84fd8a0c2b1084b84504f" PartId="3f87f74a67484c639c3f178b5ca7b176"/>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197e5c15aa334d4198be184cd5a6cf7d"/>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965a65da749a4ff2b6ea0aeda21a2251">
    <Part Type="pabaiga" DocPartId="8aa7d51d84b848debd65b12b26547c89" PartId="eeabe54f6d92436eb4751102dd485d22"/>
  </Part>
</Parts>
</file>

<file path=customXml/itemProps1.xml><?xml version="1.0" encoding="utf-8"?>
<ds:datastoreItem xmlns:ds="http://schemas.openxmlformats.org/officeDocument/2006/customXml" ds:itemID="{B16B1D61-DA62-476A-AAF2-360F0AE615E8}">
  <ds:schemaRefs>
    <ds:schemaRef ds:uri="http://lrs.lt/TAIS/DocParts"/>
  </ds:schemaRefs>
</ds:datastoreItem>
</file>

<file path=docProps/app.xml><?xml version="1.0" encoding="utf-8"?>
<Properties xmlns="http://schemas.openxmlformats.org/officeDocument/2006/extended-properties">
  <Template>Normal.dotm</Template>
  <TotalTime>121</TotalTime>
  <Pages>18</Pages>
  <Words>7471</Words>
  <Characters>55544</Characters>
  <Application>Microsoft Office Word</Application>
  <DocSecurity>0</DocSecurity>
  <Lines>462</Lines>
  <Paragraphs>125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62890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2021-04-19T09:09:00Z</dcterms:modified>
  <revision>37</revision>
</coreProperties>
</file>