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2020-12-22 iki 2020-12-23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7734aac3ffaf4792a3b2700a73178f12"/>
                    <w:lock w:val="sdtLocked"/>
                    <w:richText/>
                  </w:sdtPr>
                  <w:sdtContent>
                    <w:p>
                      <w:pPr>
                        <w:tabs>
                          <w:tab w:val="left" w:pos="1134"/>
                        </w:tabs>
                        <w:ind w:firstLine="720"/>
                        <w:jc w:val="both"/>
                        <w:rPr>
                          <w:color w:val="000000"/>
                          <w:szCs w:val="24"/>
                          <w:lang w:eastAsia="lt-LT"/>
                        </w:rPr>
                      </w:pPr>
                      <w:sdt>
                        <w:sdtPr>
                          <w:alias w:val="Numeris"/>
                          <w:tag w:val="nr_7734aac3ffaf4792a3b2700a73178f12"/>
                          <w:lock w:val="sdtLocked"/>
                          <w:richText/>
                        </w:sdtPr>
                        <w:sdtContent>
                          <w:r>
                            <w:rPr>
                              <w:szCs w:val="24"/>
                              <w:lang w:eastAsia="lt-LT"/>
                            </w:rPr>
                            <w:t>2.1.1</w:t>
                          </w:r>
                          <w:r>
                            <w:rPr>
                              <w:szCs w:val="24"/>
                              <w:vertAlign w:val="superscript"/>
                              <w:lang w:eastAsia="lt-LT"/>
                            </w:rPr>
                            <w:t>1</w:t>
                          </w:r>
                        </w:sdtContent>
                      </w:sdt>
                      <w:r>
                        <w:rPr>
                          <w:szCs w:val="24"/>
                          <w:lang w:eastAsia="lt-LT"/>
                        </w:rPr>
                        <w:t xml:space="preserve">. Nuo 2020 m. gruodžio </w:t>
                      </w:r>
                      <w:r>
                        <w:rPr>
                          <w:szCs w:val="24"/>
                          <w:lang w:val="en-GB" w:eastAsia="lt-LT"/>
                        </w:rPr>
                        <w:t>21</w:t>
                      </w:r>
                      <w:r>
                        <w:rPr>
                          <w:szCs w:val="24"/>
                          <w:lang w:eastAsia="lt-LT"/>
                        </w:rPr>
                        <w:t xml:space="preserve"> d. 04:00 val. iki 2020 m. gruodžio </w:t>
                      </w:r>
                      <w:r>
                        <w:rPr>
                          <w:szCs w:val="24"/>
                          <w:lang w:val="en-GB" w:eastAsia="lt-LT"/>
                        </w:rPr>
                        <w:t xml:space="preserve">31 </w:t>
                      </w:r>
                      <w:r>
                        <w:rPr>
                          <w:szCs w:val="24"/>
                          <w:lang w:eastAsia="lt-LT"/>
                        </w:rPr>
                        <w:t>d. 24:00 val. draudžiami skrydžiai keleiviams vežti iš Jungtinės Didžiosios Britanijos ir Šiaurės Airijos Karalystės į Lietuvos Respubliką. Išimties tvarka skrydžiai gali būti vykdomi tik gavus Lietuvos transporto saugos administracijos išduotą atskirą leidimą, atsižvelgiant į sveikatos apsaugos ministro, užsienio reikalų ministro arba vidaus reikalų ministro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0d638d3646f043dc9f12e2cf478cad39"/>
                        <w:lock w:val="sdtLocked"/>
                        <w:richText/>
                      </w:sdtPr>
                      <w:sdtContent>
                        <w:p>
                          <w:pPr>
                            <w:tabs>
                              <w:tab w:val="left" w:pos="1134"/>
                            </w:tabs>
                            <w:ind w:firstLine="720"/>
                            <w:jc w:val="both"/>
                            <w:rPr>
                              <w:szCs w:val="24"/>
                              <w:lang w:eastAsia="lt-LT"/>
                            </w:rPr>
                          </w:pPr>
                          <w:sdt>
                            <w:sdtPr>
                              <w:alias w:val="Numeris"/>
                              <w:tag w:val="nr_0d638d3646f043dc9f12e2cf478cad39"/>
                              <w:lock w:val="sdtLocked"/>
                              <w:richText/>
                            </w:sdtPr>
                            <w:sdtContent>
                              <w:r>
                                <w:rPr>
                                  <w:color w:val="000000"/>
                                  <w:szCs w:val="24"/>
                                  <w:lang w:eastAsia="lt-LT"/>
                                </w:rPr>
                                <w:t>2.1.5.1</w:t>
                              </w:r>
                            </w:sdtContent>
                          </w:sdt>
                          <w:r>
                            <w:rPr>
                              <w:color w:val="000000"/>
                              <w:szCs w:val="24"/>
                              <w:lang w:eastAsia="lt-LT"/>
                            </w:rPr>
                            <w:t xml:space="preserve">. viešose vietose būti ne didesnėmis nei 2 asmenų grupėmis arba </w:t>
                          </w:r>
                          <w:r>
                            <w:rPr>
                              <w:szCs w:val="24"/>
                              <w:shd w:val="clear" w:color="auto" w:fill="FFFFFF"/>
                              <w:lang w:eastAsia="lt-LT"/>
                            </w:rPr>
                            <w:t xml:space="preserve">vienos šeimos ir (ar) vieno namų ūkio narių grupėse. </w:t>
                          </w:r>
                          <w:r>
                            <w:rPr>
                              <w:color w:val="000000"/>
                              <w:szCs w:val="24"/>
                              <w:lang w:eastAsia="lt-LT"/>
                            </w:rPr>
                            <w:t>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dae7b279f4dc4d35916613d405614d5f"/>
                    <w:lock w:val="sdtLocked"/>
                    <w:richText/>
                  </w:sdtPr>
                  <w:sdtContent>
                    <w:p>
                      <w:pPr>
                        <w:tabs>
                          <w:tab w:val="left" w:pos="1134"/>
                        </w:tabs>
                        <w:ind w:firstLine="720"/>
                        <w:jc w:val="both"/>
                      </w:pPr>
                      <w:sdt>
                        <w:sdtPr>
                          <w:alias w:val="Numeris"/>
                          <w:tag w:val="nr_dae7b279f4dc4d35916613d405614d5f"/>
                          <w:lock w:val="sdtLocked"/>
                          <w:richText/>
                        </w:sdtPr>
                        <w:sdtContent>
                          <w:r>
                            <w:rPr>
                              <w:szCs w:val="24"/>
                              <w:lang w:eastAsia="lt-LT"/>
                            </w:rPr>
                            <w:t>2.1.7</w:t>
                          </w:r>
                        </w:sdtContent>
                      </w:sdt>
                      <w:r>
                        <w:rPr>
                          <w:szCs w:val="24"/>
                          <w:lang w:eastAsia="lt-LT"/>
                        </w:rPr>
                        <w:t>.</w:t>
                      </w:r>
                      <w:r>
                        <w:rPr>
                          <w:sz w:val="22"/>
                          <w:szCs w:val="22"/>
                          <w:lang w:eastAsia="lt-LT"/>
                        </w:rPr>
                        <w:t xml:space="preserve"> </w:t>
                      </w:r>
                      <w:r>
                        <w:rPr>
                          <w:color w:val="000000"/>
                          <w:szCs w:val="24"/>
                          <w:lang w:eastAsia="lt-LT"/>
                        </w:rPr>
                        <w:t xml:space="preserve">Nuo 2020 m. gruodžio </w:t>
                      </w:r>
                      <w:r>
                        <w:rPr>
                          <w:color w:val="000000"/>
                          <w:szCs w:val="24"/>
                          <w:lang w:val="en-GB" w:eastAsia="lt-LT"/>
                        </w:rPr>
                        <w:t>16 d.</w:t>
                      </w:r>
                      <w:r>
                        <w:rPr>
                          <w:color w:val="000000"/>
                          <w:szCs w:val="24"/>
                          <w:lang w:eastAsia="lt-LT"/>
                        </w:rPr>
                        <w:t xml:space="preserve"> 00:00 val. iki 202</w:t>
                      </w:r>
                      <w:r>
                        <w:rPr>
                          <w:color w:val="000000"/>
                          <w:szCs w:val="24"/>
                          <w:lang w:val="en-GB" w:eastAsia="lt-LT"/>
                        </w:rPr>
                        <w:t>1</w:t>
                      </w:r>
                      <w:r>
                        <w:rPr>
                          <w:color w:val="000000"/>
                          <w:szCs w:val="24"/>
                          <w:lang w:eastAsia="lt-LT"/>
                        </w:rPr>
                        <w:t xml:space="preserve"> m. sausio </w:t>
                      </w:r>
                      <w:r>
                        <w:rPr>
                          <w:color w:val="000000"/>
                          <w:szCs w:val="24"/>
                          <w:lang w:val="en-GB" w:eastAsia="lt-LT"/>
                        </w:rPr>
                        <w:t>3 d. 24:00 val.</w:t>
                      </w:r>
                      <w:r>
                        <w:rPr>
                          <w:color w:val="000000"/>
                          <w:szCs w:val="24"/>
                          <w:lang w:eastAsia="lt-LT"/>
                        </w:rPr>
                        <w:t xml:space="preserve">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1.8 pp."/>
                    <w:tag w:val="part_5ee9d364cd0044e0a99d99dcb8a99672"/>
                    <w:lock w:val="sdtLocked"/>
                    <w:richText/>
                  </w:sdtPr>
                  <w:sdtContent>
                    <w:p>
                      <w:pPr>
                        <w:tabs>
                          <w:tab w:val="left" w:pos="1134"/>
                        </w:tabs>
                        <w:ind w:firstLine="720"/>
                        <w:jc w:val="both"/>
                        <w:rPr>
                          <w:szCs w:val="24"/>
                          <w:shd w:val="clear" w:color="auto" w:fill="FFFFFF"/>
                          <w:lang w:eastAsia="lt-LT"/>
                        </w:rPr>
                      </w:pPr>
                      <w:sdt>
                        <w:sdtPr>
                          <w:alias w:val="Numeris"/>
                          <w:tag w:val="nr_5ee9d364cd0044e0a99d99dcb8a99672"/>
                          <w:lock w:val="sdtLocked"/>
                          <w:richText/>
                        </w:sdtPr>
                        <w:sdtContent>
                          <w:r>
                            <w:rPr>
                              <w:szCs w:val="24"/>
                              <w:shd w:val="clear" w:color="auto" w:fill="FFFFFF"/>
                              <w:lang w:eastAsia="lt-LT"/>
                            </w:rPr>
                            <w:t>2.1.8</w:t>
                          </w:r>
                        </w:sdtContent>
                      </w:sdt>
                      <w:r>
                        <w:rPr>
                          <w:szCs w:val="24"/>
                          <w:shd w:val="clear" w:color="auto" w:fill="FFFFFF"/>
                          <w:lang w:eastAsia="lt-LT"/>
                        </w:rPr>
                        <w:t xml:space="preserve">. Draudžiama: </w:t>
                      </w:r>
                    </w:p>
                    <w:sdt>
                      <w:sdtPr>
                        <w:alias w:val="2.1.8.1 pp."/>
                        <w:tag w:val="part_14288c26330c49a38e5a445241f56e85"/>
                        <w:lock w:val="sdtLocked"/>
                        <w:richText/>
                      </w:sdtPr>
                      <w:sdtContent>
                        <w:p>
                          <w:pPr>
                            <w:tabs>
                              <w:tab w:val="left" w:pos="1134"/>
                            </w:tabs>
                            <w:ind w:firstLine="720"/>
                            <w:jc w:val="both"/>
                            <w:rPr>
                              <w:szCs w:val="24"/>
                              <w:shd w:val="clear" w:color="auto" w:fill="FFFFFF"/>
                              <w:lang w:eastAsia="lt-LT"/>
                            </w:rPr>
                          </w:pPr>
                          <w:sdt>
                            <w:sdtPr>
                              <w:alias w:val="Numeris"/>
                              <w:tag w:val="nr_14288c26330c49a38e5a445241f56e85"/>
                              <w:lock w:val="sdtLocked"/>
                              <w:richText/>
                            </w:sdtPr>
                            <w:sdtContent>
                              <w:r>
                                <w:rPr>
                                  <w:szCs w:val="24"/>
                                  <w:shd w:val="clear" w:color="auto" w:fill="FFFFFF"/>
                                  <w:lang w:eastAsia="lt-LT"/>
                                </w:rPr>
                                <w:t>2.1.8.1</w:t>
                              </w:r>
                            </w:sdtContent>
                          </w:sdt>
                          <w:r>
                            <w:rPr>
                              <w:szCs w:val="24"/>
                              <w:shd w:val="clear" w:color="auto" w:fill="FFFFFF"/>
                              <w:lang w:eastAsia="lt-LT"/>
                            </w:rPr>
                            <w:t xml:space="preserve">. daugiau nei vienos šeimos ir (ar) vieno namų ūkio artimi kontaktai, išskyrus neatidėliotinus atvejus, kai reikia suteikti pagalbą, prižiūrėti sergančius ar negalinčius savimi pasirūpinti asmenis; </w:t>
                          </w:r>
                        </w:p>
                      </w:sdtContent>
                    </w:sdt>
                    <w:sdt>
                      <w:sdtPr>
                        <w:alias w:val="2.1.8.2 pp."/>
                        <w:tag w:val="part_80d6ddd3fd034e6893cf1c1e998ca048"/>
                        <w:lock w:val="sdtLocked"/>
                        <w:richText/>
                      </w:sdtPr>
                      <w:sdtContent>
                        <w:p>
                          <w:pPr>
                            <w:ind w:firstLine="720"/>
                            <w:jc w:val="both"/>
                            <w:rPr>
                              <w:color w:val="000000"/>
                              <w:szCs w:val="24"/>
                              <w:lang w:eastAsia="lt-LT"/>
                            </w:rPr>
                          </w:pPr>
                          <w:sdt>
                            <w:sdtPr>
                              <w:alias w:val="Numeris"/>
                              <w:tag w:val="nr_80d6ddd3fd034e6893cf1c1e998ca048"/>
                              <w:lock w:val="sdtLocked"/>
                              <w:richText/>
                            </w:sdtPr>
                            <w:sdtContent>
                              <w:r>
                                <w:rPr>
                                  <w:szCs w:val="24"/>
                                  <w:shd w:val="clear" w:color="auto" w:fill="FFFFFF"/>
                                  <w:lang w:eastAsia="lt-LT"/>
                                </w:rPr>
                                <w:t>2.1.8.2</w:t>
                              </w:r>
                            </w:sdtContent>
                          </w:sdt>
                          <w:r>
                            <w:rPr>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w:t>
                          </w:r>
                        </w:p>
                      </w:sdtContent>
                    </w:sdt>
                    <w:sdt>
                      <w:sdtPr>
                        <w:alias w:val="2.1.8.3 pp."/>
                        <w:tag w:val="part_512ecf8b06444137a5e2c9796d0002f2"/>
                        <w:lock w:val="sdtLocked"/>
                        <w:richText/>
                      </w:sdtPr>
                      <w:sdtContent>
                        <w:p>
                          <w:pPr>
                            <w:ind w:firstLine="720"/>
                            <w:jc w:val="both"/>
                            <w:rPr>
                              <w:szCs w:val="24"/>
                              <w:lang w:val="en-US" w:eastAsia="lt-LT"/>
                            </w:rPr>
                          </w:pPr>
                          <w:sdt>
                            <w:sdtPr>
                              <w:alias w:val="Numeris"/>
                              <w:tag w:val="nr_512ecf8b06444137a5e2c9796d0002f2"/>
                              <w:lock w:val="sdtLocked"/>
                              <w:richText/>
                            </w:sdtPr>
                            <w:sdtContent>
                              <w:r>
                                <w:rPr>
                                  <w:color w:val="000000"/>
                                  <w:szCs w:val="24"/>
                                </w:rPr>
                                <w:t>2.1.8.3</w:t>
                              </w:r>
                            </w:sdtContent>
                          </w:sdt>
                          <w:r>
                            <w:rPr>
                              <w:color w:val="000000"/>
                              <w:szCs w:val="24"/>
                            </w:rPr>
                            <w:t xml:space="preserve">. palikti gyvenamąją vietą, išskyrus atvejus, kai vykstama į darbą (darbo reikalais), prekybos vietą, kai vykstama </w:t>
                          </w:r>
                          <w:r>
                            <w:rPr>
                              <w:color w:val="000000"/>
                              <w:lang w:eastAsia="lt-LT"/>
                            </w:rPr>
                            <w:t>į aptarnaujančius tarptautinius keleivių maršrutus</w:t>
                          </w:r>
                          <w:r>
                            <w:rPr>
                              <w:color w:val="000000"/>
                              <w:szCs w:val="24"/>
                            </w:rPr>
                            <w:t xml:space="preserve"> oro, jūrų uostus, autobusų stotis ar iš jų, į nekilnojamojo turto objektą, valdomą nuosavybės teise, laidotuves, dėl sveikatos priežiūros ir kitų būtinųjų paslaugų ar objektyviai pagrįstų priežasčių, kai vykimas neišvengiamai būtinas, kai ne daugiau kaip vienos šeimos ir (ar) vieno namų ūkio nariai vyksta pasivaikščioti atvirose vietose, taip pat kai vykstama </w:t>
                          </w:r>
                          <w:r>
                            <w:rPr>
                              <w:color w:val="000000"/>
                              <w:szCs w:val="24"/>
                              <w:shd w:val="clear" w:color="auto" w:fill="FFFFFF"/>
                            </w:rPr>
                            <w:t>prižiūrėti sergančių ar negalinčių savimi pasirūpinti asmenų</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a4b07484026c40cc9233b8a367b52b86"/>
                        <w:lock w:val="sdtLocked"/>
                        <w:richText/>
                      </w:sdtPr>
                      <w:sdtContent>
                        <w:p>
                          <w:pPr>
                            <w:ind w:firstLine="720"/>
                            <w:jc w:val="both"/>
                            <w:rPr>
                              <w:rFonts w:eastAsia="Calibri"/>
                              <w:szCs w:val="24"/>
                              <w:lang w:eastAsia="lt-LT"/>
                            </w:rPr>
                          </w:pPr>
                          <w:sdt>
                            <w:sdtPr>
                              <w:alias w:val="Numeris"/>
                              <w:tag w:val="nr_a4b07484026c40cc9233b8a367b52b86"/>
                              <w:lock w:val="sdtLocked"/>
                              <w:richText/>
                            </w:sdtPr>
                            <w:sdtContent>
                              <w:r>
                                <w:rPr>
                                  <w:szCs w:val="24"/>
                                  <w:shd w:val="clear" w:color="auto" w:fill="FFFFFF"/>
                                  <w:lang w:eastAsia="lt-LT"/>
                                </w:rPr>
                                <w:t>2.2.2.</w:t>
                              </w:r>
                              <w:r>
                                <w:rPr>
                                  <w:rFonts w:eastAsia="Calibri"/>
                                  <w:szCs w:val="24"/>
                                  <w:lang w:eastAsia="lt-LT"/>
                                </w:rPr>
                                <w:t>1</w:t>
                              </w:r>
                            </w:sdtContent>
                          </w:sdt>
                          <w:r>
                            <w:rPr>
                              <w:rFonts w:eastAsia="Calibri"/>
                              <w:szCs w:val="24"/>
                              <w:lang w:eastAsia="lt-LT"/>
                            </w:rPr>
                            <w:t xml:space="preserve">. parduotuvėms (įskaitant parduotuves prekybos ir (arba) pramogų centruose), kurių pagrindinė veikla yra maisto, veterinarijos, pašarų gyvūnams, vaistinių, optikos prekių ir ortopedijos techninių priemonių pardavimas; </w:t>
                          </w:r>
                        </w:p>
                      </w:sdtContent>
                    </w:sdt>
                    <w:sdt>
                      <w:sdtPr>
                        <w:alias w:val="2.2.2.2 pp."/>
                        <w:tag w:val="part_02fe5aaa323a442db46b12c71eb0a799"/>
                        <w:lock w:val="sdtLocked"/>
                        <w:richText/>
                      </w:sdtPr>
                      <w:sdtContent>
                        <w:p>
                          <w:pPr>
                            <w:ind w:firstLine="720"/>
                            <w:jc w:val="both"/>
                            <w:rPr>
                              <w:rFonts w:eastAsia="Calibri"/>
                              <w:szCs w:val="24"/>
                              <w:lang w:eastAsia="lt-LT"/>
                            </w:rPr>
                          </w:pPr>
                          <w:sdt>
                            <w:sdtPr>
                              <w:alias w:val="Numeris"/>
                              <w:tag w:val="nr_02fe5aaa323a442db46b12c71eb0a799"/>
                              <w:lock w:val="sdtLocked"/>
                              <w:richText/>
                            </w:sdtPr>
                            <w:sdtContent>
                              <w:r>
                                <w:rPr>
                                  <w:szCs w:val="24"/>
                                  <w:shd w:val="clear" w:color="auto" w:fill="FFFFFF"/>
                                  <w:lang w:eastAsia="lt-LT"/>
                                </w:rPr>
                                <w:t>2.2.2.</w:t>
                              </w:r>
                              <w:r>
                                <w:rPr>
                                  <w:rFonts w:eastAsia="Calibri"/>
                                  <w:szCs w:val="24"/>
                                  <w:lang w:eastAsia="lt-LT"/>
                                </w:rPr>
                                <w:t>2</w:t>
                              </w:r>
                            </w:sdtContent>
                          </w:sdt>
                          <w:r>
                            <w:rPr>
                              <w:rFonts w:eastAsia="Calibri"/>
                              <w:szCs w:val="24"/>
                              <w:lang w:eastAsia="lt-LT"/>
                            </w:rPr>
                            <w:t>. maisto prekybai turgavietėse ir kitose viešose prekybos vietose;</w:t>
                          </w:r>
                        </w:p>
                      </w:sdtContent>
                    </w:sdt>
                    <w:sdt>
                      <w:sdtPr>
                        <w:alias w:val="2.2.2.3 pp."/>
                        <w:tag w:val="part_b9d3c64d71974453b99982df68c8a66d"/>
                        <w:lock w:val="sdtLocked"/>
                        <w:richText/>
                      </w:sdtPr>
                      <w:sdtContent>
                        <w:p>
                          <w:pPr>
                            <w:ind w:firstLine="720"/>
                            <w:jc w:val="both"/>
                            <w:rPr>
                              <w:rFonts w:eastAsia="Calibri"/>
                              <w:szCs w:val="24"/>
                              <w:lang w:eastAsia="lt-LT"/>
                            </w:rPr>
                          </w:pPr>
                          <w:sdt>
                            <w:sdtPr>
                              <w:alias w:val="Numeris"/>
                              <w:tag w:val="nr_b9d3c64d71974453b99982df68c8a66d"/>
                              <w:lock w:val="sdtLocked"/>
                              <w:richText/>
                            </w:sdtPr>
                            <w:sdtContent>
                              <w:r>
                                <w:rPr>
                                  <w:szCs w:val="24"/>
                                  <w:shd w:val="clear" w:color="auto" w:fill="FFFFFF"/>
                                  <w:lang w:eastAsia="lt-LT"/>
                                </w:rPr>
                                <w:t>2.2.2</w:t>
                              </w:r>
                              <w:r>
                                <w:rPr>
                                  <w:rFonts w:eastAsia="Calibri"/>
                                  <w:szCs w:val="24"/>
                                  <w:lang w:eastAsia="lt-LT"/>
                                </w:rPr>
                                <w:t>.3</w:t>
                              </w:r>
                            </w:sdtContent>
                          </w:sdt>
                          <w:r>
                            <w:rPr>
                              <w:rFonts w:eastAsia="Calibri"/>
                              <w:szCs w:val="24"/>
                              <w:lang w:eastAsia="lt-LT"/>
                            </w:rPr>
                            <w:t>. internetinei prekybai ir kai prekės pristatomos fiziniams ir juridiniams asmenims ar atsiimamos atsiėmimo punktuose;</w:t>
                          </w:r>
                        </w:p>
                      </w:sdtContent>
                    </w:sdt>
                    <w:sdt>
                      <w:sdtPr>
                        <w:alias w:val="2.2.2.4 pp."/>
                        <w:tag w:val="part_323c8af6e8b5425a87d43e0914710da7"/>
                        <w:lock w:val="sdtLocked"/>
                        <w:richText/>
                      </w:sdtPr>
                      <w:sdtContent>
                        <w:p>
                          <w:pPr>
                            <w:ind w:firstLine="720"/>
                            <w:jc w:val="both"/>
                          </w:pPr>
                          <w:sdt>
                            <w:sdtPr>
                              <w:alias w:val="Numeris"/>
                              <w:tag w:val="nr_323c8af6e8b5425a87d43e0914710da7"/>
                              <w:lock w:val="sdtLocked"/>
                              <w:richText/>
                            </w:sdtPr>
                            <w:sdtContent>
                              <w:r>
                                <w:rPr>
                                  <w:rFonts w:eastAsia="Calibri"/>
                                  <w:szCs w:val="24"/>
                                  <w:lang w:val="en-GB" w:eastAsia="lt-LT"/>
                                </w:rPr>
                                <w:t>2.2.2.4</w:t>
                              </w:r>
                            </w:sdtContent>
                          </w:sdt>
                          <w:r>
                            <w:rPr>
                              <w:rFonts w:eastAsia="Calibri"/>
                              <w:szCs w:val="24"/>
                              <w:lang w:eastAsia="lt-LT"/>
                            </w:rPr>
                            <w:t>. lauko prekybai eglutėmis</w:t>
                          </w:r>
                          <w:r>
                            <w:rPr>
                              <w:szCs w:val="24"/>
                              <w:lang w:eastAsia="lt-LT"/>
                            </w:rPr>
                            <w:t xml:space="preserve"> ir kitais medeliais, skirtais šventėms</w:t>
                          </w:r>
                          <w:r>
                            <w:rPr>
                              <w:rFonts w:eastAsia="Calibri"/>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477aebc60f7d4a07a08a89f38677f105"/>
                    <w:lock w:val="sdtLocked"/>
                    <w:richText/>
                  </w:sdtPr>
                  <w:sdtContent>
                    <w:p>
                      <w:pPr>
                        <w:ind w:firstLine="720"/>
                        <w:jc w:val="both"/>
                        <w:rPr>
                          <w:szCs w:val="24"/>
                          <w:lang w:eastAsia="lt-LT"/>
                        </w:rPr>
                      </w:pPr>
                      <w:sdt>
                        <w:sdtPr>
                          <w:alias w:val="Numeris"/>
                          <w:tag w:val="nr_477aebc60f7d4a07a08a89f38677f105"/>
                          <w:lock w:val="sdtLocked"/>
                          <w:richText/>
                        </w:sdtPr>
                        <w:sdtContent>
                          <w:r>
                            <w:rPr>
                              <w:szCs w:val="24"/>
                              <w:shd w:val="clear" w:color="auto" w:fill="FFFFFF"/>
                              <w:lang w:eastAsia="lt-LT"/>
                            </w:rPr>
                            <w:t>2.2.2.</w:t>
                          </w:r>
                          <w:r>
                            <w:rPr>
                              <w:szCs w:val="24"/>
                              <w:shd w:val="clear" w:color="auto" w:fill="FFFFFF"/>
                              <w:vertAlign w:val="superscript"/>
                              <w:lang w:eastAsia="lt-LT"/>
                            </w:rPr>
                            <w:t>1</w:t>
                          </w:r>
                        </w:sdtContent>
                      </w:sdt>
                      <w:r>
                        <w:rPr>
                          <w:szCs w:val="24"/>
                          <w:shd w:val="clear" w:color="auto" w:fill="FFFFFF"/>
                          <w:lang w:eastAsia="lt-LT"/>
                        </w:rPr>
                        <w:t xml:space="preserve"> </w:t>
                      </w:r>
                      <w:r>
                        <w:rPr>
                          <w:szCs w:val="24"/>
                          <w:lang w:eastAsia="lt-LT"/>
                        </w:rPr>
                        <w:t>Parduotuvėse, įskaitant parduotuves prekybos ir (arba) pramogų centruose, turgavietėse ir kitose viešose prekybos vietose, kurių veikla nedraudžiama, turi būti užtikrinamas 1</w:t>
                      </w:r>
                      <w:r>
                        <w:rPr>
                          <w:szCs w:val="24"/>
                          <w:lang w:val="en-GB" w:eastAsia="lt-LT"/>
                        </w:rPr>
                        <w:t>5</w:t>
                      </w:r>
                      <w:r>
                        <w:rPr>
                          <w:szCs w:val="24"/>
                          <w:lang w:eastAsia="lt-LT"/>
                        </w:rPr>
                        <w:t xml:space="preserve"> m</w:t>
                      </w:r>
                      <w:r>
                        <w:rPr>
                          <w:szCs w:val="24"/>
                          <w:vertAlign w:val="superscript"/>
                          <w:lang w:eastAsia="lt-LT"/>
                        </w:rPr>
                        <w:t>2</w:t>
                      </w:r>
                      <w:r>
                        <w:rPr>
                          <w:szCs w:val="24"/>
                          <w:lang w:eastAsia="lt-LT"/>
                        </w:rPr>
                        <w:t xml:space="preserve"> prekybos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 pp."/>
                    <w:tag w:val="part_d9b413be7bfc45588ae483d1315f48e5"/>
                    <w:lock w:val="sdtLocked"/>
                    <w:richText/>
                  </w:sdtPr>
                  <w:sdtContent>
                    <w:p>
                      <w:pPr>
                        <w:tabs>
                          <w:tab w:val="left" w:pos="1418"/>
                        </w:tabs>
                        <w:ind w:firstLine="720"/>
                        <w:jc w:val="both"/>
                        <w:rPr>
                          <w:szCs w:val="24"/>
                          <w:lang w:eastAsia="lt-LT"/>
                        </w:rPr>
                      </w:pPr>
                      <w:sdt>
                        <w:sdtPr>
                          <w:alias w:val="Numeris"/>
                          <w:tag w:val="nr_d9b413be7bfc45588ae483d1315f48e5"/>
                          <w:lock w:val="sdtLocked"/>
                          <w:richText/>
                        </w:sdtPr>
                        <w:sdtContent>
                          <w:r>
                            <w:rPr>
                              <w:szCs w:val="24"/>
                              <w:lang w:eastAsia="lt-LT"/>
                            </w:rPr>
                            <w:t>2.2.3</w:t>
                          </w:r>
                        </w:sdtContent>
                      </w:sdt>
                      <w:r>
                        <w:rPr>
                          <w:szCs w:val="24"/>
                          <w:lang w:eastAsia="lt-LT"/>
                        </w:rPr>
                        <w:t xml:space="preserve">. Draudžiama teikti grožio, taip pat kitas paslaugas, kurių teikimo metu būtinas ilgesnis nei </w:t>
                      </w:r>
                      <w:r>
                        <w:rPr>
                          <w:szCs w:val="24"/>
                          <w:lang w:val="en-GB" w:eastAsia="lt-LT"/>
                        </w:rPr>
                        <w:t>15 minu</w:t>
                      </w:r>
                      <w:r>
                        <w:rPr>
                          <w:szCs w:val="24"/>
                          <w:lang w:eastAsia="lt-LT"/>
                        </w:rPr>
                        <w:t xml:space="preserve">čių kontaktas tarp paslaugos teikėjo ir paslaugos gavėjo. Šis draudimas netaikomas medicininės reabilitacijos paslaugoms, psichologinės pagalbos ir psichoterapijos paslaugoms, </w:t>
                      </w:r>
                      <w:r>
                        <w:rPr>
                          <w:spacing w:val="2"/>
                          <w:szCs w:val="24"/>
                          <w:lang w:eastAsia="lt-LT"/>
                        </w:rPr>
                        <w:t>keleivių vežimo už atlygį lengvaisiais automobiliais pagal užsakymą ir lengvaisiais automobiliais taksi</w:t>
                      </w:r>
                      <w:r>
                        <w:rPr>
                          <w:szCs w:val="24"/>
                          <w:lang w:eastAsia="lt-LT"/>
                        </w:rPr>
                        <w:t xml:space="preserve"> paslaugoms, advokatų teikiamoms teisinėms paslaugoms, finansinėms paslaugoms ir kvalifikuotų patikimumo užtikrinimo paslaugų teikėjų sudarytų kvalifikuotų sertifikatų išdavimo paslaugoms, kurių neįmanoma suteikti nuotoliniu būdu, taip pat toms paslaugoms, kurias leidžiama teikti pagal šio nutarimo </w:t>
                      </w:r>
                      <w:r>
                        <w:rPr>
                          <w:szCs w:val="24"/>
                          <w:lang w:val="en-US" w:eastAsia="lt-LT"/>
                        </w:rPr>
                        <w:t xml:space="preserve">2.1.6, </w:t>
                      </w:r>
                      <w:r>
                        <w:rPr>
                          <w:szCs w:val="24"/>
                          <w:shd w:val="clear" w:color="auto" w:fill="FFFFFF"/>
                          <w:lang w:eastAsia="lt-LT"/>
                        </w:rPr>
                        <w:t>2.2.4,</w:t>
                      </w:r>
                      <w:r>
                        <w:rPr>
                          <w:szCs w:val="24"/>
                          <w:lang w:eastAsia="lt-LT"/>
                        </w:rPr>
                        <w:t xml:space="preserve"> </w:t>
                      </w:r>
                      <w:r>
                        <w:rPr>
                          <w:szCs w:val="24"/>
                          <w:lang w:val="en-US" w:eastAsia="lt-LT"/>
                        </w:rPr>
                        <w:t>2.2.</w:t>
                      </w:r>
                      <w:r>
                        <w:rPr>
                          <w:szCs w:val="24"/>
                          <w:lang w:val="en-GB" w:eastAsia="lt-LT"/>
                        </w:rPr>
                        <w:t>6</w:t>
                      </w:r>
                      <w:r>
                        <w:rPr>
                          <w:szCs w:val="24"/>
                          <w:lang w:val="en-US" w:eastAsia="lt-LT"/>
                        </w:rPr>
                        <w:t xml:space="preserve">, </w:t>
                      </w:r>
                      <w:r>
                        <w:rPr>
                          <w:szCs w:val="24"/>
                          <w:lang w:eastAsia="lt-LT"/>
                        </w:rPr>
                        <w:t>2.2.6</w:t>
                      </w:r>
                      <w:r>
                        <w:rPr>
                          <w:szCs w:val="24"/>
                          <w:vertAlign w:val="superscript"/>
                          <w:lang w:eastAsia="lt-LT"/>
                        </w:rPr>
                        <w:t>1</w:t>
                      </w:r>
                      <w:r>
                        <w:rPr>
                          <w:szCs w:val="24"/>
                          <w:lang w:eastAsia="lt-LT"/>
                        </w:rPr>
                        <w:t>, 2.2.7, 2.2.9–2.2.11 papunkčius. Paslaugų, kurios šiuo nutarimu nedraudžiamos, teikimo vietose (išskyrus apgyvendinimo paslaugų teikimo vietas) turi būti užtikrinamas 10 m</w:t>
                      </w:r>
                      <w:r>
                        <w:rPr>
                          <w:szCs w:val="24"/>
                          <w:vertAlign w:val="superscript"/>
                          <w:lang w:eastAsia="lt-LT"/>
                        </w:rPr>
                        <w:t>2</w:t>
                      </w:r>
                      <w:r>
                        <w:rPr>
                          <w:szCs w:val="24"/>
                          <w:lang w:eastAsia="lt-LT"/>
                        </w:rPr>
                        <w:t xml:space="preserve"> paslaugos teikimo plotas vienam lankytojui arba vienu metu aptarnaujamas ne daugiau kaip vienas asmuo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8fe1837f3dd94b7e98a2239d0bed8a1c"/>
                    <w:lock w:val="sdtLocked"/>
                    <w:richText/>
                  </w:sdtPr>
                  <w:sdtContent>
                    <w:p>
                      <w:pPr>
                        <w:ind w:firstLine="720"/>
                        <w:jc w:val="both"/>
                      </w:pPr>
                      <w:sdt>
                        <w:sdtPr>
                          <w:alias w:val="Numeris"/>
                          <w:tag w:val="nr_8fe1837f3dd94b7e98a2239d0bed8a1c"/>
                          <w:lock w:val="sdtLocked"/>
                          <w:richText/>
                        </w:sdtPr>
                        <w:sdtContent>
                          <w:r>
                            <w:rPr>
                              <w:szCs w:val="24"/>
                              <w:shd w:val="clear" w:color="auto" w:fill="FFFFFF"/>
                              <w:lang w:eastAsia="lt-LT"/>
                            </w:rPr>
                            <w:t>2.2.6</w:t>
                          </w:r>
                        </w:sdtContent>
                      </w:sdt>
                      <w:r>
                        <w:rPr>
                          <w:szCs w:val="24"/>
                          <w:shd w:val="clear" w:color="auto" w:fill="FFFFFF"/>
                          <w:lang w:eastAsia="lt-LT"/>
                        </w:rPr>
                        <w:t xml:space="preserve">. </w:t>
                      </w:r>
                      <w:r>
                        <w:rPr>
                          <w:szCs w:val="24"/>
                          <w:lang w:eastAsia="lt-LT"/>
                        </w:rPr>
                        <w:t>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d8cf311a9c384853b15c4c399d66d4ea"/>
                        <w:lock w:val="sdtLocked"/>
                        <w:richText/>
                      </w:sdtPr>
                      <w:sdtContent>
                        <w:p>
                          <w:pPr>
                            <w:ind w:firstLine="720"/>
                            <w:jc w:val="both"/>
                            <w:rPr>
                              <w:szCs w:val="24"/>
                              <w:lang w:eastAsia="lt-LT"/>
                            </w:rPr>
                          </w:pPr>
                          <w:sdt>
                            <w:sdtPr>
                              <w:alias w:val="Numeris"/>
                              <w:tag w:val="nr_d8cf311a9c384853b15c4c399d66d4ea"/>
                              <w:lock w:val="sdtLocked"/>
                              <w:richText/>
                            </w:sdtPr>
                            <w:sdtContent>
                              <w:r>
                                <w:rPr>
                                  <w:szCs w:val="24"/>
                                  <w:lang w:eastAsia="lt-LT"/>
                                </w:rPr>
                                <w:t>2.2.9.2</w:t>
                              </w:r>
                            </w:sdtContent>
                          </w:sdt>
                          <w:r>
                            <w:rPr>
                              <w:szCs w:val="24"/>
                              <w:lang w:eastAsia="lt-LT"/>
                            </w:rPr>
                            <w:t>.</w:t>
                          </w:r>
                          <w:r>
                            <w:rPr>
                              <w:rFonts w:eastAsia="Calibri"/>
                              <w:color w:val="201F1E"/>
                              <w:szCs w:val="24"/>
                              <w:lang w:eastAsia="lt-LT"/>
                            </w:rPr>
                            <w:t xml:space="preserve">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3 pp."/>
                        <w:tag w:val="part_9d3879e48d8846a29b688ab3dcc1ff91"/>
                        <w:lock w:val="sdtLocked"/>
                        <w:richText/>
                      </w:sdtPr>
                      <w:sdtContent>
                        <w:p>
                          <w:pPr>
                            <w:tabs>
                              <w:tab w:val="left" w:pos="1134"/>
                            </w:tabs>
                            <w:ind w:firstLine="720"/>
                            <w:jc w:val="both"/>
                            <w:rPr>
                              <w:szCs w:val="24"/>
                              <w:lang w:eastAsia="lt-LT"/>
                            </w:rPr>
                          </w:pPr>
                          <w:sdt>
                            <w:sdtPr>
                              <w:alias w:val="Numeris"/>
                              <w:tag w:val="nr_9d3879e48d8846a29b688ab3dcc1ff91"/>
                              <w:lock w:val="sdtLocked"/>
                              <w:richText/>
                            </w:sdtPr>
                            <w:sdtContent>
                              <w:r>
                                <w:rPr>
                                  <w:szCs w:val="24"/>
                                  <w:lang w:eastAsia="lt-LT"/>
                                </w:rPr>
                                <w:t>2.2.9.3</w:t>
                              </w:r>
                            </w:sdtContent>
                          </w:sdt>
                          <w:r>
                            <w:rPr>
                              <w:szCs w:val="24"/>
                              <w:lang w:eastAsia="lt-LT"/>
                            </w:rPr>
                            <w:t>. neformalusis vaikų švietimas vykdomas nuotoliniu būdu arba stabdomas;</w:t>
                          </w:r>
                        </w:p>
                      </w:sdtContent>
                    </w:sdt>
                    <w:sdt>
                      <w:sdtPr>
                        <w:alias w:val="2.2.9.4 pp."/>
                        <w:tag w:val="part_37c1732860894d72b7949e11a1c5cd28"/>
                        <w:lock w:val="sdtLocked"/>
                        <w:richText/>
                      </w:sdtPr>
                      <w:sdtContent>
                        <w:p>
                          <w:pPr>
                            <w:tabs>
                              <w:tab w:val="left" w:pos="1134"/>
                            </w:tabs>
                            <w:ind w:firstLine="720"/>
                            <w:jc w:val="both"/>
                            <w:rPr>
                              <w:szCs w:val="24"/>
                              <w:lang w:eastAsia="lt-LT"/>
                            </w:rPr>
                          </w:pPr>
                          <w:sdt>
                            <w:sdtPr>
                              <w:alias w:val="Numeris"/>
                              <w:tag w:val="nr_37c1732860894d72b7949e11a1c5cd28"/>
                              <w:lock w:val="sdtLocked"/>
                              <w:richText/>
                            </w:sdtPr>
                            <w:sdtContent>
                              <w:r>
                                <w:rPr>
                                  <w:szCs w:val="24"/>
                                  <w:lang w:eastAsia="lt-LT"/>
                                </w:rPr>
                                <w:t>2.2.9.4</w:t>
                              </w:r>
                            </w:sdtContent>
                          </w:sdt>
                          <w:r>
                            <w:rPr>
                              <w:szCs w:val="24"/>
                              <w:lang w:eastAsia="lt-LT"/>
                            </w:rPr>
                            <w:t xml:space="preserve">. neformalusis suaugusiųjų švietimas ir neformalusis profesinis mokymas vykdomi nuotoliniu būdu arba stabdomi, išskyrus aviacijos, jūrininkų bei transporto priemonių vairavimo praktinius mokymus, taip pat </w:t>
                          </w:r>
                          <w:r>
                            <w:rPr>
                              <w:color w:val="000000"/>
                              <w:szCs w:val="24"/>
                              <w:lang w:eastAsia="lt-LT"/>
                            </w:rPr>
                            <w:t xml:space="preserve">užsienio kalbos mokėjimo lygio vertinimo egzaminus (įskaitas) asmenims, stojantiems į užsienio aukštąsias mokyklas, kai dalyvauja ne daugiau kaip 5 asmenys ir </w:t>
                          </w:r>
                          <w:r>
                            <w:rPr>
                              <w:szCs w:val="24"/>
                              <w:lang w:eastAsia="lt-LT"/>
                            </w:rPr>
                            <w:t>užtikrinamos valstybės lygio ekstremaliosios situacijos operacijų vadovo nustatytos asmenų srautų valdymo, saugaus atstumo laikymosi ir kitos būtinos visuomenės sveikatos saugos, higienos, asmenų aprūpinimo būtinosiomis asmeninėmis apsaugos priemonėmis sąlygos;</w:t>
                          </w:r>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cdce427ed31446218417936c34fd6768"/>
                        <w:lock w:val="sdtLocked"/>
                        <w:richText/>
                      </w:sdtPr>
                      <w:sdtContent>
                        <w:p>
                          <w:pPr>
                            <w:tabs>
                              <w:tab w:val="left" w:pos="1134"/>
                            </w:tabs>
                            <w:ind w:firstLine="720"/>
                            <w:jc w:val="both"/>
                            <w:rPr>
                              <w:rFonts w:eastAsia="Calibri"/>
                              <w:szCs w:val="24"/>
                              <w:lang w:eastAsia="lt-LT"/>
                            </w:rPr>
                          </w:pPr>
                          <w:sdt>
                            <w:sdtPr>
                              <w:alias w:val="Numeris"/>
                              <w:tag w:val="nr_cdce427ed31446218417936c34fd6768"/>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6acb9d59b13248e88a8fcc4220d16d43"/>
            <w:lock w:val="sdtLocked"/>
            <w:richText/>
          </w:sdtPr>
          <w:sdtContent>
            <w:p>
              <w:pPr>
                <w:tabs>
                  <w:tab w:val="left" w:pos="1276"/>
                </w:tabs>
                <w:ind w:firstLine="720"/>
                <w:jc w:val="both"/>
                <w:rPr>
                  <w:szCs w:val="24"/>
                  <w:lang w:eastAsia="lt-LT"/>
                </w:rPr>
              </w:pPr>
              <w:sdt>
                <w:sdtPr>
                  <w:alias w:val="Numeris"/>
                  <w:tag w:val="nr_6acb9d59b13248e88a8fcc4220d16d43"/>
                  <w:lock w:val="sdtLocked"/>
                  <w:richText/>
                </w:sdtPr>
                <w:sdtContent>
                  <w:r>
                    <w:rPr>
                      <w:szCs w:val="24"/>
                      <w:lang w:eastAsia="lt-LT"/>
                    </w:rPr>
                    <w:t>5</w:t>
                  </w:r>
                </w:sdtContent>
              </w:sdt>
              <w:r>
                <w:rPr>
                  <w:szCs w:val="24"/>
                  <w:lang w:eastAsia="lt-LT"/>
                </w:rPr>
                <w:t>. Karantino režimo trukmė – nuo 2020 m. lapkričio 7 d. 00:00 val. iki 2021 m. sausio 31 d. 24:00 val</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f3bde21902e48deac6edfbcdfa3e7dc"/>
                <w:lock w:val="sdtLocked"/>
                <w:richText/>
              </w:sdtPr>
              <w:sdtContent>
                <w:p>
                  <w:pPr>
                    <w:ind w:firstLine="709"/>
                    <w:jc w:val="both"/>
                    <w:rPr>
                      <w:lang w:eastAsia="lt-LT"/>
                    </w:rPr>
                  </w:pPr>
                  <w:sdt>
                    <w:sdtPr>
                      <w:alias w:val="Numeris"/>
                      <w:tag w:val="nr_4f3bde21902e48deac6edfbcdfa3e7dc"/>
                      <w:lock w:val="sdtLocked"/>
                      <w:richText/>
                    </w:sdtPr>
                    <w:sdtContent>
                      <w:r>
                        <w:rPr>
                          <w:lang w:eastAsia="lt-LT"/>
                        </w:rPr>
                        <w:t>6.1</w:t>
                      </w:r>
                    </w:sdtContent>
                  </w:sdt>
                  <w:r>
                    <w:rPr>
                      <w:lang w:eastAsia="lt-LT"/>
                    </w:rPr>
                    <w:t xml:space="preserve">. ūkinės veiklos vykdytojo ūkinės veiklos vidutinė vieno mėnesio apyvarta, skaičiuojant nuo 2020 m. spalio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w:t>
                  </w:r>
                </w:p>
                <w:p>
                  <w:pPr>
                    <w:tabs>
                      <w:tab w:val="left" w:pos="1134"/>
                    </w:tabs>
                    <w:ind w:firstLine="851"/>
                    <w:jc w:val="both"/>
                    <w:rPr>
                      <w:color w:val="000000"/>
                      <w:szCs w:val="24"/>
                      <w:lang w:eastAsia="lt-LT"/>
                    </w:rPr>
                  </w:pPr>
                  <w:r>
                    <w:rPr>
                      <w:lang w:eastAsia="lt-LT"/>
                    </w:rPr>
                    <w:t xml:space="preserve">Tuo atveju, kai ūkinės veiklos vykdytojas, skaičiuojant nuo 2019 m. spalio 1  d. iki 2020 m. sausio 31 d., pajamų negavo, jam gali būti taikomos paramos priemonės pagal šio nutarimo 6.2 papunktį paramos priemonių aprašuose nustatyta tvarka ir sąlygomis, išskyrus atvejus, kai ūkinės veiklos vykdytojas buvo sustabdęs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93fa403fb411eb8d9fe110e148c770">
                    <w:r w:rsidRPr="00532B9F">
                      <w:rPr>
                        <w:rFonts w:ascii="Times New Roman" w:eastAsia="MS Mincho" w:hAnsi="Times New Roman"/>
                        <w:sz w:val="20"/>
                        <w:i/>
                        <w:iCs/>
                        <w:color w:val="0000FF" w:themeColor="hyperlink"/>
                        <w:u w:val="single"/>
                      </w:rPr>
                      <w:t>1424</w:t>
                    </w:r>
                  </w:fldSimple>
                  <w:r>
                    <w:rPr>
                      <w:rFonts w:ascii="Times New Roman" w:eastAsia="MS Mincho" w:hAnsi="Times New Roman"/>
                      <w:sz w:val="20"/>
                      <w:i/>
                      <w:iCs/>
                    </w:rPr>
                    <w:t>,
2020-12-16,
paskelbta TAR 2020-12-16, i. k. 2020-27463            </w:t>
                  </w:r>
                </w:p>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f36a85ae51d7479894b6aa1813023259"/>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f36a85ae51d7479894b6aa1813023259"/>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963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34.xml"/>
  <Relationship Id="rId11" Type="http://schemas.openxmlformats.org/officeDocument/2006/relationships/header" Target="header35.xml"/>
  <Relationship Id="rId12" Type="http://schemas.openxmlformats.org/officeDocument/2006/relationships/footer" Target="footer34.xml"/>
  <Relationship Id="rId13" Type="http://schemas.openxmlformats.org/officeDocument/2006/relationships/footer" Target="footer35.xml"/>
  <Relationship Id="rId14" Type="http://schemas.openxmlformats.org/officeDocument/2006/relationships/header" Target="header36.xml"/>
  <Relationship Id="rId15" Type="http://schemas.openxmlformats.org/officeDocument/2006/relationships/footer" Target="footer3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7734aac3ffaf4792a3b2700a73178f12"/>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0d638d3646f043dc9f12e2cf478cad3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dae7b279f4dc4d35916613d405614d5f"/>
        <Part Type="papunktis" Nr="2.1.8" Abbr="2.1.8 pp." DocPartId="03ed9f9233b1464e9c619f99ef7da538" PartId="5ee9d364cd0044e0a99d99dcb8a99672">
          <Part Type="papunktis" Nr="2.1.8.1" Abbr="2.1.8.1 pp." DocPartId="161b3ccdd90d4554b6a6adf8e2e555d6" PartId="14288c26330c49a38e5a445241f56e85"/>
          <Part Type="papunktis" Nr="2.1.8.2" Abbr="2.1.8.2 pp." DocPartId="ee259691405b419fa4ab5f2113b0f1ee" PartId="80d6ddd3fd034e6893cf1c1e998ca048"/>
          <Part Type="papunktis" Nr="2.1.8.3" Abbr="2.1.8.3 pp." DocPartId="e53f9b969bb44945bf662bebbd5d8dd0" PartId="512ecf8b06444137a5e2c9796d0002f2"/>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a4b07484026c40cc9233b8a367b52b86"/>
          <Part Type="papunktis" Nr="2.2.2.2" Abbr="2.2.2.2 pp." DocPartId="fb7a210718c64d62924d35e07205d64a" PartId="02fe5aaa323a442db46b12c71eb0a799"/>
          <Part Type="papunktis" Nr="2.2.2.3" Abbr="2.2.2.3 pp." DocPartId="716118d28a484da7a1f726c0a1b6520c" PartId="b9d3c64d71974453b99982df68c8a66d"/>
          <Part Type="papunktis" Nr="2.2.2.4" Abbr="2.2.2.4 pp." DocPartId="cac039cc850743c6b2b8141d3e47f684" PartId="323c8af6e8b5425a87d43e0914710da7"/>
        </Part>
        <Part Type="papunktis" Nr="2.2.2" Abbr="2.2.2 pp." DocPartId="47e35d3d85f7486aa5428c0b13523d40" PartId="477aebc60f7d4a07a08a89f38677f105"/>
        <Part Type="papunktis" Nr="2.2.3" Abbr="2.2.3 pp." DocPartId="bcc5c49ba58c431ab3d87de22de791e6" PartId="d9b413be7bfc45588ae483d1315f48e5"/>
        <Part Type="papunktis" Nr="2.2.3-1" Abbr="2.2.3-1 pp." DocPartId="eb4e35e9b2ea4ab28c39efeb6bc2a1a9" PartId="a0be78ba046a4187a295298ea97c778e"/>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8fe1837f3dd94b7e98a2239d0bed8a1c"/>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d8cf311a9c384853b15c4c399d66d4ea"/>
          <Part Type="papunktis" Nr="2.2.9.3" Abbr="2.2.9.3 pp." DocPartId="67e918b206064a3b995a2c5c212d137b" PartId="9d3879e48d8846a29b688ab3dcc1ff91"/>
          <Part Type="papunktis" Nr="2.2.9.4" Abbr="2.2.9.4 pp." DocPartId="e60ad632291442fe93773586043fcccf" PartId="37c1732860894d72b7949e11a1c5cd28"/>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cdce427ed31446218417936c34fd6768"/>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6acb9d59b13248e88a8fcc4220d16d43"/>
    <Part Type="punktas" Nr="6" Abbr="6 p." DocPartId="3fe1cf72014b43489b56130c3a954fbd" PartId="589a0ab97d6b4a5a9d120a6e75b4331a">
      <Part Type="papunktis" Nr="6.1" Abbr="6.1 pp." DocPartId="0bceefcb8a2848eeab2386720930e79f" PartId="4f3bde21902e48deac6edfbcdfa3e7dc"/>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f36a85ae51d7479894b6aa1813023259">
    <Part Type="pabaiga" DocPartId="8aa7d51d84b848debd65b12b26547c89" PartId="eeabe54f6d92436eb4751102dd485d22"/>
  </Part>
</Parts>
</file>

<file path=customXml/itemProps1.xml><?xml version="1.0" encoding="utf-8"?>
<ds:datastoreItem xmlns:ds="http://schemas.openxmlformats.org/officeDocument/2006/customXml" ds:itemID="{B022ACC5-3007-4CC5-9465-F89E83AAED74}">
  <ds:schemaRefs>
    <ds:schemaRef ds:uri="http://lrs.lt/TAIS/DocParts"/>
  </ds:schemaRefs>
</ds:datastoreItem>
</file>

<file path=docProps/app.xml><?xml version="1.0" encoding="utf-8"?>
<Properties xmlns="http://schemas.openxmlformats.org/officeDocument/2006/extended-properties">
  <Template>Normal.dotm</Template>
  <TotalTime>34</TotalTime>
  <Pages>12</Pages>
  <Words>4387</Words>
  <Characters>33400</Characters>
  <Application>Microsoft Office Word</Application>
  <DocSecurity>0</DocSecurity>
  <Lines>278</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37712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2020-12-21T10:19:00Z</dcterms:modified>
  <revision>15</revision>
</coreProperties>
</file>