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2021-04-26 iki 2021-05-02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a4af6109fbac403b85e4d0efd0330c8d"/>
                        <w:lock w:val="sdtLocked"/>
                        <w:richText/>
                      </w:sdtPr>
                      <w:sdtContent>
                        <w:p>
                          <w:pPr>
                            <w:tabs>
                              <w:tab w:val="left" w:pos="1134"/>
                            </w:tabs>
                            <w:ind w:firstLine="720"/>
                            <w:jc w:val="both"/>
                          </w:pPr>
                          <w:sdt>
                            <w:sdtPr>
                              <w:alias w:val="Numeris"/>
                              <w:tag w:val="nr_a4af6109fbac403b85e4d0efd0330c8d"/>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į vakcinacijos nuo COVID-19 ligos (koronaviruso infekcijos) vietą ar iš jos, ir kai į ekskursijas</w:t>
                          </w:r>
                          <w:r>
                            <w:rPr>
                              <w:b/>
                              <w:bCs/>
                              <w:szCs w:val="24"/>
                              <w:lang w:eastAsia="lt-LT"/>
                            </w:rPr>
                            <w:t xml:space="preserve"> </w:t>
                          </w:r>
                          <w:r>
                            <w:rPr>
                              <w:szCs w:val="24"/>
                              <w:lang w:eastAsia="lt-LT"/>
                            </w:rPr>
                            <w:t>vyksta ne daugiau kaip 10</w:t>
                          </w:r>
                          <w:r>
                            <w:rPr>
                              <w:b/>
                              <w:bCs/>
                              <w:szCs w:val="24"/>
                              <w:lang w:eastAsia="lt-LT"/>
                            </w:rPr>
                            <w:t xml:space="preserve"> </w:t>
                          </w:r>
                          <w:r>
                            <w:rPr>
                              <w:szCs w:val="24"/>
                              <w:lang w:eastAsia="lt-LT"/>
                            </w:rPr>
                            <w:t>asmenų</w:t>
                          </w:r>
                          <w:r>
                            <w:rPr>
                              <w:szCs w:val="24"/>
                              <w:lang w:val="ru-RU" w:eastAsia="lt-LT"/>
                            </w:rPr>
                            <w:t>,</w:t>
                          </w:r>
                          <w:r>
                            <w:rPr>
                              <w:szCs w:val="24"/>
                              <w:lang w:eastAsia="lt-LT"/>
                            </w:rPr>
                            <w:t xml:space="preserve"> nurodytų šio nutarimo 2</w:t>
                          </w:r>
                          <w:r>
                            <w:rPr>
                              <w:szCs w:val="24"/>
                              <w:vertAlign w:val="superscript"/>
                              <w:lang w:eastAsia="lt-LT"/>
                            </w:rPr>
                            <w:t>2</w:t>
                          </w:r>
                          <w:r>
                            <w:rPr>
                              <w:szCs w:val="24"/>
                              <w:lang w:eastAsia="lt-LT"/>
                            </w:rPr>
                            <w:t xml:space="preserve"> punkte,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taip pat 10 asmenų, nurodytų šio nutarimo 2</w:t>
                          </w:r>
                          <w:r>
                            <w:rPr>
                              <w:szCs w:val="24"/>
                              <w:vertAlign w:val="superscript"/>
                              <w:lang w:eastAsia="lt-LT"/>
                            </w:rPr>
                            <w:t>2</w:t>
                          </w:r>
                          <w:r>
                            <w:rPr>
                              <w:szCs w:val="24"/>
                              <w:lang w:eastAsia="lt-LT"/>
                            </w:rPr>
                            <w:t xml:space="preserve"> punkte, arba dviejų šeimų ir (ar) dviejų namų ūkių narių grupėmis. Laidotuvėse gali dalyvauti ne daugiau kaip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
                          <w:sdtPr>
                            <w:alias w:val="2.1.8.1.5 pp."/>
                            <w:tag w:val="part_9a67c6f16bbc4f689812d22ea317efb3"/>
                            <w:lock w:val="sdtLocked"/>
                            <w:richText/>
                          </w:sdtPr>
                          <w:sdtContent>
                            <w:p>
                              <w:pPr>
                                <w:tabs>
                                  <w:tab w:val="left" w:pos="1134"/>
                                </w:tabs>
                                <w:ind w:firstLine="720"/>
                                <w:jc w:val="both"/>
                                <w:rPr>
                                  <w:szCs w:val="24"/>
                                  <w:lang w:eastAsia="lt-LT"/>
                                </w:rPr>
                              </w:pPr>
                              <w:sdt>
                                <w:sdtPr>
                                  <w:alias w:val="Numeris"/>
                                  <w:tag w:val="nr_9a67c6f16bbc4f689812d22ea317efb3"/>
                                  <w:lock w:val="sdtLocked"/>
                                  <w:richText/>
                                </w:sdtPr>
                                <w:sdtContent>
                                  <w:r>
                                    <w:rPr>
                                      <w:szCs w:val="24"/>
                                      <w:lang w:eastAsia="lt-LT"/>
                                    </w:rPr>
                                    <w:t>2.1.8.1.5</w:t>
                                  </w:r>
                                </w:sdtContent>
                              </w:sdt>
                              <w:r>
                                <w:rPr>
                                  <w:szCs w:val="24"/>
                                  <w:lang w:eastAsia="lt-LT"/>
                                </w:rPr>
                                <w:t xml:space="preserve">. </w:t>
                              </w:r>
                              <w:r>
                                <w:rPr>
                                  <w:szCs w:val="24"/>
                                  <w:shd w:val="clear" w:color="auto" w:fill="FFFFFF"/>
                                  <w:lang w:eastAsia="lt-LT"/>
                                </w:rPr>
                                <w:t xml:space="preserve">ne daugiau kaip 10 asmenų, nurodytų </w:t>
                              </w:r>
                              <w:r>
                                <w:rPr>
                                  <w:szCs w:val="24"/>
                                  <w:lang w:eastAsia="lt-LT"/>
                                </w:rPr>
                                <w:t>šio nutarimo 2</w:t>
                              </w:r>
                              <w:r>
                                <w:rPr>
                                  <w:szCs w:val="24"/>
                                  <w:vertAlign w:val="superscript"/>
                                  <w:lang w:eastAsia="lt-LT"/>
                                </w:rPr>
                                <w:t>2</w:t>
                              </w:r>
                              <w:r>
                                <w:rPr>
                                  <w:szCs w:val="24"/>
                                  <w:lang w:eastAsia="lt-LT"/>
                                </w:rPr>
                                <w:t xml:space="preserve"> punkte, artimus kontaktus;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Content>
                    </w:sdt>
                    <w:sdt>
                      <w:sdtPr>
                        <w:alias w:val="2.1.8.2 pp."/>
                        <w:tag w:val="part_05e22bfa0b734dd9b863f989f1f75d97"/>
                        <w:lock w:val="sdtLocked"/>
                        <w:richText/>
                      </w:sdtPr>
                      <w:sdtContent>
                        <w:p>
                          <w:pPr>
                            <w:ind w:firstLine="720"/>
                            <w:jc w:val="both"/>
                            <w:rPr>
                              <w:color w:val="000000"/>
                              <w:szCs w:val="24"/>
                              <w:lang w:eastAsia="lt-LT"/>
                            </w:rPr>
                          </w:pPr>
                          <w:sdt>
                            <w:sdtPr>
                              <w:alias w:val="Numeris"/>
                              <w:tag w:val="nr_05e22bfa0b734dd9b863f989f1f75d97"/>
                              <w:lock w:val="sdtLocked"/>
                              <w:richText/>
                            </w:sdtPr>
                            <w:sdtContent>
                              <w:r>
                                <w:rPr>
                                  <w:szCs w:val="24"/>
                                  <w:lang w:eastAsia="lt-LT"/>
                                </w:rPr>
                                <w:t>2.1.8.2</w:t>
                              </w:r>
                            </w:sdtContent>
                          </w:sdt>
                          <w:r>
                            <w:rPr>
                              <w:szCs w:val="24"/>
                              <w:lang w:eastAsia="lt-LT"/>
                            </w:rPr>
                            <w:t xml:space="preserve">. rengti asmenines šventes viešose ir privačiose erdvėse, išskyrus šventes uždarose erdvėse, kai jose dalyvauja ne daugiau nei viena šeima ir (ar) vienas namų ūkis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 xml:space="preserve">, taip pat šventes atvirose erdvėse, kai dalyvauja ne daugiau nei dvi šeimos ir (ar) du namų ūkiai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1a8979393f194ebb8091e19ec4f56344"/>
                    <w:lock w:val="sdtLocked"/>
                    <w:richText/>
                  </w:sdtPr>
                  <w:sdtContent>
                    <w:p>
                      <w:pPr>
                        <w:tabs>
                          <w:tab w:val="left" w:pos="1134"/>
                        </w:tabs>
                        <w:ind w:firstLine="720"/>
                        <w:jc w:val="both"/>
                      </w:pPr>
                      <w:sdt>
                        <w:sdtPr>
                          <w:alias w:val="Numeris"/>
                          <w:tag w:val="nr_1a8979393f194ebb8091e19ec4f56344"/>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Parduotuvėse, įskaitant parduotuves prekybos ir (arba) pramogų centruose, turgavietėse ir kitose viešose prekybos vietose, kurių veikla nedraudžiama, turi būti užtikrinamas 15 m</w:t>
                      </w:r>
                      <w:r>
                        <w:rPr>
                          <w:szCs w:val="24"/>
                          <w:shd w:val="clear" w:color="auto" w:fill="FFFFFF"/>
                          <w:vertAlign w:val="superscript"/>
                          <w:lang w:eastAsia="lt-LT"/>
                        </w:rPr>
                        <w:t>2 </w:t>
                      </w:r>
                      <w:r>
                        <w:rPr>
                          <w:szCs w:val="24"/>
                          <w:shd w:val="clear" w:color="auto" w:fill="FFFFFF"/>
                          <w:lang w:eastAsia="lt-LT"/>
                        </w:rPr>
                        <w:t>prekybos plotas vienam lankytojui arba vienu metu aptarnaujamas ne daugiau kaip vienas asmuo, o parduotuvėse ir prekybos vietose, nurodytose šio nutarimo 2.2.2.6–2.2.2.9 papunkčiuose, – 20 m</w:t>
                      </w:r>
                      <w:r>
                        <w:rPr>
                          <w:szCs w:val="24"/>
                          <w:shd w:val="clear" w:color="auto" w:fill="FFFFFF"/>
                          <w:vertAlign w:val="superscript"/>
                          <w:lang w:eastAsia="lt-LT"/>
                        </w:rPr>
                        <w:t>2</w:t>
                      </w:r>
                      <w:r>
                        <w:rPr>
                          <w:szCs w:val="24"/>
                          <w:shd w:val="clear" w:color="auto" w:fill="FFFFFF"/>
                          <w:lang w:eastAsia="lt-LT"/>
                        </w:rPr>
                        <w:t>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2 pp."/>
                    <w:tag w:val="part_804369b029d04c5bb64cce8589ad4406"/>
                    <w:lock w:val="sdtLocked"/>
                    <w:richText/>
                  </w:sdtPr>
                  <w:sdtContent>
                    <w:p>
                      <w:pPr>
                        <w:tabs>
                          <w:tab w:val="left" w:pos="1134"/>
                        </w:tabs>
                        <w:ind w:firstLine="720"/>
                        <w:jc w:val="both"/>
                        <w:rPr>
                          <w:szCs w:val="24"/>
                          <w:lang w:eastAsia="lt-LT"/>
                        </w:rPr>
                      </w:pPr>
                      <w:sdt>
                        <w:sdtPr>
                          <w:alias w:val="Numeris"/>
                          <w:tag w:val="nr_804369b029d04c5bb64cce8589ad4406"/>
                          <w:lock w:val="sdtLocked"/>
                          <w:richText/>
                        </w:sdtPr>
                        <w:sdtContent>
                          <w:r>
                            <w:rPr>
                              <w:szCs w:val="24"/>
                              <w:shd w:val="clear" w:color="auto" w:fill="FFFFFF"/>
                              <w:lang w:eastAsia="lt-LT"/>
                            </w:rPr>
                            <w:t>2.2.2</w:t>
                          </w:r>
                          <w:r>
                            <w:rPr>
                              <w:szCs w:val="24"/>
                              <w:shd w:val="clear" w:color="auto" w:fill="FFFFFF"/>
                              <w:vertAlign w:val="superscript"/>
                              <w:lang w:eastAsia="lt-LT"/>
                            </w:rPr>
                            <w:t>2</w:t>
                          </w:r>
                        </w:sdtContent>
                      </w:sdt>
                      <w:r>
                        <w:rPr>
                          <w:szCs w:val="24"/>
                          <w:shd w:val="clear" w:color="auto" w:fill="FFFFFF"/>
                          <w:lang w:eastAsia="lt-LT"/>
                        </w:rPr>
                        <w:t>. Prekybos centruose, turgavietėse ar kitose prekybos vietose, kuriuose veiklą vykdo daugiau nei viena parduotuvė ar vienas prekybininkas ir kuriuose šio nutarimo 2.2.2.1, 2.2.2.2, 2.2.2.5 ir 2.2.2.6 papunkčiuose nurodytų parduotuvių (prekybos vietų) prekybos plotas sudaro mažiau kaip 50 proc. viso prekybos centro, turgavietės ar kitos prekybos vietos prekybos ploto, vienu metu galinčių būti lankytojų skaičius apskaičiuojamas pagal bendrą prekybos centro, turgavietės ar kitos prekybos vietos prekybos plotą, kurio vienam lankytojui turi tekti ne mažiau kaip 50 m</w:t>
                      </w:r>
                      <w:r>
                        <w:rPr>
                          <w:szCs w:val="24"/>
                          <w:shd w:val="clear" w:color="auto" w:fill="FFFFFF"/>
                          <w:vertAlign w:val="superscript"/>
                          <w:lang w:eastAsia="lt-LT"/>
                        </w:rPr>
                        <w:t>2</w:t>
                      </w:r>
                      <w:r>
                        <w:rPr>
                          <w:szCs w:val="24"/>
                          <w:shd w:val="clear" w:color="auto" w:fill="FFFFFF"/>
                          <w:lang w:eastAsia="lt-LT"/>
                        </w:rPr>
                        <w:t>,</w:t>
                      </w:r>
                      <w:r>
                        <w:rPr>
                          <w:szCs w:val="24"/>
                          <w:shd w:val="clear" w:color="auto" w:fill="FFFFFF"/>
                          <w:vertAlign w:val="superscript"/>
                          <w:lang w:eastAsia="lt-LT"/>
                        </w:rPr>
                        <w:t xml:space="preserve"> </w:t>
                      </w:r>
                      <w:r>
                        <w:rPr>
                          <w:szCs w:val="24"/>
                          <w:shd w:val="clear" w:color="auto" w:fill="FFFFFF"/>
                          <w:lang w:eastAsia="lt-LT"/>
                        </w:rPr>
                        <w:t>arba vienu metu aptarnaujamas ne daugiau kaip vienas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d10f7553909142dba2a56361e5d554a3"/>
                        <w:lock w:val="sdtLocked"/>
                        <w:richText/>
                      </w:sdtPr>
                      <w:sdtContent>
                        <w:p>
                          <w:pPr>
                            <w:tabs>
                              <w:tab w:val="left" w:pos="1134"/>
                            </w:tabs>
                            <w:ind w:firstLine="720"/>
                            <w:jc w:val="both"/>
                            <w:rPr>
                              <w:szCs w:val="24"/>
                              <w:lang w:eastAsia="lt-LT"/>
                            </w:rPr>
                          </w:pPr>
                          <w:sdt>
                            <w:sdtPr>
                              <w:alias w:val="Numeris"/>
                              <w:tag w:val="nr_d10f7553909142dba2a56361e5d554a3"/>
                              <w:lock w:val="sdtLocked"/>
                              <w:richText/>
                            </w:sdtPr>
                            <w:sdtContent>
                              <w:r>
                                <w:rPr>
                                  <w:szCs w:val="24"/>
                                  <w:lang w:eastAsia="lt-LT"/>
                                </w:rPr>
                                <w:t>2.2.4.4</w:t>
                              </w:r>
                            </w:sdtContent>
                          </w:sdt>
                          <w:r>
                            <w:rPr>
                              <w:szCs w:val="24"/>
                              <w:lang w:eastAsia="lt-LT"/>
                            </w:rPr>
                            <w:t xml:space="preserve">. draudžiama apgyvendinimo paslaugoms teikti skirtų patalpų (tiek fizinių, tiek juridinių asmenų nuosavybės teise ar kitais teisėtais pagrindais valdomų) nuoma, subnuoma ar panauda, skirta privatiems renginiams, šventėms ar kitiems susibūrimams organizuoti, išskyrus asmeninėms šventėms organizuoti, kai dalyvių skaičius neviršija šio nutarimo </w:t>
                            <w:br/>
                            <w:t>2.1.8.2 papunktyje nustatyto asmenų skaičiaus;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bad476672d7f48e896c6725b721b3bff"/>
                        <w:lock w:val="sdtLocked"/>
                        <w:richText/>
                      </w:sdtPr>
                      <w:sdtContent>
                        <w:p>
                          <w:pPr>
                            <w:tabs>
                              <w:tab w:val="left" w:pos="1134"/>
                            </w:tabs>
                            <w:ind w:firstLine="709"/>
                            <w:jc w:val="both"/>
                            <w:rPr>
                              <w:szCs w:val="24"/>
                              <w:shd w:val="clear" w:color="auto" w:fill="FFFFFF"/>
                              <w:lang w:eastAsia="lt-LT"/>
                            </w:rPr>
                          </w:pPr>
                          <w:sdt>
                            <w:sdtPr>
                              <w:alias w:val="Numeris"/>
                              <w:tag w:val="nr_bad476672d7f48e896c6725b721b3bff"/>
                              <w:lock w:val="sdtLocked"/>
                              <w:richText/>
                            </w:sdtPr>
                            <w:sdtContent>
                              <w:r>
                                <w:rPr>
                                  <w:szCs w:val="24"/>
                                  <w:shd w:val="clear" w:color="auto" w:fill="FFFFFF"/>
                                  <w:lang w:eastAsia="lt-LT"/>
                                </w:rPr>
                                <w:t>2.2.6.3</w:t>
                              </w:r>
                            </w:sdtContent>
                          </w:sdt>
                          <w:r>
                            <w:rPr>
                              <w:szCs w:val="24"/>
                              <w:shd w:val="clear" w:color="auto" w:fill="FFFFFF"/>
                              <w:lang w:eastAsia="lt-LT"/>
                            </w:rPr>
                            <w:t>. sporto, laisvalaikio ir pramogų paslaugas atvirose erdvėse, teikiamas užtikrinant valstybės lygio ekstremaliosios situacijos operacijų vadovo nustatytas asmenų srautų valdymo, saugaus atstumo laikymosi, būtinas visuomenės sveikatos saugos, higienos, asmenų aprūpinimo būtinosiomis asmeninėmis apsaugos priemonėmis sąlygas ir kai:</w:t>
                          </w:r>
                        </w:p>
                        <w:sdt>
                          <w:sdtPr>
                            <w:alias w:val="2.2.6.3.1 pp."/>
                            <w:tag w:val="part_8b415159bcd54da78fdff90155d0e85f"/>
                            <w:lock w:val="sdtLocked"/>
                            <w:richText/>
                          </w:sdtPr>
                          <w:sdtContent>
                            <w:p>
                              <w:pPr>
                                <w:tabs>
                                  <w:tab w:val="left" w:pos="1134"/>
                                </w:tabs>
                                <w:ind w:firstLine="709"/>
                                <w:jc w:val="both"/>
                                <w:rPr>
                                  <w:szCs w:val="24"/>
                                  <w:shd w:val="clear" w:color="auto" w:fill="FFFFFF"/>
                                  <w:lang w:eastAsia="lt-LT"/>
                                </w:rPr>
                              </w:pPr>
                              <w:sdt>
                                <w:sdtPr>
                                  <w:alias w:val="Numeris"/>
                                  <w:tag w:val="nr_8b415159bcd54da78fdff90155d0e85f"/>
                                  <w:lock w:val="sdtLocked"/>
                                  <w:richText/>
                                </w:sdtPr>
                                <w:sdtContent>
                                  <w:r>
                                    <w:rPr>
                                      <w:szCs w:val="24"/>
                                      <w:shd w:val="clear" w:color="auto" w:fill="FFFFFF"/>
                                      <w:lang w:eastAsia="lt-LT"/>
                                    </w:rPr>
                                    <w:t>2.2.6.3.1</w:t>
                                  </w:r>
                                </w:sdtContent>
                              </w:sdt>
                              <w:r>
                                <w:rPr>
                                  <w:szCs w:val="24"/>
                                  <w:shd w:val="clear" w:color="auto" w:fill="FFFFFF"/>
                                  <w:lang w:eastAsia="lt-LT"/>
                                </w:rPr>
                                <w:t>. paslaugos vienu metu teikiamos ne daugiau kaip 10 asmenų, išskyrus dviejų šeimų ir (ar) dviejų namų ūkių narius;</w:t>
                              </w:r>
                            </w:p>
                          </w:sdtContent>
                        </w:sdt>
                        <w:sdt>
                          <w:sdtPr>
                            <w:alias w:val="2.2.6.3.2 pp."/>
                            <w:tag w:val="part_aef74af844f34ca9a34576eb03d74a5d"/>
                            <w:lock w:val="sdtLocked"/>
                            <w:richText/>
                          </w:sdtPr>
                          <w:sdtContent>
                            <w:p>
                              <w:pPr>
                                <w:tabs>
                                  <w:tab w:val="left" w:pos="1134"/>
                                </w:tabs>
                                <w:ind w:firstLine="709"/>
                                <w:jc w:val="both"/>
                              </w:pPr>
                              <w:sdt>
                                <w:sdtPr>
                                  <w:alias w:val="Numeris"/>
                                  <w:tag w:val="nr_aef74af844f34ca9a34576eb03d74a5d"/>
                                  <w:lock w:val="sdtLocked"/>
                                  <w:richText/>
                                </w:sdtPr>
                                <w:sdtContent>
                                  <w:r>
                                    <w:rPr>
                                      <w:szCs w:val="24"/>
                                      <w:shd w:val="clear" w:color="auto" w:fill="FFFFFF"/>
                                      <w:lang w:eastAsia="lt-LT"/>
                                    </w:rPr>
                                    <w:t>2.2.6.3.2</w:t>
                                  </w:r>
                                </w:sdtContent>
                              </w:sdt>
                              <w:r>
                                <w:rPr>
                                  <w:szCs w:val="24"/>
                                  <w:shd w:val="clear" w:color="auto" w:fill="FFFFFF"/>
                                  <w:lang w:eastAsia="lt-LT"/>
                                </w:rPr>
                                <w:t>. paslaugos vienu metu teikiamos ne daugiau kaip 50 asmenų, užtikrinant 50 m</w:t>
                              </w:r>
                              <w:r>
                                <w:rPr>
                                  <w:szCs w:val="24"/>
                                  <w:shd w:val="clear" w:color="auto" w:fill="FFFFFF"/>
                                  <w:vertAlign w:val="superscript"/>
                                  <w:lang w:eastAsia="lt-LT"/>
                                </w:rPr>
                                <w:t>2 </w:t>
                              </w:r>
                              <w:r>
                                <w:rPr>
                                  <w:szCs w:val="24"/>
                                  <w:shd w:val="clear" w:color="auto" w:fill="FFFFFF"/>
                                  <w:lang w:eastAsia="lt-LT"/>
                                </w:rPr>
                                <w:t>plotą vienam asmeniui bei bilietų platinimą elektroniniu būdu ir išankstinę paslaugų gavėjų registraciją;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6.4 pp."/>
                        <w:tag w:val="part_90c2a94eb4bb4ebbbaebf490db7940ec"/>
                        <w:lock w:val="sdtLocked"/>
                        <w:richText/>
                      </w:sdtPr>
                      <w:sdtContent>
                        <w:p>
                          <w:pPr>
                            <w:ind w:firstLine="720"/>
                            <w:jc w:val="both"/>
                          </w:pPr>
                          <w:sdt>
                            <w:sdtPr>
                              <w:alias w:val="Numeris"/>
                              <w:tag w:val="nr_90c2a94eb4bb4ebbbaebf490db7940ec"/>
                              <w:lock w:val="sdtLocked"/>
                              <w:richText/>
                            </w:sdtPr>
                            <w:sdtContent>
                              <w:r>
                                <w:rPr>
                                  <w:szCs w:val="24"/>
                                  <w:lang w:eastAsia="lt-LT"/>
                                </w:rPr>
                                <w:t>2.2.6.4</w:t>
                              </w:r>
                            </w:sdtContent>
                          </w:sdt>
                          <w:r>
                            <w:rPr>
                              <w:szCs w:val="24"/>
                              <w:lang w:eastAsia="lt-LT"/>
                            </w:rPr>
                            <w:t>. baseinų ir pirčių paslaugas, teikiamas apgyvendinimo paslaugas teikiančiose įstaigose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5 pp."/>
                        <w:tag w:val="part_8526ecf8055a45aa8562b26dd15c41b2"/>
                        <w:lock w:val="sdtLocked"/>
                        <w:richText/>
                      </w:sdtPr>
                      <w:sdtContent>
                        <w:p>
                          <w:pPr>
                            <w:ind w:firstLine="720"/>
                            <w:jc w:val="both"/>
                          </w:pPr>
                          <w:sdt>
                            <w:sdtPr>
                              <w:alias w:val="Numeris"/>
                              <w:tag w:val="nr_8526ecf8055a45aa8562b26dd15c41b2"/>
                              <w:lock w:val="sdtLocked"/>
                              <w:richText/>
                            </w:sdtPr>
                            <w:sdtContent>
                              <w:r>
                                <w:rPr>
                                  <w:szCs w:val="24"/>
                                  <w:lang w:eastAsia="lt-LT"/>
                                </w:rPr>
                                <w:t>2.2.6.5</w:t>
                              </w:r>
                            </w:sdtContent>
                          </w:sdt>
                          <w:r>
                            <w:rPr>
                              <w:szCs w:val="24"/>
                              <w:lang w:eastAsia="lt-LT"/>
                            </w:rPr>
                            <w:t>. baseinų paslaugas, teikiamas vykdant neformalųjį vaikų švietimą šio nutarimo 2.2.9.3 papunktyje nustatytomis sąlygomis, arba teikiamas ugdymo įstaigos vienos klasės mokiniams, ugdomiems kontaktiniu būdu,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6 pp."/>
                        <w:tag w:val="part_bacd5d340efc409eaf92cd79b06520f6"/>
                        <w:lock w:val="sdtLocked"/>
                        <w:richText/>
                      </w:sdtPr>
                      <w:sdtContent>
                        <w:p>
                          <w:pPr>
                            <w:ind w:firstLine="720"/>
                            <w:jc w:val="both"/>
                          </w:pPr>
                          <w:sdt>
                            <w:sdtPr>
                              <w:alias w:val="Numeris"/>
                              <w:tag w:val="nr_bacd5d340efc409eaf92cd79b06520f6"/>
                              <w:lock w:val="sdtLocked"/>
                              <w:richText/>
                            </w:sdtPr>
                            <w:sdtContent>
                              <w:r>
                                <w:rPr>
                                  <w:szCs w:val="24"/>
                                  <w:lang w:eastAsia="lt-LT"/>
                                </w:rPr>
                                <w:t>2.2.6.6</w:t>
                              </w:r>
                            </w:sdtContent>
                          </w:sdt>
                          <w:r>
                            <w:rPr>
                              <w:szCs w:val="24"/>
                              <w:lang w:eastAsia="lt-LT"/>
                            </w:rPr>
                            <w:t>. kino teatrų ir kino klubų paslaugas, teikiamas užtikrinant, kad žiūrovai užima tik sėdimąsias vietas, užpildoma ne daugiau kaip 30 proc. visų sėdimųjų vietų, bet bendras žiūrovų skaičius neviršija 150 asmenų, bilietų platinimą elektroniniu būdu ir (arba) žiūrovų registravimą, vyresniems nei 6 metų žiūrovams dėvint kaukes,</w:t>
                          </w:r>
                          <w:r>
                            <w:rPr>
                              <w:szCs w:val="24"/>
                              <w:shd w:val="clear" w:color="auto" w:fill="FFFFFF"/>
                              <w:lang w:eastAsia="lt-LT"/>
                            </w:rPr>
                            <w:t xml:space="preserve"> </w:t>
                          </w:r>
                          <w:r>
                            <w:rPr>
                              <w:szCs w:val="24"/>
                              <w:lang w:eastAsia="lt-LT"/>
                            </w:rPr>
                            <w:t xml:space="preserve">išskyrus šio nutarimo </w:t>
                            <w:br/>
                            <w:t>2.1.5.2 papunktyje numatytas išimtis, bei užtikrinant kitas valstybės lygio ekstremaliosios situacijos operacijų vadovo nustatytas asmenų srautų valdymo, saugaus atstumo laikymosi, būtinas visuomenės sveikatos saugos, higienos, asmenų aprūpinimo būtinosiomis asmeninėmis apsaugos priemonėmis sąlygas. Prekiauti maistu ir gėrimais bei teikti kitas paslaugas kino teatrų ir kino klubų paslaugų teikimo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7 pp."/>
                        <w:tag w:val="part_facc0c0cead8434db307b99aa61e5c8f"/>
                        <w:lock w:val="sdtLocked"/>
                        <w:richText/>
                      </w:sdtPr>
                      <w:sdtContent>
                        <w:p>
                          <w:pPr>
                            <w:ind w:firstLine="720"/>
                            <w:jc w:val="both"/>
                          </w:pPr>
                          <w:sdt>
                            <w:sdtPr>
                              <w:alias w:val="Numeris"/>
                              <w:tag w:val="nr_facc0c0cead8434db307b99aa61e5c8f"/>
                              <w:lock w:val="sdtLocked"/>
                              <w:richText/>
                            </w:sdtPr>
                            <w:sdtContent>
                              <w:r>
                                <w:rPr>
                                  <w:szCs w:val="24"/>
                                  <w:lang w:eastAsia="lt-LT"/>
                                </w:rPr>
                                <w:t>2.2.6.7</w:t>
                              </w:r>
                            </w:sdtContent>
                          </w:sdt>
                          <w:r>
                            <w:rPr>
                              <w:szCs w:val="24"/>
                              <w:lang w:eastAsia="lt-LT"/>
                            </w:rPr>
                            <w:t>. sporto įrenginių eksploatavimo, sporto klubų, kūno rengybos centrų paslaugas, teikiamas užtikrinant 20 m</w:t>
                          </w:r>
                          <w:r>
                            <w:rPr>
                              <w:szCs w:val="24"/>
                              <w:vertAlign w:val="superscript"/>
                              <w:lang w:eastAsia="lt-LT"/>
                            </w:rPr>
                            <w:t>2</w:t>
                          </w:r>
                          <w:r>
                            <w:rPr>
                              <w:szCs w:val="24"/>
                              <w:lang w:eastAsia="lt-LT"/>
                            </w:rPr>
                            <w:t xml:space="preserve"> paslaugos teikimo plotą vienam asmeniui (įskaitant paslaugų teikėjus) bei kitas valstybės lygio ekstremaliosios situacijos operacijų vadovo nustatytas asmenų srautų valdymo, saugaus atstumo laikymosi, būtinas visuomenės sveikatos saugos, higienos, asmenų aprūpinimo būtinosiomis asmeninėmis apsaugos priemonėmis sąlygas. Grupinės treniruotės gali būti vykdomos dalyvaujant ne daugiau kaip 5 asmenims (neįskaitant paslaugų teikėjų);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8 pp."/>
                        <w:tag w:val="part_fa5c57ab38904c22a831082e61925aa5"/>
                        <w:lock w:val="sdtLocked"/>
                        <w:richText/>
                      </w:sdtPr>
                      <w:sdtContent>
                        <w:p>
                          <w:pPr>
                            <w:ind w:firstLine="720"/>
                            <w:jc w:val="both"/>
                          </w:pPr>
                          <w:sdt>
                            <w:sdtPr>
                              <w:alias w:val="Numeris"/>
                              <w:tag w:val="nr_fa5c57ab38904c22a831082e61925aa5"/>
                              <w:lock w:val="sdtLocked"/>
                              <w:richText/>
                            </w:sdtPr>
                            <w:sdtContent>
                              <w:r>
                                <w:rPr>
                                  <w:szCs w:val="24"/>
                                  <w:lang w:eastAsia="lt-LT"/>
                                </w:rPr>
                                <w:t>2.2.6.8</w:t>
                              </w:r>
                            </w:sdtContent>
                          </w:sdt>
                          <w:r>
                            <w:rPr>
                              <w:szCs w:val="24"/>
                              <w:lang w:eastAsia="lt-LT"/>
                            </w:rPr>
                            <w:t xml:space="preserve">. laisvalaikio paslaugoms teikti skirtų patalpų nuoma, subnuoma ar panauda, skirta asmeninėms šventėms organizuoti, kai dalyvių skaičius neviršija šio nutarimo </w:t>
                            <w:br/>
                            <w:t>2.1.8.2 papunktyje nustatyto asmenų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1.5 pp."/>
                        <w:tag w:val="part_fdd28dedd77746a3b54aca85f6632745"/>
                        <w:lock w:val="sdtLocked"/>
                        <w:richText/>
                      </w:sdtPr>
                      <w:sdtContent>
                        <w:p>
                          <w:pPr>
                            <w:ind w:firstLine="720"/>
                            <w:jc w:val="both"/>
                            <w:rPr>
                              <w:szCs w:val="24"/>
                              <w:lang w:eastAsia="lt-LT"/>
                            </w:rPr>
                          </w:pPr>
                          <w:sdt>
                            <w:sdtPr>
                              <w:alias w:val="Numeris"/>
                              <w:tag w:val="nr_fdd28dedd77746a3b54aca85f6632745"/>
                              <w:lock w:val="sdtLocked"/>
                              <w:richText/>
                            </w:sdtPr>
                            <w:sdtContent>
                              <w:r>
                                <w:rPr>
                                  <w:szCs w:val="24"/>
                                  <w:lang w:eastAsia="lt-LT"/>
                                </w:rPr>
                                <w:t>2.2.6</w:t>
                              </w:r>
                              <w:r>
                                <w:rPr>
                                  <w:szCs w:val="24"/>
                                  <w:vertAlign w:val="superscript"/>
                                  <w:lang w:eastAsia="lt-LT"/>
                                </w:rPr>
                                <w:t>1</w:t>
                              </w:r>
                              <w:r>
                                <w:rPr>
                                  <w:szCs w:val="24"/>
                                  <w:lang w:eastAsia="lt-LT"/>
                                </w:rPr>
                                <w:t>.5</w:t>
                              </w:r>
                            </w:sdtContent>
                          </w:sdt>
                          <w:r>
                            <w:rPr>
                              <w:szCs w:val="24"/>
                              <w:lang w:eastAsia="lt-LT"/>
                            </w:rPr>
                            <w:t>. lankomos profesionaliojo scenos meno įstaigų salės, kai žiūrovai profesionaliojo scenos meno kūrinius stebi tik iš sėdimųjų vietų, užpildoma ne daugiau kaip 30 proc. visų sėdimųjų vietų, bet bendras žiūrovų skaičius neviršija 150 asmenų, užtikrinant bilietų platinimą elektroniniu būdu ir (arba) žiūrovų registravimą, vyresni nei 6 metų žiūrovai dėvi kaukes, išskyrus šio nutarimo 2.1.5.2 papunktyje numatytas išimtis. Prekiauti maistu ir gėrimais bei teikti kitas paslaugas profesionaliojo scenos meno įstaigose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sdt>
                      <w:sdtPr>
                        <w:alias w:val="2.2.7.4 pp."/>
                        <w:tag w:val="part_c7a94577923e4ad29a3317e5e7e956c1"/>
                        <w:lock w:val="sdtLocked"/>
                        <w:richText/>
                      </w:sdtPr>
                      <w:sdtContent>
                        <w:p>
                          <w:pPr>
                            <w:tabs>
                              <w:tab w:val="left" w:pos="1134"/>
                            </w:tabs>
                            <w:ind w:firstLine="720"/>
                            <w:jc w:val="both"/>
                          </w:pPr>
                          <w:sdt>
                            <w:sdtPr>
                              <w:alias w:val="Numeris"/>
                              <w:tag w:val="nr_c7a94577923e4ad29a3317e5e7e956c1"/>
                              <w:lock w:val="sdtLocked"/>
                              <w:richText/>
                            </w:sdtPr>
                            <w:sdtContent>
                              <w:r>
                                <w:rPr>
                                  <w:szCs w:val="24"/>
                                  <w:lang w:eastAsia="lt-LT"/>
                                </w:rPr>
                                <w:t>2.2.7.4</w:t>
                              </w:r>
                            </w:sdtContent>
                          </w:sdt>
                          <w:r>
                            <w:rPr>
                              <w:szCs w:val="24"/>
                              <w:lang w:eastAsia="lt-LT"/>
                            </w:rPr>
                            <w:t>. viešojo maitinimo įstaigų, restoranų, kavinių ir barų veikla vykdoma</w:t>
                          </w:r>
                          <w:r>
                            <w:rPr>
                              <w:lang w:eastAsia="lt-LT"/>
                            </w:rPr>
                            <w:t xml:space="preserve"> </w:t>
                          </w:r>
                          <w:r>
                            <w:rPr>
                              <w:szCs w:val="24"/>
                              <w:lang w:eastAsia="lt-LT"/>
                            </w:rPr>
                            <w:t>jūrų ir oro uostų keleivių išvykimo terminaluose, kai užsakytas maistas ir gėrimai vartojami prie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7.5 pp."/>
                        <w:tag w:val="part_fb7b48a7572a448397db7cbc5a140f5d"/>
                        <w:lock w:val="sdtLocked"/>
                        <w:richText/>
                      </w:sdtPr>
                      <w:sdtContent>
                        <w:p>
                          <w:pPr>
                            <w:tabs>
                              <w:tab w:val="left" w:pos="1134"/>
                            </w:tabs>
                            <w:ind w:firstLine="720"/>
                            <w:jc w:val="both"/>
                            <w:rPr>
                              <w:bCs/>
                              <w:szCs w:val="24"/>
                              <w:lang w:eastAsia="lt-LT"/>
                            </w:rPr>
                          </w:pPr>
                          <w:sdt>
                            <w:sdtPr>
                              <w:alias w:val="Numeris"/>
                              <w:tag w:val="nr_fb7b48a7572a448397db7cbc5a140f5d"/>
                              <w:lock w:val="sdtLocked"/>
                              <w:richText/>
                            </w:sdtPr>
                            <w:sdtContent>
                              <w:r>
                                <w:rPr>
                                  <w:szCs w:val="24"/>
                                  <w:lang w:eastAsia="lt-LT"/>
                                </w:rPr>
                                <w:t>2.2.7.5</w:t>
                              </w:r>
                            </w:sdtContent>
                          </w:sdt>
                          <w:r>
                            <w:rPr>
                              <w:szCs w:val="24"/>
                              <w:lang w:eastAsia="lt-LT"/>
                            </w:rPr>
                            <w:t>. viešojo maitinimo įstaigų, restoranų, kavinių ir barų veikla vykdoma nuo 7 iki 21 valandos, kai užsakytas maistas ir gėrimai vartojami prie atvirose erdvėse esančių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3a42c75252b44ccb9bdafaf8aac78c05"/>
                        <w:lock w:val="sdtLocked"/>
                        <w:richText/>
                      </w:sdtPr>
                      <w:sdtContent>
                        <w:p>
                          <w:pPr>
                            <w:tabs>
                              <w:tab w:val="left" w:pos="1134"/>
                            </w:tabs>
                            <w:ind w:firstLine="720"/>
                            <w:jc w:val="both"/>
                            <w:rPr>
                              <w:bCs/>
                              <w:szCs w:val="24"/>
                              <w:lang w:eastAsia="lt-LT"/>
                            </w:rPr>
                          </w:pPr>
                          <w:sdt>
                            <w:sdtPr>
                              <w:alias w:val="Numeris"/>
                              <w:tag w:val="nr_3a42c75252b44ccb9bdafaf8aac78c05"/>
                              <w:lock w:val="sdtLocked"/>
                              <w:richText/>
                            </w:sdtPr>
                            <w:sdtContent>
                              <w:r>
                                <w:rPr>
                                  <w:szCs w:val="24"/>
                                  <w:shd w:val="clear" w:color="auto" w:fill="FFFFFF"/>
                                  <w:lang w:eastAsia="lt-LT"/>
                                </w:rPr>
                                <w:t>2.2.8.1</w:t>
                              </w:r>
                            </w:sdtContent>
                          </w:sdt>
                          <w:r>
                            <w:rPr>
                              <w:szCs w:val="24"/>
                              <w:shd w:val="clear" w:color="auto" w:fill="FFFFFF"/>
                              <w:lang w:eastAsia="lt-LT"/>
                            </w:rPr>
                            <w:t>. renginius atvirose ir uždarose erdvėse, kai renginyje dalyvauja ne daugiau nei 150 žiūrovų ir (ar) dalyvių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kurie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sėdimųjų vietų, vyresniems nei 6 metų žiūrovams ir (ar) dalyviams viso renginio metu dėvint kaukes, išskyrus šio nutarimo 2.1.5.2 papunktyje numatytas išimtis, bei užtikrinant kitas valstybės lygio ekstremaliosios situacijos operacijų vadovo nustatytas asmenų srautų valdymo, saugaus atstumo laikymosi ir kitas būtinas visuomenės sveikatos saugos, higienos, asmenų aprūpinimo būtinosiomis asmeninėmis apsaugos priemonėmis sąlygas. Renginius uždarose erdvėse leidžiama organizuoti, kai užpildoma ne daugiau kaip 30 proc. visų sėdimųjų vietų. Prekiauti maistu ir gėrimais bei teikti kitas paslaugas renginių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8.4 pp."/>
                        <w:tag w:val="part_d82fe3ef500a43b0a54eee7944e5364e"/>
                        <w:lock w:val="sdtLocked"/>
                        <w:richText/>
                      </w:sdtPr>
                      <w:sdtContent>
                        <w:p>
                          <w:pPr>
                            <w:tabs>
                              <w:tab w:val="left" w:pos="1134"/>
                            </w:tabs>
                            <w:ind w:firstLine="720"/>
                            <w:jc w:val="both"/>
                            <w:rPr>
                              <w:bCs/>
                              <w:szCs w:val="24"/>
                              <w:lang w:eastAsia="lt-LT"/>
                            </w:rPr>
                          </w:pPr>
                          <w:sdt>
                            <w:sdtPr>
                              <w:alias w:val="Numeris"/>
                              <w:tag w:val="nr_d82fe3ef500a43b0a54eee7944e5364e"/>
                              <w:lock w:val="sdtLocked"/>
                              <w:richText/>
                            </w:sdtPr>
                            <w:sdtContent>
                              <w:r>
                                <w:rPr>
                                  <w:szCs w:val="24"/>
                                  <w:shd w:val="clear" w:color="auto" w:fill="FFFFFF"/>
                                  <w:lang w:eastAsia="lt-LT"/>
                                </w:rPr>
                                <w:t>2.2.8.4</w:t>
                              </w:r>
                            </w:sdtContent>
                          </w:sdt>
                          <w:r>
                            <w:rPr>
                              <w:szCs w:val="24"/>
                              <w:shd w:val="clear" w:color="auto" w:fill="FFFFFF"/>
                              <w:lang w:eastAsia="lt-LT"/>
                            </w:rPr>
                            <w:t xml:space="preserve">. </w:t>
                          </w:r>
                          <w:r>
                            <w:rPr>
                              <w:szCs w:val="24"/>
                              <w:lang w:eastAsia="lt-LT"/>
                            </w:rPr>
                            <w:t>ekskursijas atvirose erdvėse, kuriose dalyvauja ne daugiau kaip 10 asmenų, užtikrinant kitas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ab825e15ca7d4240a402fc6b43426ee7"/>
                        <w:lock w:val="sdtLocked"/>
                        <w:richText/>
                      </w:sdtPr>
                      <w:sdtContent>
                        <w:p>
                          <w:pPr>
                            <w:tabs>
                              <w:tab w:val="left" w:pos="1134"/>
                            </w:tabs>
                            <w:ind w:firstLine="720"/>
                            <w:jc w:val="both"/>
                          </w:pPr>
                          <w:sdt>
                            <w:sdtPr>
                              <w:alias w:val="Numeris"/>
                              <w:tag w:val="nr_ab825e15ca7d4240a402fc6b43426ee7"/>
                              <w:lock w:val="sdtLocked"/>
                              <w:richText/>
                            </w:sdtPr>
                            <w:sdtContent>
                              <w:r>
                                <w:rPr>
                                  <w:szCs w:val="24"/>
                                  <w:shd w:val="clear" w:color="auto" w:fill="FFFFFF"/>
                                  <w:lang w:eastAsia="lt-LT"/>
                                </w:rPr>
                                <w:t>2.2.9.2</w:t>
                              </w:r>
                            </w:sdtContent>
                          </w:sdt>
                          <w:r>
                            <w:rPr>
                              <w:szCs w:val="24"/>
                              <w:shd w:val="clear" w:color="auto" w:fill="FFFFFF"/>
                              <w:lang w:eastAsia="lt-LT"/>
                            </w:rPr>
                            <w:t>. ugdymas mokyklose pagal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kai organizuojamos konsultacijos ne daugiau kaip 10 vidurinio ugdymo programos baigiamosios klasės mokinių, taip pat egzaminus mokiniams, kurie baigia ugdymo programą pagal užsienio valstybių ir tarptautinių organizacijų švietimo programas, kai egzamine vienoje patalpoje dalyvauja ne daugiau kaip 10 mokinių,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1 pp."/>
                        <w:tag w:val="part_d5545bd3332848b482ba6bb001c6fdca"/>
                        <w:lock w:val="sdtLocked"/>
                        <w:richText/>
                      </w:sdtPr>
                      <w:sdtContent>
                        <w:p>
                          <w:pPr>
                            <w:ind w:firstLine="720"/>
                            <w:jc w:val="both"/>
                          </w:pPr>
                          <w:sdt>
                            <w:sdtPr>
                              <w:alias w:val="Numeris"/>
                              <w:tag w:val="nr_d5545bd3332848b482ba6bb001c6fdca"/>
                              <w:lock w:val="sdtLocked"/>
                              <w:richText/>
                            </w:sdtPr>
                            <w:sdtContent>
                              <w:r>
                                <w:rPr>
                                  <w:color w:val="000000"/>
                                  <w:szCs w:val="24"/>
                                  <w:lang w:eastAsia="lt-LT"/>
                                </w:rPr>
                                <w:t>2.2.9.2</w:t>
                              </w:r>
                              <w:r>
                                <w:rPr>
                                  <w:color w:val="000000"/>
                                  <w:szCs w:val="24"/>
                                  <w:vertAlign w:val="superscript"/>
                                  <w:lang w:eastAsia="lt-LT"/>
                                </w:rPr>
                                <w:t>1</w:t>
                              </w:r>
                            </w:sdtContent>
                          </w:sdt>
                          <w:r>
                            <w:rPr>
                              <w:color w:val="000000"/>
                              <w:szCs w:val="24"/>
                              <w:lang w:eastAsia="lt-LT"/>
                            </w:rPr>
                            <w:t>. </w:t>
                          </w:r>
                          <w:r>
                            <w:rPr>
                              <w:szCs w:val="24"/>
                              <w:lang w:eastAsia="lt-LT"/>
                            </w:rPr>
                            <w:t>šio nutarimo 2</w:t>
                          </w:r>
                          <w:r>
                            <w:rPr>
                              <w:szCs w:val="24"/>
                              <w:vertAlign w:val="superscript"/>
                              <w:lang w:eastAsia="lt-LT"/>
                            </w:rPr>
                            <w:t>1</w:t>
                          </w:r>
                          <w:r>
                            <w:rPr>
                              <w:szCs w:val="24"/>
                              <w:lang w:eastAsia="lt-LT"/>
                            </w:rPr>
                            <w:t xml:space="preserve"> punkte nenurodytų</w:t>
                          </w:r>
                          <w:r>
                            <w:rPr>
                              <w:szCs w:val="24"/>
                              <w:lang w:val="ru-RU" w:eastAsia="lt-LT"/>
                            </w:rPr>
                            <w:t xml:space="preserve"> </w:t>
                          </w:r>
                          <w:r>
                            <w:rPr>
                              <w:szCs w:val="24"/>
                              <w:lang w:eastAsia="lt-LT"/>
                            </w:rPr>
                            <w:t>savivaldybių teritorijose esančiose ugdymo įstaigose ugdymas pagal pradinio ugdymo programą vykdomas nuotoliniu būdu arba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4 pp."/>
                        <w:tag w:val="part_04875454e5814fa9ab9ef55f55c50a3d"/>
                        <w:lock w:val="sdtLocked"/>
                        <w:richText/>
                      </w:sdtPr>
                      <w:sdtContent>
                        <w:p>
                          <w:pPr>
                            <w:ind w:firstLine="720"/>
                            <w:jc w:val="both"/>
                          </w:pPr>
                          <w:sdt>
                            <w:sdtPr>
                              <w:alias w:val="Numeris"/>
                              <w:tag w:val="nr_04875454e5814fa9ab9ef55f55c50a3d"/>
                              <w:lock w:val="sdtLocked"/>
                              <w:richText/>
                            </w:sdtPr>
                            <w:sdtContent>
                              <w:r>
                                <w:rPr>
                                  <w:color w:val="000000"/>
                                  <w:szCs w:val="24"/>
                                  <w:lang w:eastAsia="lt-LT"/>
                                </w:rPr>
                                <w:t>2.2.9.2</w:t>
                              </w:r>
                              <w:r>
                                <w:rPr>
                                  <w:color w:val="000000"/>
                                  <w:szCs w:val="24"/>
                                  <w:vertAlign w:val="superscript"/>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mokiniams, turintiems specialiųjų ugdymosi poreikių dėl kurtumo, vidutinio, žymaus, labai žymaus klausos sutrikimo ar kochlearinio implanto, visiško aklumo, aklumo su regėjimo likučiu, silpnaregystės, laisvės atėmimo vietose veikiančių mokyklų (skyrių) mokiniams pagrindinio ugdymo pasiekimų patikrinimas ar jo dalis vykdoma, kai patalpose yra ne daugiau kaip 10 mokinių, išlaikant tarp visų patalpoje esančių asmenų ne mažesnį kaip 2 metrų atstumą, arba 11</w:t>
                          </w:r>
                          <w:r>
                            <w:rPr>
                              <w:szCs w:val="24"/>
                              <w:lang w:eastAsia="lt-LT"/>
                            </w:rPr>
                            <w:t>–</w:t>
                          </w:r>
                          <w:r>
                            <w:rPr>
                              <w:color w:val="000000"/>
                              <w:szCs w:val="24"/>
                              <w:lang w:eastAsia="lt-LT"/>
                            </w:rPr>
                            <w:t>50 mokinių,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5 pp."/>
                        <w:tag w:val="part_3f87f74a67484c639c3f178b5ca7b176"/>
                        <w:lock w:val="sdtLocked"/>
                        <w:richText/>
                      </w:sdtPr>
                      <w:sdtContent>
                        <w:p>
                          <w:pPr>
                            <w:ind w:firstLine="720"/>
                            <w:jc w:val="both"/>
                            <w:rPr>
                              <w:szCs w:val="24"/>
                              <w:lang w:eastAsia="lt-LT"/>
                            </w:rPr>
                          </w:pPr>
                          <w:sdt>
                            <w:sdtPr>
                              <w:alias w:val="Numeris"/>
                              <w:tag w:val="nr_3f87f74a67484c639c3f178b5ca7b176"/>
                              <w:lock w:val="sdtLocked"/>
                              <w:richText/>
                            </w:sdtPr>
                            <w:sdtContent>
                              <w:r>
                                <w:rPr>
                                  <w:color w:val="000000"/>
                                  <w:szCs w:val="24"/>
                                  <w:lang w:eastAsia="lt-LT"/>
                                </w:rPr>
                                <w:t>2.2.9.2</w:t>
                              </w:r>
                              <w:r>
                                <w:rPr>
                                  <w:color w:val="000000"/>
                                  <w:szCs w:val="24"/>
                                  <w:vertAlign w:val="superscript"/>
                                  <w:lang w:eastAsia="lt-LT"/>
                                </w:rPr>
                                <w:t>5</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brandos egzaminai ar jų dalys vykdomi patalpose ne daugiau kaip </w:t>
                            <w:br/>
                            <w:t>10 kandidatų, išlaikant tarp visų patalpoje esančių asmenų ne mažesnį kaip 2 metrų atstumą, arba 11</w:t>
                          </w:r>
                          <w:r>
                            <w:rPr>
                              <w:szCs w:val="24"/>
                              <w:lang w:eastAsia="lt-LT"/>
                            </w:rPr>
                            <w:t>–</w:t>
                          </w:r>
                          <w:r>
                            <w:rPr>
                              <w:color w:val="000000"/>
                              <w:szCs w:val="24"/>
                              <w:lang w:eastAsia="lt-LT"/>
                            </w:rPr>
                            <w:t>50 kandidatų,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320046081b304fecbc3228d955ce2b93"/>
                        <w:lock w:val="sdtLocked"/>
                        <w:richText/>
                      </w:sdtPr>
                      <w:sdtContent>
                        <w:p>
                          <w:pPr>
                            <w:tabs>
                              <w:tab w:val="left" w:pos="1134"/>
                            </w:tabs>
                            <w:ind w:firstLine="720"/>
                            <w:jc w:val="both"/>
                            <w:rPr>
                              <w:szCs w:val="24"/>
                              <w:lang w:eastAsia="lt-LT"/>
                            </w:rPr>
                          </w:pPr>
                          <w:sdt>
                            <w:sdtPr>
                              <w:alias w:val="Numeris"/>
                              <w:tag w:val="nr_320046081b304fecbc3228d955ce2b93"/>
                              <w:lock w:val="sdtLocked"/>
                              <w:richText/>
                            </w:sdtPr>
                            <w:sdtContent>
                              <w:r>
                                <w:rPr>
                                  <w:szCs w:val="24"/>
                                  <w:shd w:val="clear" w:color="auto" w:fill="FFFFFF"/>
                                  <w:lang w:eastAsia="lt-LT"/>
                                </w:rPr>
                                <w:t>2.2.10.1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d4a832532bd54413a3d4c1cc55f149be"/>
                        <w:lock w:val="sdtLocked"/>
                        <w:richText/>
                      </w:sdtPr>
                      <w:sdtContent>
                        <w:p>
                          <w:pPr>
                            <w:ind w:firstLine="720"/>
                            <w:jc w:val="both"/>
                            <w:rPr>
                              <w:szCs w:val="24"/>
                              <w:lang w:val="en-US" w:eastAsia="lt-LT"/>
                            </w:rPr>
                          </w:pPr>
                          <w:sdt>
                            <w:sdtPr>
                              <w:alias w:val="Numeris"/>
                              <w:tag w:val="nr_d4a832532bd54413a3d4c1cc55f149be"/>
                              <w:lock w:val="sdtLocked"/>
                              <w:richText/>
                            </w:sdtPr>
                            <w:sdtContent>
                              <w:r>
                                <w:rPr>
                                  <w:color w:val="000000"/>
                                  <w:szCs w:val="24"/>
                                  <w:lang w:eastAsia="lt-LT"/>
                                </w:rPr>
                                <w:t>2.2.11.4</w:t>
                              </w:r>
                            </w:sdtContent>
                          </w:sdt>
                          <w:r>
                            <w:rPr>
                              <w:color w:val="000000"/>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fe3e7db348c4aa78f4c8fc74240ed49"/>
                            <w:lock w:val="sdtLocked"/>
                            <w:richText/>
                          </w:sdtPr>
                          <w:sdtContent>
                            <w:p>
                              <w:pPr>
                                <w:tabs>
                                  <w:tab w:val="left" w:pos="1134"/>
                                </w:tabs>
                                <w:ind w:firstLine="720"/>
                                <w:jc w:val="both"/>
                                <w:rPr>
                                  <w:szCs w:val="24"/>
                                  <w:lang w:eastAsia="lt-LT"/>
                                </w:rPr>
                              </w:pPr>
                              <w:sdt>
                                <w:sdtPr>
                                  <w:alias w:val="Numeris"/>
                                  <w:tag w:val="nr_7fe3e7db348c4aa78f4c8fc74240ed49"/>
                                  <w:lock w:val="sdtLocked"/>
                                  <w:richText/>
                                </w:sdtPr>
                                <w:sdtContent>
                                  <w:r>
                                    <w:rPr>
                                      <w:color w:val="000000"/>
                                      <w:szCs w:val="24"/>
                                      <w:lang w:eastAsia="lt-LT"/>
                                    </w:rPr>
                                    <w:t>2.2.11.8.3</w:t>
                                  </w:r>
                                </w:sdtContent>
                              </w:sdt>
                              <w:r>
                                <w:rPr>
                                  <w:color w:val="000000"/>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d4019963c3224b11b2d2097f20d70e03"/>
            <w:lock w:val="sdtLocked"/>
            <w:richText/>
          </w:sdtPr>
          <w:sdtContent>
            <w:p>
              <w:pPr>
                <w:tabs>
                  <w:tab w:val="left" w:pos="1134"/>
                </w:tabs>
                <w:ind w:firstLine="720"/>
                <w:jc w:val="both"/>
              </w:pPr>
              <w:sdt>
                <w:sdtPr>
                  <w:alias w:val="Numeris"/>
                  <w:tag w:val="nr_d4019963c3224b11b2d2097f20d70e03"/>
                  <w:lock w:val="sdtLocked"/>
                  <w:richText/>
                </w:sdtPr>
                <w:sdtContent>
                  <w:r>
                    <w:rPr>
                      <w:szCs w:val="24"/>
                      <w:lang w:eastAsia="lt-LT"/>
                    </w:rPr>
                    <w:t>2</w:t>
                  </w:r>
                  <w:r>
                    <w:rPr>
                      <w:szCs w:val="24"/>
                      <w:vertAlign w:val="superscript"/>
                      <w:lang w:eastAsia="lt-LT"/>
                    </w:rPr>
                    <w:t>1</w:t>
                  </w:r>
                </w:sdtContent>
              </w:sdt>
              <w:r>
                <w:rPr>
                  <w:szCs w:val="24"/>
                  <w:lang w:eastAsia="lt-LT"/>
                </w:rPr>
                <w:t>. Birštono, Biržų rajono, Druskininkų, Joniškio rajono, Jurbarko rajono, Kelmės rajono, Klaipėdos miesto, Klaipėdos rajono, Kretingos rajono, Mažeikių rajono, Neringos, Pagėgių, Pakruojo rajono, Palangos miesto, Pasvalio rajono, Plungės rajono, Prienų rajono, Rietavo, Rokiškio rajono, Skuodo rajono, Šakių rajono, Šiaulių miesto, Šiaulių rajono, Šilutės rajono, Tauragės rajono, Telšių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 p."/>
            <w:tag w:val="part_6a2e44663c5346abb797c640f2bbf3ec"/>
            <w:lock w:val="sdtLocked"/>
            <w:richText/>
          </w:sdtPr>
          <w:sdtContent>
            <w:p>
              <w:pPr>
                <w:tabs>
                  <w:tab w:val="left" w:pos="1134"/>
                </w:tabs>
                <w:ind w:firstLine="720"/>
                <w:jc w:val="both"/>
              </w:pPr>
              <w:sdt>
                <w:sdtPr>
                  <w:alias w:val="Numeris"/>
                  <w:tag w:val="nr_6a2e44663c5346abb797c640f2bbf3ec"/>
                  <w:lock w:val="sdtLocked"/>
                  <w:richText/>
                </w:sdtPr>
                <w:sdtContent>
                  <w:r>
                    <w:rPr>
                      <w:szCs w:val="24"/>
                      <w:lang w:eastAsia="lt-LT"/>
                    </w:rPr>
                    <w:t>2</w:t>
                  </w:r>
                  <w:r>
                    <w:rPr>
                      <w:szCs w:val="24"/>
                      <w:vertAlign w:val="superscript"/>
                      <w:lang w:eastAsia="lt-LT"/>
                    </w:rPr>
                    <w:t>2</w:t>
                  </w:r>
                </w:sdtContent>
              </w:sdt>
              <w:r>
                <w:rPr>
                  <w:szCs w:val="24"/>
                  <w:lang w:eastAsia="lt-LT"/>
                </w:rPr>
                <w:t>. Asmenims, persirgusiems COVID-19 liga (koronaviruso infekcija), kai diagnozė buvo patvirtinta remiantis teigiamu SARS-CoV-2 PGR tyrimo ar antigeno testo rezultatu ir nuo teigiamo tyrimo rezultato praėjo ne daugiau kaip 180 dienų, taip pat asmenims, paskiepytiems Sąjungos vaistinių preparatų registre įregistruota COVID-19 ligos (koronaviruso infekcijos) vakcina pagal skiepijimo schemą, šiuo nutarimu gali būti taikomos švelnesnės karantino režimo priemonės negu kitiems asmenims.</w:t>
              </w:r>
              <w:r>
                <w:rPr>
                  <w:color w:val="FF0000"/>
                  <w:szCs w:val="24"/>
                  <w:lang w:eastAsia="lt-LT"/>
                </w:rPr>
                <w:t xml:space="preserve"> </w:t>
              </w:r>
              <w:r>
                <w:rPr>
                  <w:szCs w:val="24"/>
                  <w:lang w:eastAsia="lt-LT"/>
                </w:rPr>
                <w:t>Šiame punkte nurodytų asmenų teisė į švelnesnes karantino režimo priemones patvirtinama valstybės lygio ekstremaliosios situacijos operacijų vadovo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3ae7af95fcd4922a07be27628325888"/>
            <w:lock w:val="sdtLocked"/>
            <w:richText/>
          </w:sdtPr>
          <w:sdtContent>
            <w:p>
              <w:pPr>
                <w:tabs>
                  <w:tab w:val="left" w:pos="1134"/>
                </w:tabs>
                <w:ind w:firstLine="720"/>
                <w:jc w:val="both"/>
                <w:rPr>
                  <w:szCs w:val="24"/>
                  <w:lang w:eastAsia="lt-LT"/>
                </w:rPr>
              </w:pPr>
              <w:sdt>
                <w:sdtPr>
                  <w:alias w:val="Numeris"/>
                  <w:tag w:val="nr_63ae7af95fcd4922a07be27628325888"/>
                  <w:lock w:val="sdtLocked"/>
                  <w:richText/>
                </w:sdtPr>
                <w:sdtContent>
                  <w:r>
                    <w:rPr>
                      <w:szCs w:val="24"/>
                      <w:lang w:eastAsia="lt-LT"/>
                    </w:rPr>
                    <w:t>5</w:t>
                  </w:r>
                </w:sdtContent>
              </w:sdt>
              <w:r>
                <w:rPr>
                  <w:szCs w:val="24"/>
                  <w:lang w:eastAsia="lt-LT"/>
                </w:rPr>
                <w:t>. Karantino režimo trukmė – nuo 2020 m. lapkričio 7 d. 00:00 val. iki 2021 m. gegužės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89483e0674174190b97065d3a98e6f9e"/>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89483e0674174190b97065d3a98e6f9e"/>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a45510a34111ebb9bbd96a0c51af2c">
            <w:r w:rsidRPr="00532B9F">
              <w:rPr>
                <w:rFonts w:ascii="Times New Roman" w:eastAsia="MS Mincho" w:hAnsi="Times New Roman"/>
                <w:sz w:val="20"/>
                <w:iCs/>
                <w:color w:val="0000FF" w:themeColor="hyperlink"/>
                <w:u w:val="single"/>
              </w:rPr>
              <w:t>255</w:t>
            </w:r>
          </w:fldSimple>
          <w:r>
            <w:rPr>
              <w:rFonts w:ascii="Times New Roman" w:eastAsia="MS Mincho" w:hAnsi="Times New Roman"/>
              <w:sz w:val="20"/>
              <w:iCs/>
            </w:rPr>
            <w:t>,
2021-04-21,
paskelbta TAR 2021-04-22, i. k. 2021-08258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08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1.xml"/>
  <Relationship Id="rId11" Type="http://schemas.openxmlformats.org/officeDocument/2006/relationships/header" Target="header92.xml"/>
  <Relationship Id="rId12" Type="http://schemas.openxmlformats.org/officeDocument/2006/relationships/footer" Target="footer91.xml"/>
  <Relationship Id="rId13" Type="http://schemas.openxmlformats.org/officeDocument/2006/relationships/footer" Target="footer92.xml"/>
  <Relationship Id="rId14" Type="http://schemas.openxmlformats.org/officeDocument/2006/relationships/header" Target="header93.xml"/>
  <Relationship Id="rId15" Type="http://schemas.openxmlformats.org/officeDocument/2006/relationships/footer" Target="footer9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a4af6109fbac403b85e4d0efd0330c8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Type="papunktis" Nr="2.1.8.1.5" Abbr="2.1.8.1.5 pp." DocPartId="d06325d498384811acd990b4c6a32a3b" PartId="9a67c6f16bbc4f689812d22ea317efb3"/>
          </Part>
          <Part Type="papunktis" Nr="2.1.8.2" Abbr="2.1.8.2 pp." DocPartId="c8774f4654cb4eec94778754d8308ab7" PartId="05e22bfa0b734dd9b863f989f1f75d9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Part Type="papunktis" Nr="2.2.2-1" Abbr="2.2.2-1 pp." DocPartId="47e35d3d85f7486aa5428c0b13523d40" PartId="1a8979393f194ebb8091e19ec4f56344"/>
        <Part Type="papunktis" Nr="2.2.2-2" Abbr="2.2.2-2 pp." DocPartId="b38fa12dde3c47d9b907d7f4b8bb7ccd" PartId="804369b029d04c5bb64cce8589ad4406"/>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d10f7553909142dba2a56361e5d554a3"/>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bad476672d7f48e896c6725b721b3bff">
            <Part Type="papunktis" Nr="2.2.6.3.1" Abbr="2.2.6.3.1 pp." DocPartId="3faa3925cf054a53a6d1334be3de4151" PartId="8b415159bcd54da78fdff90155d0e85f"/>
            <Part Type="papunktis" Nr="2.2.6.3.2" Abbr="2.2.6.3.2 pp." DocPartId="935567190d5740d28ff3d97c9f00b62f" PartId="aef74af844f34ca9a34576eb03d74a5d"/>
          </Part>
          <Part Type="papunktis" Nr="2.2.6.4" Abbr="2.2.6.4 pp." DocPartId="a94f5eec04b24d1598c405e176f4d11a" PartId="90c2a94eb4bb4ebbbaebf490db7940ec"/>
          <Part Type="papunktis" Nr="2.2.6.5" Abbr="2.2.6.5 pp." DocPartId="badfc96c4d1c4457b60da48770440845" PartId="8526ecf8055a45aa8562b26dd15c41b2"/>
          <Part Type="papunktis" Nr="2.2.6.6" Abbr="2.2.6.6 pp." DocPartId="ff2bc85031cc4913b60037a4e7a0a59c" PartId="bacd5d340efc409eaf92cd79b06520f6"/>
          <Part Type="papunktis" Nr="2.2.6.7" Abbr="2.2.6.7 pp." DocPartId="67e2dbc8a2424bf6b605e55541a18ee0" PartId="facc0c0cead8434db307b99aa61e5c8f"/>
          <Part Type="papunktis" Nr="2.2.6.8" Abbr="2.2.6.8 pp." DocPartId="68edb1fd242e4dbca62f757e8a52e8d0" PartId="fa5c57ab38904c22a831082e61925aa5"/>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Type="papunktis" Nr="2.2.6-1.5" Abbr="2.2.6-1.5 pp." DocPartId="9d9bd8719461413d893e83ff3d3f77ec" PartId="fdd28dedd77746a3b54aca85f6632745"/>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Type="papunktis" Nr="2.2.7.4" Abbr="2.2.7.4 pp." DocPartId="c22bf6a2be504bca85598b9db643f4e0" PartId="c7a94577923e4ad29a3317e5e7e956c1"/>
          <Part Type="papunktis" Nr="2.2.7.5" Abbr="2.2.7.5 pp." DocPartId="9e7f2aa74a5e4d72b3ff87d3c18eb673" PartId="fb7b48a7572a448397db7cbc5a140f5d"/>
        </Part>
        <Part Type="papunktis" Nr="2.2.8" Abbr="2.2.8 pp." DocPartId="f481c805788d4a749fc19bf4e9c2add1" PartId="de6eb196fe524a43881dd0dd3b727e26">
          <Part Type="papunktis" Nr="2.2.8.1" Abbr="2.2.8.1 pp." DocPartId="e09cdfd7834e417ab81b1e7bcf310f8e" PartId="3a42c75252b44ccb9bdafaf8aac78c05"/>
          <Part Type="papunktis" Nr="2.2.8.2" Abbr="2.2.8.2 pp." DocPartId="b56ed19e3cb54d5faeeaaf5c91f0e739" PartId="673dde6ab37b410faca2c6bedab066be"/>
          <Part Type="papunktis" Nr="2.2.8.3" Abbr="2.2.8.3 pp." DocPartId="41a8e784aff94791852426fadeae358a" PartId="7d231989b2e4468fa9ad5d6543c8cf73"/>
          <Part Type="papunktis" Nr="2.2.8.4" Abbr="2.2.8.4 pp." DocPartId="3fc11570569547d4842197325fd0c4bc" PartId="d82fe3ef500a43b0a54eee7944e5364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ab825e15ca7d4240a402fc6b43426ee7"/>
          <Part Type="papunktis" Nr="2.2.9.2-1" Abbr="2.2.9.2-1 pp." DocPartId="fa2ec9dd8ed74ee69a876d344670664a" PartId="d5545bd3332848b482ba6bb001c6fdca"/>
          <Part Type="papunktis" Nr="2.2.9.2-2" Abbr="2.2.9.2-2 pp." DocPartId="63b3190add554ad4b19caa8e5440d9f5" PartId="78d906b8f3ba476e89412363b1c8b3c3"/>
          <Part Type="papunktis" Nr="2.2.9.2-4" Abbr="2.2.9.2-4 pp." DocPartId="5d85737880974e739e278eaee8f9329d" PartId="04875454e5814fa9ab9ef55f55c50a3d"/>
          <Part Type="papunktis" Nr="2.2.9.2-5" Abbr="2.2.9.2-5 pp." DocPartId="666cb85214a84fd8a0c2b1084b84504f" PartId="3f87f74a67484c639c3f178b5ca7b176"/>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320046081b304fecbc3228d955ce2b93"/>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d4a832532bd54413a3d4c1cc55f149be"/>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fe3e7db348c4aa78f4c8fc74240ed49"/>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d4019963c3224b11b2d2097f20d70e03"/>
    <Part Type="punktas" Nr="2-2" Abbr="2-2 p." DocPartId="7a576472b3834a53b19b35d9526a9128" PartId="6a2e44663c5346abb797c640f2bbf3ec"/>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3ae7af95fcd4922a07be27628325888"/>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89483e0674174190b97065d3a98e6f9e">
    <Part Type="pabaiga" DocPartId="8aa7d51d84b848debd65b12b26547c89" PartId="eeabe54f6d92436eb4751102dd485d22"/>
  </Part>
</Parts>
</file>

<file path=customXml/itemProps1.xml><?xml version="1.0" encoding="utf-8"?>
<ds:datastoreItem xmlns:ds="http://schemas.openxmlformats.org/officeDocument/2006/customXml" ds:itemID="{10339B24-8798-4BC0-81AF-C82202C9E3A3}">
  <ds:schemaRefs>
    <ds:schemaRef ds:uri="http://lrs.lt/TAIS/DocParts"/>
  </ds:schemaRefs>
</ds:datastoreItem>
</file>

<file path=docProps/app.xml><?xml version="1.0" encoding="utf-8"?>
<Properties xmlns="http://schemas.openxmlformats.org/officeDocument/2006/extended-properties">
  <Template>Normal.dotm</Template>
  <TotalTime>130</TotalTime>
  <Pages>17</Pages>
  <Words>6850</Words>
  <Characters>51133</Characters>
  <Application>Microsoft Office Word</Application>
  <DocSecurity>0</DocSecurity>
  <Lines>426</Lines>
  <Paragraphs>115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57868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2021-04-22T10:24:00Z</dcterms:modified>
  <revision>40</revision>
</coreProperties>
</file>